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4cf8ef83a05a93969a4c783ff666b3e7f58dee"/>
    <w:p>
      <w:pPr>
        <w:pStyle w:val="Heading1"/>
      </w:pPr>
      <w:r>
        <w:t xml:space="preserve">Cumplimiento normativo (KYC / AML / MiCA) — NESGESFinanceTrust</w:t>
      </w:r>
    </w:p>
    <w:p>
      <w:pPr>
        <w:pStyle w:val="BlockText"/>
      </w:pPr>
      <w:r>
        <w:t xml:space="preserve">Plataforma:</w:t>
      </w:r>
      <w:r>
        <w:t xml:space="preserve"> </w:t>
      </w:r>
      <w:r>
        <w:rPr>
          <w:bCs/>
          <w:b/>
        </w:rPr>
        <w:t xml:space="preserve">nesgesfinancetrust.com</w:t>
      </w:r>
      <w:r>
        <w:t xml:space="preserve"> </w:t>
      </w:r>
      <w:r>
        <w:t xml:space="preserve">· Versión</w:t>
      </w:r>
      <w:r>
        <w:t xml:space="preserve"> </w:t>
      </w:r>
      <w:r>
        <w:rPr>
          <w:bCs/>
          <w:b/>
        </w:rPr>
        <w:t xml:space="preserve">v3.4-dev</w:t>
      </w:r>
      <w:r>
        <w:t xml:space="preserve"> </w:t>
      </w:r>
      <w:r>
        <w:t xml:space="preserve">(Agosto 2026)</w:t>
      </w:r>
      <w:r>
        <w:t xml:space="preserve"> </w:t>
      </w:r>
      <w:r>
        <w:t xml:space="preserve">Empresa:</w:t>
      </w:r>
      <w:r>
        <w:t xml:space="preserve"> </w:t>
      </w:r>
      <w:r>
        <w:rPr>
          <w:bCs/>
          <w:b/>
        </w:rPr>
        <w:t xml:space="preserve">NESGESFinance Ecosystem S.A.S. BIC. &amp; LLC.</w:t>
      </w:r>
      <w:r>
        <w:t xml:space="preserve"> </w:t>
      </w:r>
      <w:r>
        <w:t xml:space="preserve">· EIN: 0008086872</w:t>
      </w:r>
      <w:r>
        <w:t xml:space="preserve"> </w:t>
      </w:r>
      <w:r>
        <w:t xml:space="preserve">Lema: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 a tu prójimo como a tí mismo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La tokenización de RWA en NESGESFinance exige controles de cumplimiento antes</w:t>
      </w:r>
      <w:r>
        <w:t xml:space="preserve"> </w:t>
      </w:r>
      <w:r>
        <w:t xml:space="preserve">de registrar o transferir cualquier activo. La lógica reside en</w:t>
      </w:r>
      <w:r>
        <w:t xml:space="preserve"> </w:t>
      </w:r>
      <w:r>
        <w:rPr>
          <w:rStyle w:val="VerbatimChar"/>
        </w:rPr>
        <w:t xml:space="preserve">utils/compliance.ts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api/rwa/rwa-validator.ts</w:t>
      </w:r>
      <w:r>
        <w:t xml:space="preserve">.</w:t>
      </w:r>
    </w:p>
    <w:bookmarkStart w:id="20" w:name="clasificación-mica"/>
    <w:p>
      <w:pPr>
        <w:pStyle w:val="Heading2"/>
      </w:pPr>
      <w:r>
        <w:t xml:space="preserve">1. Clasificación MiCA</w:t>
      </w:r>
    </w:p>
    <w:p>
      <w:pPr>
        <w:pStyle w:val="FirstParagraph"/>
      </w:pPr>
      <w:r>
        <w:t xml:space="preserve">Según el reglamento europeo</w:t>
      </w:r>
      <w:r>
        <w:t xml:space="preserve"> </w:t>
      </w:r>
      <w:r>
        <w:rPr>
          <w:bCs/>
          <w:b/>
        </w:rPr>
        <w:t xml:space="preserve">MiCA</w:t>
      </w:r>
      <w:r>
        <w:t xml:space="preserve">, los tokens se clasifican en: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32"/>
        <w:gridCol w:w="1056"/>
        <w:gridCol w:w="56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E-Money Token</w:t>
            </w:r>
            <w:r>
              <w:t xml:space="preserve"> </w:t>
            </w:r>
            <w:r>
              <w:t xml:space="preserve">referenciado a una única moneda fiat.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Asset-Referenced Token</w:t>
            </w:r>
            <w:r>
              <w:t xml:space="preserve"> </w:t>
            </w:r>
            <w:r>
              <w:t xml:space="preserve">respaldado por una cesta de activos.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de utilidad (acceso a un bien/servicio) — Runes.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negociable tokenizado (RWA anclado a Ordinal).</w:t>
            </w:r>
          </w:p>
        </w:tc>
      </w:tr>
    </w:tbl>
    <w:bookmarkEnd w:id="20"/>
    <w:bookmarkStart w:id="21" w:name="kyc-know-your-customer"/>
    <w:p>
      <w:pPr>
        <w:pStyle w:val="Heading2"/>
      </w:pPr>
      <w:r>
        <w:t xml:space="preserve">2. KYC (Know Your Customer)</w:t>
      </w:r>
    </w:p>
    <w:p>
      <w:pPr>
        <w:pStyle w:val="FirstParagraph"/>
      </w:pPr>
      <w:r>
        <w:t xml:space="preserve">Estados del titular (</w:t>
      </w:r>
      <w:r>
        <w:rPr>
          <w:rStyle w:val="VerbatimChar"/>
        </w:rPr>
        <w:t xml:space="preserve">KycStatus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NO_INICIADO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verificación.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en revisión.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 confirmada.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denegada.</w:t>
            </w:r>
          </w:p>
        </w:tc>
      </w:tr>
    </w:tbl>
    <w:bookmarkEnd w:id="21"/>
    <w:bookmarkStart w:id="22" w:name="aml-anti-money-laundering"/>
    <w:p>
      <w:pPr>
        <w:pStyle w:val="Heading2"/>
      </w:pPr>
      <w:r>
        <w:t xml:space="preserve">3. AML (Anti-Money Laundering)</w:t>
      </w:r>
    </w:p>
    <w:p>
      <w:pPr>
        <w:pStyle w:val="FirstParagraph"/>
      </w:pPr>
      <w:r>
        <w:t xml:space="preserve">Nivel de riesgo de jurisdicción (</w:t>
      </w:r>
      <w:r>
        <w:rPr>
          <w:rStyle w:val="VerbatimChar"/>
        </w:rPr>
        <w:t xml:space="preserve">RiskLevel</w:t>
      </w:r>
      <w:r>
        <w:t xml:space="preserve">):</w:t>
      </w:r>
      <w:r>
        <w:t xml:space="preserve"> </w:t>
      </w:r>
      <w:r>
        <w:rPr>
          <w:rStyle w:val="VerbatimChar"/>
        </w:rPr>
        <w:t xml:space="preserve">BAJO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MEDIO</w:t>
      </w:r>
      <w:r>
        <w:t xml:space="preserve">,</w:t>
      </w:r>
      <w:r>
        <w:t xml:space="preserve"> </w:t>
      </w:r>
      <w:r>
        <w:rPr>
          <w:rStyle w:val="VerbatimChar"/>
        </w:rPr>
        <w:t xml:space="preserve">ALTO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Umbrales aplicados por el validador:</w:t>
      </w:r>
    </w:p>
    <w:p>
      <w:pPr>
        <w:numPr>
          <w:ilvl w:val="0"/>
          <w:numId w:val="1001"/>
        </w:numPr>
        <w:pStyle w:val="Compact"/>
      </w:pPr>
      <w:r>
        <w:t xml:space="preserve">Un activo con</w:t>
      </w:r>
      <w:r>
        <w:t xml:space="preserve"> </w:t>
      </w:r>
      <w:r>
        <w:rPr>
          <w:rStyle w:val="VerbatimChar"/>
        </w:rPr>
        <w:t xml:space="preserve">backing = security</w:t>
      </w:r>
      <w:r>
        <w:t xml:space="preserve"> </w:t>
      </w:r>
      <w:r>
        <w:rPr>
          <w:bCs/>
          <w:b/>
        </w:rPr>
        <w:t xml:space="preserve">requiere</w:t>
      </w:r>
      <w:r>
        <w:t xml:space="preserve"> </w:t>
      </w:r>
      <w:r>
        <w:t xml:space="preserve">KYC</w:t>
      </w:r>
      <w:r>
        <w:t xml:space="preserve"> </w:t>
      </w:r>
      <w:r>
        <w:rPr>
          <w:rStyle w:val="VerbatimChar"/>
        </w:rPr>
        <w:t xml:space="preserve">VERIFICADO</w:t>
      </w:r>
      <w:r>
        <w:t xml:space="preserve"> </w:t>
      </w:r>
      <w:r>
        <w:t xml:space="preserve">del titular.</w:t>
      </w:r>
    </w:p>
    <w:p>
      <w:pPr>
        <w:numPr>
          <w:ilvl w:val="0"/>
          <w:numId w:val="1001"/>
        </w:numPr>
        <w:pStyle w:val="Compact"/>
      </w:pPr>
      <w:r>
        <w:t xml:space="preserve">Jurisdicción de riesgo</w:t>
      </w:r>
      <w:r>
        <w:t xml:space="preserve"> </w:t>
      </w:r>
      <w:r>
        <w:rPr>
          <w:rStyle w:val="VerbatimChar"/>
        </w:rPr>
        <w:t xml:space="preserve">ALTO</w:t>
      </w:r>
      <w:r>
        <w:t xml:space="preserve"> </w:t>
      </w:r>
      <w:r>
        <w:t xml:space="preserve">bloquea el registro salvo KYC</w:t>
      </w:r>
      <w:r>
        <w:t xml:space="preserve"> </w:t>
      </w:r>
      <w:r>
        <w:rPr>
          <w:rStyle w:val="VerbatimChar"/>
        </w:rPr>
        <w:t xml:space="preserve">VERIFICADO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Valoraciones elevadas activan revisión reforzada (</w:t>
      </w:r>
      <w:r>
        <w:rPr>
          <w:iCs/>
          <w:i/>
        </w:rPr>
        <w:t xml:space="preserve">Enhanced Due Diligence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Todo documento legal debe aportar su</w:t>
      </w:r>
      <w:r>
        <w:t xml:space="preserve"> </w:t>
      </w:r>
      <w:r>
        <w:rPr>
          <w:bCs/>
          <w:b/>
        </w:rPr>
        <w:t xml:space="preserve">hash SHA-256</w:t>
      </w:r>
      <w:r>
        <w:t xml:space="preserve"> </w:t>
      </w:r>
      <w:r>
        <w:t xml:space="preserve">para garantizar</w:t>
      </w:r>
      <w:r>
        <w:t xml:space="preserve"> </w:t>
      </w:r>
      <w:r>
        <w:t xml:space="preserve">integridad e inalterabilidad.</w:t>
      </w:r>
    </w:p>
    <w:bookmarkEnd w:id="22"/>
    <w:bookmarkStart w:id="23" w:name="flujo-de-validación"/>
    <w:p>
      <w:pPr>
        <w:pStyle w:val="Heading2"/>
      </w:pPr>
      <w:r>
        <w:t xml:space="preserve">4. Flujo de validación</w:t>
      </w:r>
    </w:p>
    <w:p>
      <w:pPr>
        <w:numPr>
          <w:ilvl w:val="0"/>
          <w:numId w:val="1002"/>
        </w:numPr>
        <w:pStyle w:val="Compact"/>
      </w:pPr>
      <w:r>
        <w:t xml:space="preserve">El endpoint</w:t>
      </w:r>
      <w:r>
        <w:t xml:space="preserve"> </w:t>
      </w:r>
      <w:r>
        <w:rPr>
          <w:rStyle w:val="VerbatimChar"/>
        </w:rPr>
        <w:t xml:space="preserve">POST /api/rwa/assets</w:t>
      </w:r>
      <w:r>
        <w:t xml:space="preserve"> </w:t>
      </w:r>
      <w:r>
        <w:t xml:space="preserve">recibe el activo y sus metadatos.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rwa-validator</w:t>
      </w:r>
      <w:r>
        <w:t xml:space="preserve"> </w:t>
      </w:r>
      <w:r>
        <w:t xml:space="preserve">comprueba campos obligatorios, clase MiCA, estado KYC y</w:t>
      </w:r>
      <w:r>
        <w:t xml:space="preserve"> </w:t>
      </w:r>
      <w:r>
        <w:t xml:space="preserve">riesgo AML.</w:t>
      </w:r>
    </w:p>
    <w:p>
      <w:pPr>
        <w:numPr>
          <w:ilvl w:val="0"/>
          <w:numId w:val="1002"/>
        </w:numPr>
        <w:pStyle w:val="Compact"/>
      </w:pPr>
      <w:r>
        <w:t xml:space="preserve">Si la validación falla, se devuelve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con la lista de errores.</w:t>
      </w:r>
    </w:p>
    <w:p>
      <w:pPr>
        <w:numPr>
          <w:ilvl w:val="0"/>
          <w:numId w:val="1002"/>
        </w:numPr>
        <w:pStyle w:val="Compact"/>
      </w:pPr>
      <w:r>
        <w:t xml:space="preserve">Si es correcta, el activo se persiste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y se emite el</w:t>
      </w:r>
      <w:r>
        <w:t xml:space="preserve"> </w:t>
      </w:r>
      <w:r>
        <w:t xml:space="preserve">evento por el canal WebSocket</w:t>
      </w:r>
      <w:r>
        <w:t xml:space="preserve"> </w:t>
      </w:r>
      <w:r>
        <w:rPr>
          <w:rStyle w:val="VerbatimChar"/>
        </w:rPr>
        <w:t xml:space="preserve">rwa</w:t>
      </w:r>
      <w:r>
        <w:t xml:space="preserve">.</w:t>
      </w:r>
    </w:p>
    <w:bookmarkEnd w:id="23"/>
    <w:bookmarkStart w:id="24" w:name="trazabilidad"/>
    <w:p>
      <w:pPr>
        <w:pStyle w:val="Heading2"/>
      </w:pPr>
      <w:r>
        <w:t xml:space="preserve">5. Trazabilidad</w:t>
      </w:r>
    </w:p>
    <w:p>
      <w:pPr>
        <w:pStyle w:val="FirstParagraph"/>
      </w:pPr>
      <w:r>
        <w:t xml:space="preserve">Cada alta o transferencia queda registrada en</w:t>
      </w:r>
      <w:r>
        <w:t xml:space="preserve"> </w:t>
      </w:r>
      <w:r>
        <w:rPr>
          <w:rStyle w:val="VerbatimChar"/>
        </w:rPr>
        <w:t xml:space="preserve">rwa_history</w:t>
      </w:r>
      <w:r>
        <w:t xml:space="preserve">, permitiendo una</w:t>
      </w:r>
      <w:r>
        <w:t xml:space="preserve"> </w:t>
      </w:r>
      <w:r>
        <w:t xml:space="preserve">auditoría completa del ciclo de vida del activo (quién, cuándo, qué txid).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Copyright ®NESGESFinance Ecosystem S.A.S. BIC. &amp; LLC. EIN: 0008086872 — TODOS LOS DERECHOS RESERVADOS 2025-2026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2026-08-01T15:57:49Z</dcterms:created>
  <dcterms:modified xsi:type="dcterms:W3CDTF">2026-08-01T15:57:49Z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