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protocolo-ordinals-nesgesfinancetrust"/>
    <w:p>
      <w:pPr>
        <w:pStyle w:val="Heading1"/>
      </w:pPr>
      <w:r>
        <w:t xml:space="preserve">Protocolo Ordinals — NESGESFinanceTrust</w:t>
      </w:r>
    </w:p>
    <w:p>
      <w:pPr>
        <w:pStyle w:val="BlockText"/>
      </w:pPr>
      <w:r>
        <w:t xml:space="preserve">Plataforma:</w:t>
      </w:r>
      <w:r>
        <w:t xml:space="preserve"> </w:t>
      </w:r>
      <w:r>
        <w:rPr>
          <w:bCs/>
          <w:b/>
        </w:rPr>
        <w:t xml:space="preserve">nesgesfinancetrust.com</w:t>
      </w:r>
      <w:r>
        <w:t xml:space="preserve"> </w:t>
      </w:r>
      <w:r>
        <w:t xml:space="preserve">· Versión</w:t>
      </w:r>
      <w:r>
        <w:t xml:space="preserve"> </w:t>
      </w:r>
      <w:r>
        <w:rPr>
          <w:bCs/>
          <w:b/>
        </w:rPr>
        <w:t xml:space="preserve">v3.4-dev</w:t>
      </w:r>
      <w:r>
        <w:t xml:space="preserve"> </w:t>
      </w:r>
      <w:r>
        <w:t xml:space="preserve">(Agosto 2026)</w:t>
      </w:r>
      <w:r>
        <w:t xml:space="preserve"> </w:t>
      </w:r>
      <w:r>
        <w:t xml:space="preserve">Empresa:</w:t>
      </w:r>
      <w:r>
        <w:t xml:space="preserve"> </w:t>
      </w:r>
      <w:r>
        <w:rPr>
          <w:bCs/>
          <w:b/>
        </w:rPr>
        <w:t xml:space="preserve">NESGESFinance Ecosystem S.A.S. BIC. &amp; LLC.</w:t>
      </w:r>
      <w:r>
        <w:t xml:space="preserve"> </w:t>
      </w:r>
      <w:r>
        <w:t xml:space="preserve">· EIN: 0008086872</w:t>
      </w:r>
    </w:p>
    <w:p>
      <w:pPr>
        <w:pStyle w:val="FirstParagraph"/>
      </w:pPr>
      <w:r>
        <w:t xml:space="preserve">En NESGESFinance, los</w:t>
      </w:r>
      <w:r>
        <w:t xml:space="preserve"> </w:t>
      </w:r>
      <w:r>
        <w:rPr>
          <w:bCs/>
          <w:b/>
        </w:rPr>
        <w:t xml:space="preserve">Ordinals</w:t>
      </w:r>
      <w:r>
        <w:t xml:space="preserve"> </w:t>
      </w:r>
      <w:r>
        <w:t xml:space="preserve">actúan como</w:t>
      </w:r>
      <w:r>
        <w:t xml:space="preserve"> </w:t>
      </w:r>
      <w:r>
        <w:rPr>
          <w:bCs/>
          <w:b/>
        </w:rPr>
        <w:t xml:space="preserve">Security Tokens</w:t>
      </w:r>
      <w:r>
        <w:t xml:space="preserve"> </w:t>
      </w:r>
      <w:r>
        <w:t xml:space="preserve">y como</w:t>
      </w:r>
      <w:r>
        <w:t xml:space="preserve"> </w:t>
      </w:r>
      <w:r>
        <w:t xml:space="preserve">contenedores de metadatos de los</w:t>
      </w:r>
      <w:r>
        <w:t xml:space="preserve"> </w:t>
      </w:r>
      <w:r>
        <w:rPr>
          <w:bCs/>
          <w:b/>
        </w:rPr>
        <w:t xml:space="preserve">RWA</w:t>
      </w:r>
      <w:r>
        <w:t xml:space="preserve"> </w:t>
      </w:r>
      <w:r>
        <w:t xml:space="preserve">(activos del mundo real). Se basan en</w:t>
      </w:r>
      <w:r>
        <w:t xml:space="preserve"> </w:t>
      </w:r>
      <w:r>
        <w:t xml:space="preserve">la</w:t>
      </w:r>
      <w:r>
        <w:t xml:space="preserve"> </w:t>
      </w:r>
      <w:r>
        <w:rPr>
          <w:bCs/>
          <w:b/>
        </w:rPr>
        <w:t xml:space="preserve">teoría ordinal</w:t>
      </w:r>
      <w:r>
        <w:t xml:space="preserve"> </w:t>
      </w:r>
      <w:r>
        <w:t xml:space="preserve">y en el protocolo de inscripciones sobre Bitcoin.</w:t>
      </w:r>
    </w:p>
    <w:bookmarkStart w:id="20" w:name="teoría-ordinal"/>
    <w:p>
      <w:pPr>
        <w:pStyle w:val="Heading2"/>
      </w:pPr>
      <w:r>
        <w:t xml:space="preserve">1. Teoría ordinal</w:t>
      </w:r>
    </w:p>
    <w:p>
      <w:pPr>
        <w:numPr>
          <w:ilvl w:val="0"/>
          <w:numId w:val="1001"/>
        </w:numPr>
        <w:pStyle w:val="Compact"/>
      </w:pPr>
      <w:r>
        <w:t xml:space="preserve">Cada satoshi recibe un</w:t>
      </w:r>
      <w:r>
        <w:t xml:space="preserve"> </w:t>
      </w:r>
      <w:r>
        <w:rPr>
          <w:bCs/>
          <w:b/>
        </w:rPr>
        <w:t xml:space="preserve">número ordinal</w:t>
      </w:r>
      <w:r>
        <w:t xml:space="preserve"> </w:t>
      </w:r>
      <w:r>
        <w:t xml:space="preserve">según el orden en que fue minado.</w:t>
      </w:r>
    </w:p>
    <w:p>
      <w:pPr>
        <w:numPr>
          <w:ilvl w:val="0"/>
          <w:numId w:val="1001"/>
        </w:numPr>
        <w:pStyle w:val="Compact"/>
      </w:pPr>
      <w:r>
        <w:t xml:space="preserve">Los satoshis se rastrean a través de las transacciones con el criterio</w:t>
      </w:r>
      <w:r>
        <w:t xml:space="preserve"> </w:t>
      </w:r>
      <w:r>
        <w:rPr>
          <w:iCs/>
          <w:i/>
        </w:rPr>
        <w:t xml:space="preserve">first-in-first-out</w:t>
      </w:r>
      <w:r>
        <w:t xml:space="preserve"> </w:t>
      </w:r>
      <w:r>
        <w:t xml:space="preserve">(las entradas ordenan las salidas).</w:t>
      </w:r>
    </w:p>
    <w:p>
      <w:pPr>
        <w:numPr>
          <w:ilvl w:val="0"/>
          <w:numId w:val="1001"/>
        </w:numPr>
        <w:pStyle w:val="Compact"/>
      </w:pPr>
      <w:r>
        <w:t xml:space="preserve">Esto permite tratar satoshis individuales como activos únicos e</w:t>
      </w:r>
      <w:r>
        <w:t xml:space="preserve"> </w:t>
      </w:r>
      <w:r>
        <w:t xml:space="preserve">identificables (base de la no fungibilidad).</w:t>
      </w:r>
    </w:p>
    <w:bookmarkEnd w:id="20"/>
    <w:bookmarkStart w:id="21" w:name="inscripciones"/>
    <w:p>
      <w:pPr>
        <w:pStyle w:val="Heading2"/>
      </w:pPr>
      <w:r>
        <w:t xml:space="preserve">2. Inscripciones</w:t>
      </w:r>
    </w:p>
    <w:p>
      <w:pPr>
        <w:numPr>
          <w:ilvl w:val="0"/>
          <w:numId w:val="1002"/>
        </w:numPr>
        <w:pStyle w:val="Compact"/>
      </w:pPr>
      <w:r>
        <w:t xml:space="preserve">Una</w:t>
      </w:r>
      <w:r>
        <w:t xml:space="preserve"> </w:t>
      </w:r>
      <w:r>
        <w:rPr>
          <w:bCs/>
          <w:b/>
        </w:rPr>
        <w:t xml:space="preserve">inscripción</w:t>
      </w:r>
      <w:r>
        <w:t xml:space="preserve"> </w:t>
      </w:r>
      <w:r>
        <w:t xml:space="preserve">adjunta contenido arbitrario (imagen, texto, JSON…) a un</w:t>
      </w:r>
      <w:r>
        <w:t xml:space="preserve"> </w:t>
      </w:r>
      <w:r>
        <w:t xml:space="preserve">satoshi concreto.</w:t>
      </w:r>
    </w:p>
    <w:p>
      <w:pPr>
        <w:numPr>
          <w:ilvl w:val="0"/>
          <w:numId w:val="1002"/>
        </w:numPr>
        <w:pStyle w:val="Compact"/>
      </w:pPr>
      <w:r>
        <w:t xml:space="preserve">El contenido se guarda en el</w:t>
      </w:r>
      <w:r>
        <w:t xml:space="preserve"> </w:t>
      </w:r>
      <w:r>
        <w:rPr>
          <w:bCs/>
          <w:b/>
        </w:rPr>
        <w:t xml:space="preserve">witness</w:t>
      </w:r>
      <w:r>
        <w:t xml:space="preserve"> </w:t>
      </w:r>
      <w:r>
        <w:t xml:space="preserve">de una entrada gastada por Taproot,</w:t>
      </w:r>
      <w:r>
        <w:t xml:space="preserve"> </w:t>
      </w:r>
      <w:r>
        <w:t xml:space="preserve">dentro de un</w:t>
      </w:r>
      <w:r>
        <w:t xml:space="preserve"> </w:t>
      </w:r>
      <w:r>
        <w:rPr>
          <w:iCs/>
          <w:i/>
        </w:rPr>
        <w:t xml:space="preserve">envelope</w:t>
      </w:r>
      <w:r>
        <w:t xml:space="preserve"> </w:t>
      </w:r>
      <w:r>
        <w:t xml:space="preserve">(sobre) con el marcador de protocolo</w:t>
      </w:r>
      <w:r>
        <w:t xml:space="preserve"> </w:t>
      </w:r>
      <w:r>
        <w:rPr>
          <w:rStyle w:val="VerbatimChar"/>
        </w:rPr>
        <w:t xml:space="preserve">"ord"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Estructura del sobre:</w:t>
      </w:r>
      <w:r>
        <w:t xml:space="preserve"> </w:t>
      </w:r>
      <w:r>
        <w:rPr>
          <w:rStyle w:val="VerbatimChar"/>
        </w:rPr>
        <w:t xml:space="preserve">OP_FALSE OP_IF "ord" ... OP_ENDIF</w:t>
      </w:r>
      <w:r>
        <w:t xml:space="preserve">, con campos para el</w:t>
      </w:r>
      <w:r>
        <w:t xml:space="preserve"> </w:t>
      </w:r>
      <w:r>
        <w:rPr>
          <w:rStyle w:val="VerbatimChar"/>
        </w:rPr>
        <w:t xml:space="preserve">content-type</w:t>
      </w:r>
      <w:r>
        <w:t xml:space="preserve"> </w:t>
      </w:r>
      <w:r>
        <w:t xml:space="preserve">y el cuerpo troceado en</w:t>
      </w:r>
      <w:r>
        <w:t xml:space="preserve"> </w:t>
      </w:r>
      <w:r>
        <w:rPr>
          <w:iCs/>
          <w:i/>
        </w:rPr>
        <w:t xml:space="preserve">pushes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El identificador de la inscripción es</w:t>
      </w:r>
      <w:r>
        <w:t xml:space="preserve"> </w:t>
      </w:r>
      <w:r>
        <w:rPr>
          <w:rStyle w:val="VerbatimChar"/>
        </w:rPr>
        <w:t xml:space="preserve">&lt;txid&gt;i&lt;index&gt;</w:t>
      </w:r>
      <w:r>
        <w:t xml:space="preserve">.</w:t>
      </w:r>
    </w:p>
    <w:bookmarkEnd w:id="21"/>
    <w:bookmarkStart w:id="22" w:name="seguimiento-de-satoshis-sat-tracking"/>
    <w:p>
      <w:pPr>
        <w:pStyle w:val="Heading2"/>
      </w:pPr>
      <w:r>
        <w:t xml:space="preserve">3. Seguimiento de satoshis (sat tracking)</w:t>
      </w:r>
    </w:p>
    <w:p>
      <w:pPr>
        <w:pStyle w:val="FirstParagraph"/>
      </w:pPr>
      <w:r>
        <w:t xml:space="preserve">El indexador determina a qué satoshi queda anclada cada inscripción y sigue su</w:t>
      </w:r>
      <w:r>
        <w:t xml:space="preserve"> </w:t>
      </w:r>
      <w:r>
        <w:t xml:space="preserve">recorrido en transferencias posteriores, de modo que la titularidad del Ordinal</w:t>
      </w:r>
      <w:r>
        <w:t xml:space="preserve"> </w:t>
      </w:r>
      <w:r>
        <w:t xml:space="preserve">representa la titularidad del activo tokenizado.</w:t>
      </w:r>
    </w:p>
    <w:bookmarkEnd w:id="22"/>
    <w:bookmarkStart w:id="23" w:name="implementación-en-la-plataforma"/>
    <w:p>
      <w:pPr>
        <w:pStyle w:val="Heading2"/>
      </w:pPr>
      <w:r>
        <w:t xml:space="preserve">4. Implementación en la plataforma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api/ordinals/inscription-parser.ts</w:t>
      </w:r>
      <w:r>
        <w:t xml:space="preserve"> </w:t>
      </w:r>
      <w:r>
        <w:t xml:space="preserve">— reconstruye el</w:t>
      </w:r>
      <w:r>
        <w:t xml:space="preserve"> </w:t>
      </w:r>
      <w:r>
        <w:rPr>
          <w:iCs/>
          <w:i/>
        </w:rPr>
        <w:t xml:space="preserve">witness envelope</w:t>
      </w:r>
      <w:r>
        <w:t xml:space="preserve">,</w:t>
      </w:r>
      <w:r>
        <w:t xml:space="preserve"> </w:t>
      </w:r>
      <w:r>
        <w:t xml:space="preserve">valida el marcador</w:t>
      </w:r>
      <w:r>
        <w:t xml:space="preserve"> </w:t>
      </w:r>
      <w:r>
        <w:rPr>
          <w:rStyle w:val="VerbatimChar"/>
        </w:rPr>
        <w:t xml:space="preserve">"ord"</w:t>
      </w:r>
      <w:r>
        <w:t xml:space="preserve">, extrae</w:t>
      </w:r>
      <w:r>
        <w:t xml:space="preserve"> </w:t>
      </w:r>
      <w:r>
        <w:rPr>
          <w:rStyle w:val="VerbatimChar"/>
        </w:rPr>
        <w:t xml:space="preserve">content-type</w:t>
      </w:r>
      <w:r>
        <w:t xml:space="preserve"> </w:t>
      </w:r>
      <w:r>
        <w:t xml:space="preserve">y contenido.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api/ordinals/ordinals-indexer.ts</w:t>
      </w:r>
      <w:r>
        <w:t xml:space="preserve"> </w:t>
      </w:r>
      <w:r>
        <w:t xml:space="preserve">— asigna la inscripción a su satoshi y</w:t>
      </w:r>
      <w:r>
        <w:t xml:space="preserve"> </w:t>
      </w:r>
      <w:r>
        <w:t xml:space="preserve">registra su procedencia.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api/ordinals/ordinals-api.ts</w:t>
      </w:r>
      <w:r>
        <w:t xml:space="preserve"> </w:t>
      </w:r>
      <w:r>
        <w:t xml:space="preserve">— expone metadatos y contenido bruto</w:t>
      </w:r>
      <w:r>
        <w:t xml:space="preserve"> </w:t>
      </w:r>
      <w:r>
        <w:t xml:space="preserve">(ver</w:t>
      </w:r>
      <w:r>
        <w:t xml:space="preserve"> </w:t>
      </w:r>
      <w:r>
        <w:rPr>
          <w:rStyle w:val="VerbatimChar"/>
        </w:rPr>
        <w:t xml:space="preserve">API.md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repositories/OrdinalsRepository.ts</w:t>
      </w:r>
      <w:r>
        <w:t xml:space="preserve"> </w:t>
      </w:r>
      <w:r>
        <w:t xml:space="preserve">— persistencia (contenido en</w:t>
      </w:r>
      <w:r>
        <w:t xml:space="preserve"> </w:t>
      </w:r>
      <w:r>
        <w:rPr>
          <w:rStyle w:val="VerbatimChar"/>
        </w:rPr>
        <w:t xml:space="preserve">LONGBLOB</w:t>
      </w:r>
      <w:r>
        <w:t xml:space="preserve">).</w:t>
      </w:r>
    </w:p>
    <w:bookmarkEnd w:id="23"/>
    <w:bookmarkStart w:id="24" w:name="vínculo-con-rwa"/>
    <w:p>
      <w:pPr>
        <w:pStyle w:val="Heading2"/>
      </w:pPr>
      <w:r>
        <w:t xml:space="preserve">5. Vínculo con RWA</w:t>
      </w:r>
    </w:p>
    <w:p>
      <w:pPr>
        <w:pStyle w:val="FirstParagraph"/>
      </w:pPr>
      <w:r>
        <w:t xml:space="preserve">Un activo del mundo real (</w:t>
      </w:r>
      <w:r>
        <w:rPr>
          <w:rStyle w:val="VerbatimChar"/>
        </w:rPr>
        <w:t xml:space="preserve">rwa-registry</w:t>
      </w:r>
      <w:r>
        <w:t xml:space="preserve">) referencia el</w:t>
      </w:r>
      <w:r>
        <w:t xml:space="preserve"> </w:t>
      </w:r>
      <w:r>
        <w:rPr>
          <w:rStyle w:val="VerbatimChar"/>
        </w:rPr>
        <w:t xml:space="preserve">inscriptionId</w:t>
      </w:r>
      <w:r>
        <w:t xml:space="preserve"> </w:t>
      </w:r>
      <w:r>
        <w:t xml:space="preserve">del</w:t>
      </w:r>
      <w:r>
        <w:t xml:space="preserve"> </w:t>
      </w:r>
      <w:r>
        <w:t xml:space="preserve">Ordinal que porta sus metadatos legales. Así, el Ordinal es el ancla de</w:t>
      </w:r>
      <w:r>
        <w:t xml:space="preserve"> </w:t>
      </w:r>
      <w:r>
        <w:t xml:space="preserve">titularidad on-chain, mientras que el Rune opcional aporta fraccionamiento y</w:t>
      </w:r>
      <w:r>
        <w:t xml:space="preserve"> </w:t>
      </w:r>
      <w:r>
        <w:t xml:space="preserve">liquidez.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Copyright ®NESGESFinance Ecosystem S.A.S. BIC. &amp; LLC. EIN: 0008086872 — TODOS LOS DERECHOS RESERVADOS 2025-2026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2026-08-01T15:57:32Z</dcterms:created>
  <dcterms:modified xsi:type="dcterms:W3CDTF">2026-08-01T15:57:32Z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