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tocolo-runes-nesgesfinancetrust"/>
    <w:p>
      <w:pPr>
        <w:pStyle w:val="Heading1"/>
      </w:pPr>
      <w:r>
        <w:t xml:space="preserve">Protocolo Runes — NESGESFinanceTrust</w:t>
      </w:r>
    </w:p>
    <w:p>
      <w:pPr>
        <w:pStyle w:val="BlockText"/>
      </w:pPr>
      <w:r>
        <w:t xml:space="preserve">Plataforma:</w:t>
      </w:r>
      <w:r>
        <w:t xml:space="preserve"> </w:t>
      </w:r>
      <w:r>
        <w:rPr>
          <w:bCs/>
          <w:b/>
        </w:rPr>
        <w:t xml:space="preserve">nesgesfinancetrust.com</w:t>
      </w:r>
      <w:r>
        <w:t xml:space="preserve"> </w:t>
      </w:r>
      <w:r>
        <w:t xml:space="preserve">· Versión</w:t>
      </w:r>
      <w:r>
        <w:t xml:space="preserve"> </w:t>
      </w:r>
      <w:r>
        <w:rPr>
          <w:bCs/>
          <w:b/>
        </w:rPr>
        <w:t xml:space="preserve">v3.4-dev</w:t>
      </w:r>
      <w:r>
        <w:t xml:space="preserve"> </w:t>
      </w:r>
      <w:r>
        <w:t xml:space="preserve">(Agosto 2026)</w:t>
      </w:r>
      <w:r>
        <w:t xml:space="preserve"> </w:t>
      </w:r>
      <w:r>
        <w:t xml:space="preserve">Empresa:</w:t>
      </w:r>
      <w:r>
        <w:t xml:space="preserve"> </w:t>
      </w:r>
      <w:r>
        <w:rPr>
          <w:bCs/>
          <w:b/>
        </w:rPr>
        <w:t xml:space="preserve">NESGESFinance Ecosystem S.A.S. BIC. &amp; LLC.</w:t>
      </w:r>
      <w:r>
        <w:t xml:space="preserve"> </w:t>
      </w:r>
      <w:r>
        <w:t xml:space="preserve">· EIN: 0008086872</w:t>
      </w:r>
    </w:p>
    <w:p>
      <w:pPr>
        <w:pStyle w:val="FirstParagraph"/>
      </w:pPr>
      <w:r>
        <w:t xml:space="preserve">En NESGESFinance, los</w:t>
      </w:r>
      <w:r>
        <w:t xml:space="preserve"> </w:t>
      </w:r>
      <w:r>
        <w:rPr>
          <w:bCs/>
          <w:b/>
        </w:rPr>
        <w:t xml:space="preserve">Runes</w:t>
      </w:r>
      <w:r>
        <w:t xml:space="preserve"> </w:t>
      </w:r>
      <w:r>
        <w:t xml:space="preserve">son</w:t>
      </w:r>
      <w:r>
        <w:t xml:space="preserve"> </w:t>
      </w:r>
      <w:r>
        <w:rPr>
          <w:bCs/>
          <w:b/>
        </w:rPr>
        <w:t xml:space="preserve">Utility Tokens</w:t>
      </w:r>
      <w:r>
        <w:t xml:space="preserve"> </w:t>
      </w:r>
      <w:r>
        <w:t xml:space="preserve">fungibles nativos de</w:t>
      </w:r>
      <w:r>
        <w:t xml:space="preserve"> </w:t>
      </w:r>
      <w:r>
        <w:t xml:space="preserve">Bitcoin. Implementan el protocolo Runes de</w:t>
      </w:r>
      <w:r>
        <w:t xml:space="preserve"> </w:t>
      </w:r>
      <w:r>
        <w:rPr>
          <w:bCs/>
          <w:b/>
        </w:rPr>
        <w:t xml:space="preserve">Casey Rodarmor</w:t>
      </w:r>
      <w:r>
        <w:t xml:space="preserve">, activado en el</w:t>
      </w:r>
      <w:r>
        <w:t xml:space="preserve"> </w:t>
      </w:r>
      <w:r>
        <w:t xml:space="preserve">bloque</w:t>
      </w:r>
      <w:r>
        <w:t xml:space="preserve"> </w:t>
      </w:r>
      <w:r>
        <w:rPr>
          <w:bCs/>
          <w:b/>
        </w:rPr>
        <w:t xml:space="preserve">840000</w:t>
      </w:r>
      <w:r>
        <w:t xml:space="preserve"> </w:t>
      </w:r>
      <w:r>
        <w:t xml:space="preserve">(halving de 2024).</w:t>
      </w:r>
    </w:p>
    <w:bookmarkStart w:id="20" w:name="fundamentos"/>
    <w:p>
      <w:pPr>
        <w:pStyle w:val="Heading2"/>
      </w:pPr>
      <w:r>
        <w:t xml:space="preserve">1. Fundamentos</w:t>
      </w:r>
    </w:p>
    <w:p>
      <w:pPr>
        <w:numPr>
          <w:ilvl w:val="0"/>
          <w:numId w:val="1001"/>
        </w:numPr>
        <w:pStyle w:val="Compact"/>
      </w:pPr>
      <w:r>
        <w:t xml:space="preserve">Los Runes se emiten y transfieren mediante un</w:t>
      </w:r>
      <w:r>
        <w:t xml:space="preserve"> </w:t>
      </w:r>
      <w:r>
        <w:rPr>
          <w:bCs/>
          <w:b/>
        </w:rPr>
        <w:t xml:space="preserve">RuneStone</w:t>
      </w:r>
      <w:r>
        <w:t xml:space="preserve">: un mensaje</w:t>
      </w:r>
      <w:r>
        <w:t xml:space="preserve"> </w:t>
      </w:r>
      <w:r>
        <w:t xml:space="preserve">codificado dentro de una salida</w:t>
      </w:r>
      <w:r>
        <w:t xml:space="preserve"> </w:t>
      </w:r>
      <w:r>
        <w:rPr>
          <w:rStyle w:val="VerbatimChar"/>
        </w:rPr>
        <w:t xml:space="preserve">OP_RETURN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OP_RETURN</w:t>
      </w:r>
      <w:r>
        <w:t xml:space="preserve"> </w:t>
      </w:r>
      <w:r>
        <w:t xml:space="preserve">va seguido de</w:t>
      </w:r>
      <w:r>
        <w:t xml:space="preserve"> </w:t>
      </w:r>
      <w:r>
        <w:rPr>
          <w:rStyle w:val="VerbatimChar"/>
        </w:rPr>
        <w:t xml:space="preserve">OP_13</w:t>
      </w:r>
      <w:r>
        <w:t xml:space="preserve"> </w:t>
      </w:r>
      <w:r>
        <w:t xml:space="preserve">(el</w:t>
      </w:r>
      <w:r>
        <w:t xml:space="preserve"> </w:t>
      </w:r>
      <w:r>
        <w:rPr>
          <w:iCs/>
          <w:i/>
        </w:rPr>
        <w:t xml:space="preserve">magic number</w:t>
      </w:r>
      <w:r>
        <w:t xml:space="preserve"> </w:t>
      </w:r>
      <w:r>
        <w:t xml:space="preserve">del protocolo) y de</w:t>
      </w:r>
      <w:r>
        <w:t xml:space="preserve"> </w:t>
      </w:r>
      <w:r>
        <w:t xml:space="preserve">un cuerpo de enteros codificados en</w:t>
      </w:r>
      <w:r>
        <w:t xml:space="preserve"> </w:t>
      </w:r>
      <w:r>
        <w:rPr>
          <w:bCs/>
          <w:b/>
        </w:rPr>
        <w:t xml:space="preserve">LEB128</w:t>
      </w:r>
      <w:r>
        <w:t xml:space="preserve"> </w:t>
      </w:r>
      <w:r>
        <w:t xml:space="preserve">(varint de longitud variable).</w:t>
      </w:r>
    </w:p>
    <w:p>
      <w:pPr>
        <w:numPr>
          <w:ilvl w:val="0"/>
          <w:numId w:val="1001"/>
        </w:numPr>
        <w:pStyle w:val="Compact"/>
      </w:pPr>
      <w:r>
        <w:t xml:space="preserve">Un Rune se identifica por su</w:t>
      </w:r>
      <w:r>
        <w:t xml:space="preserve"> </w:t>
      </w:r>
      <w:r>
        <w:rPr>
          <w:rStyle w:val="VerbatimChar"/>
        </w:rPr>
        <w:t xml:space="preserve">RuneId</w:t>
      </w:r>
      <w:r>
        <w:t xml:space="preserve"> </w:t>
      </w:r>
      <w:r>
        <w:t xml:space="preserve">con la forma</w:t>
      </w:r>
      <w:r>
        <w:t xml:space="preserve"> </w:t>
      </w:r>
      <w:r>
        <w:rPr>
          <w:rStyle w:val="VerbatimChar"/>
        </w:rPr>
        <w:t xml:space="preserve">bloque:índiceTx</w:t>
      </w:r>
      <w:r>
        <w:t xml:space="preserve"> </w:t>
      </w:r>
      <w:r>
        <w:t xml:space="preserve">(p. ej.</w:t>
      </w:r>
      <w:r>
        <w:t xml:space="preserve"> </w:t>
      </w:r>
      <w:r>
        <w:rPr>
          <w:rStyle w:val="VerbatimChar"/>
        </w:rPr>
        <w:t xml:space="preserve">840000:1</w:t>
      </w:r>
      <w:r>
        <w:t xml:space="preserve">).</w:t>
      </w:r>
    </w:p>
    <w:bookmarkEnd w:id="20"/>
    <w:bookmarkStart w:id="21" w:name="operaciones"/>
    <w:p>
      <w:pPr>
        <w:pStyle w:val="Heading2"/>
      </w:pPr>
      <w:r>
        <w:t xml:space="preserve">2. Operaciones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03"/>
        <w:gridCol w:w="6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(grabado) de un nuevo Rune: nombre, símbolo, divisibilidad, suministro, condiciones de acuñación.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Acuñación de unidades según los términos definidos en el</w:t>
            </w:r>
            <w:r>
              <w:t xml:space="preserve"> </w:t>
            </w:r>
            <w:r>
              <w:rPr>
                <w:iCs/>
                <w:i/>
              </w:rPr>
              <w:t xml:space="preserve">etch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Reparto de saldos entre las salidas de la transacción (</w:t>
            </w:r>
            <w:r>
              <w:rPr>
                <w:iCs/>
                <w:i/>
              </w:rPr>
              <w:t xml:space="preserve">edicts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Cenotaph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RuneStone malformado o no reconocido: quema los Runes implicados.</w:t>
            </w:r>
          </w:p>
        </w:tc>
      </w:tr>
    </w:tbl>
    <w:bookmarkEnd w:id="21"/>
    <w:bookmarkStart w:id="22" w:name="estructura-del-runestone"/>
    <w:p>
      <w:pPr>
        <w:pStyle w:val="Heading2"/>
      </w:pPr>
      <w:r>
        <w:t xml:space="preserve">3. Estructura del RuneStone</w:t>
      </w:r>
    </w:p>
    <w:p>
      <w:pPr>
        <w:pStyle w:val="FirstParagraph"/>
      </w:pPr>
      <w:r>
        <w:t xml:space="preserve">El cuerpo es una secuencia de pares</w:t>
      </w:r>
      <w:r>
        <w:t xml:space="preserve"> </w:t>
      </w:r>
      <w:r>
        <w:rPr>
          <w:iCs/>
          <w:i/>
        </w:rPr>
        <w:t xml:space="preserve">tag → valor</w:t>
      </w:r>
      <w:r>
        <w:t xml:space="preserve"> </w:t>
      </w:r>
      <w:r>
        <w:t xml:space="preserve">codificados en LEB128: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Body / edicts:</w:t>
      </w:r>
      <w:r>
        <w:t xml:space="preserve"> </w:t>
      </w:r>
      <w:r>
        <w:t xml:space="preserve">tuplas</w:t>
      </w:r>
      <w:r>
        <w:t xml:space="preserve"> </w:t>
      </w:r>
      <w:r>
        <w:rPr>
          <w:rStyle w:val="VerbatimChar"/>
        </w:rPr>
        <w:t xml:space="preserve">(id_bloque, id_tx, cantidad, salida)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Flags:</w:t>
      </w:r>
      <w:r>
        <w:t xml:space="preserve"> </w:t>
      </w:r>
      <w:r>
        <w:t xml:space="preserve">indican si hay</w:t>
      </w:r>
      <w:r>
        <w:t xml:space="preserve"> </w:t>
      </w:r>
      <w:r>
        <w:rPr>
          <w:iCs/>
          <w:i/>
        </w:rPr>
        <w:t xml:space="preserve">etching</w:t>
      </w:r>
      <w:r>
        <w:t xml:space="preserve"> </w:t>
      </w:r>
      <w:r>
        <w:t xml:space="preserve">y/o</w:t>
      </w:r>
      <w:r>
        <w:t xml:space="preserve"> </w:t>
      </w:r>
      <w:r>
        <w:rPr>
          <w:iCs/>
          <w:i/>
        </w:rPr>
        <w:t xml:space="preserve">mint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Campos:</w:t>
      </w:r>
      <w:r>
        <w:t xml:space="preserve"> </w:t>
      </w:r>
      <w:r>
        <w:rPr>
          <w:rStyle w:val="VerbatimChar"/>
        </w:rPr>
        <w:t xml:space="preserve">Rune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Pointer</w:t>
      </w:r>
      <w:r>
        <w:t xml:space="preserve">.</w:t>
      </w:r>
    </w:p>
    <w:bookmarkEnd w:id="22"/>
    <w:bookmarkStart w:id="23" w:name="implementación-en-la-plataforma"/>
    <w:p>
      <w:pPr>
        <w:pStyle w:val="Heading2"/>
      </w:pPr>
      <w:r>
        <w:t xml:space="preserve">4. Implementación en la plataforma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api/runes/runes-parser.ts</w:t>
      </w:r>
      <w:r>
        <w:t xml:space="preserve"> </w:t>
      </w:r>
      <w:r>
        <w:t xml:space="preserve">— decodifica el</w:t>
      </w:r>
      <w:r>
        <w:t xml:space="preserve"> </w:t>
      </w:r>
      <w:r>
        <w:rPr>
          <w:rStyle w:val="VerbatimChar"/>
        </w:rPr>
        <w:t xml:space="preserve">OP_RETURN</w:t>
      </w:r>
      <w:r>
        <w:t xml:space="preserve">, valida</w:t>
      </w:r>
      <w:r>
        <w:t xml:space="preserve"> </w:t>
      </w:r>
      <w:r>
        <w:rPr>
          <w:rStyle w:val="VerbatimChar"/>
        </w:rPr>
        <w:t xml:space="preserve">OP_13</w:t>
      </w:r>
      <w:r>
        <w:t xml:space="preserve">,</w:t>
      </w:r>
      <w:r>
        <w:t xml:space="preserve"> </w:t>
      </w:r>
      <w:r>
        <w:t xml:space="preserve">lee los enteros LEB128 y reconstruye el RuneStone (detecta</w:t>
      </w:r>
      <w:r>
        <w:t xml:space="preserve"> </w:t>
      </w:r>
      <w:r>
        <w:rPr>
          <w:iCs/>
          <w:i/>
        </w:rPr>
        <w:t xml:space="preserve">cenotaphs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api/runes/runes-indexer.ts</w:t>
      </w:r>
      <w:r>
        <w:t xml:space="preserve"> </w:t>
      </w:r>
      <w:r>
        <w:t xml:space="preserve">— aplica</w:t>
      </w:r>
      <w:r>
        <w:t xml:space="preserve"> </w:t>
      </w:r>
      <w:r>
        <w:rPr>
          <w:iCs/>
          <w:i/>
        </w:rPr>
        <w:t xml:space="preserve">etch/mint/transfer</w:t>
      </w:r>
      <w:r>
        <w:t xml:space="preserve"> </w:t>
      </w:r>
      <w:r>
        <w:t xml:space="preserve">sobre el estado y</w:t>
      </w:r>
      <w:r>
        <w:t xml:space="preserve"> </w:t>
      </w:r>
      <w:r>
        <w:t xml:space="preserve">actualiza saldos de titulares.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api/runes/runes-api.ts</w:t>
      </w:r>
      <w:r>
        <w:t xml:space="preserve"> </w:t>
      </w:r>
      <w:r>
        <w:t xml:space="preserve">— expone las consultas REST (ver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repositories/RunesRepository.ts</w:t>
      </w:r>
      <w:r>
        <w:t xml:space="preserve"> </w:t>
      </w:r>
      <w:r>
        <w:t xml:space="preserve">— persistencia de Runes y titulares.</w:t>
      </w:r>
    </w:p>
    <w:bookmarkEnd w:id="23"/>
    <w:bookmarkStart w:id="24" w:name="nombres-y-espaciadores"/>
    <w:p>
      <w:pPr>
        <w:pStyle w:val="Heading2"/>
      </w:pPr>
      <w:r>
        <w:t xml:space="preserve">5. Nombres y espaciadores</w:t>
      </w:r>
    </w:p>
    <w:p>
      <w:pPr>
        <w:pStyle w:val="FirstParagraph"/>
      </w:pPr>
      <w:r>
        <w:t xml:space="preserve">Los nombres se representan en base 26 (A–Z) y admiten</w:t>
      </w:r>
      <w:r>
        <w:t xml:space="preserve"> </w:t>
      </w:r>
      <w:r>
        <w:rPr>
          <w:bCs/>
          <w:b/>
        </w:rPr>
        <w:t xml:space="preserve">espaciadores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•</w:t>
      </w:r>
      <w:r>
        <w:t xml:space="preserve">)</w:t>
      </w:r>
      <w:r>
        <w:t xml:space="preserve"> </w:t>
      </w:r>
      <w:r>
        <w:t xml:space="preserve">puramente visuales (p. ej.</w:t>
      </w:r>
      <w:r>
        <w:t xml:space="preserve"> </w:t>
      </w:r>
      <w:r>
        <w:rPr>
          <w:rStyle w:val="VerbatimChar"/>
        </w:rPr>
        <w:t xml:space="preserve">UNCOMMON•GOODS</w:t>
      </w:r>
      <w:r>
        <w:t xml:space="preserve">). El indexador almacena el nombre</w:t>
      </w:r>
      <w:r>
        <w:t xml:space="preserve"> </w:t>
      </w:r>
      <w:r>
        <w:t xml:space="preserve">canónico y su versión con espaciadores.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Copyright ®NESGESFinance Ecosystem S.A.S. BIC. &amp; LLC. EIN: 0008086872 — TODOS LOS DERECHOS RESERVADOS 2025-2026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2026-08-01T15:57:15Z</dcterms:created>
  <dcterms:modified xsi:type="dcterms:W3CDTF">2026-08-01T15:57:15Z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