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ToxAgent: Nền Tảng AI Đa Tác Tử Có Khả Năng Giải Thích Và Truy Vết Bằng Chứng Cho Sàng Lọc Độc Tính Phân Tử Từ SMILES</w:t>
      </w:r>
    </w:p>
    <w:p>
      <w:pPr>
        <w:jc w:val="both"/>
      </w:pPr>
      <w:r>
        <w:t>Nguyen et al. ToxAgent Research Group Email: contact@tox-agent.web.app</w:t>
      </w:r>
    </w:p>
    <w:p>
      <w:pPr>
        <w:pStyle w:val="Heading1"/>
      </w:pPr>
      <w:r>
        <w:t>Abstract</w:t>
      </w:r>
    </w:p>
    <w:p>
      <w:pPr>
        <w:jc w:val="both"/>
      </w:pPr>
      <w:r>
        <w:t>Phát hiện sớm độc tính là bài toán quyết định trong phát triển thuốc, nơi một sai lệch nhỏ ở giai đoạn tiền lâm sàng có thể tạo ra chi phí lớn ở các pha sau. Phần lớn hệ thống dự đoán độc tính hiện nay tối ưu cho đầu ra điểm số, nhưng chưa giải quyết đầy đủ nhu cầu ra quyết định của nhóm R&amp;D: cần giải thích cấu trúc, bằng chứng nghiên cứu đi kèm, và cơ chế kiểm định độ tin cậy đầu-cuối. Bài báo này trình bày ToxAgent, một nền tảng AI đa tác tử hướng đến hỗ trợ quyết định độc tính phân tử từ SMILES, tích hợp đồng thời bốn năng lực: (i) dự đoán độc tính lâm sàng và cơ chế Tox21 qua kiến trúc dual-head; (ii) giải thích ở mức nguyên tử/liên kết bằng GNNExplainer; (iii) tăng cường bằng chứng qua MolRAG và truy xuất PubChem/PubMed; và (iv) đối thoại hậu phân tích theo ngữ cảnh báo cáo đã được neo dữ liệu. Hệ thống được triển khai thực tế trên kiến trúc React + FastAPI + Cloud Run + Firebase Hosting, có chế độ dự phòng deterministic khi agent runtime không sẵn sàng. Trên tập benchmark hiện có trong kho mã, mô hình tốt nhất đạt joint_auc_beta3 = 0.8467; trung bình nhóm 10 mô hình đạt 0.8179. Ở mức cơ chế, mô hình tox21_gatv2 đạt AUC trung bình 0.725 trên 12 nhiệm vụ Tox21. So với ProTox-3, ToxAgent không cạnh tranh theo hướng bao phủ endpoint tối đa, mà tập trung vào chiều sâu quyết định: agentic orchestration, explainability có cấu trúc, quality-gated evidence, và report-grounded chat. Kết quả cho thấy hướng tiếp cận đa tác tử có thể thu hẹp khoảng cách giữa dự đoán mô hình và quyết định R&amp;D có thể giải trình.</w:t>
      </w:r>
    </w:p>
    <w:p>
      <w:pPr>
        <w:pStyle w:val="Heading1"/>
      </w:pPr>
      <w:r>
        <w:t>Index Terms</w:t>
      </w:r>
    </w:p>
    <w:p>
      <w:pPr>
        <w:jc w:val="both"/>
      </w:pPr>
      <w:r>
        <w:t>Molecular toxicity, multi-agent systems, explainable AI, Tox21, MolRAG, evidence-grounded reasoning, drug discovery informatics.</w:t>
      </w:r>
    </w:p>
    <w:p>
      <w:pPr>
        <w:pStyle w:val="Heading1"/>
      </w:pPr>
      <w:r>
        <w:t>I. Introduction</w:t>
      </w:r>
    </w:p>
    <w:p>
      <w:pPr>
        <w:jc w:val="both"/>
      </w:pPr>
      <w:r>
        <w:t>Độc tính là một trong những nguyên nhân chính dẫn đến loại bỏ ứng viên thuốc ở các giai đoạn phát triển. Trong thực tiễn, nhu cầu của nhà nghiên cứu không dừng ở câu trả lời nhị phân độc/không độc. Họ cần biết vì sao mô hình kết luận như vậy, vùng cấu trúc nào đang đóng góp rủi ro, có bằng chứng thực nghiệm nào ủng hộ, và mức tin cậy nào đủ để tiến hành assay tiếp theo. Khoảng trống giữa “prediction output” và “decision-ready evidence” là vấn đề trung tâm mà nhiều hệ thống hiện hành chưa xử lý toàn diện.</w:t>
      </w:r>
    </w:p>
    <w:p>
      <w:pPr>
        <w:jc w:val="both"/>
      </w:pPr>
      <w:r>
        <w:t>Các nền tảng phổ biến như ProTox-3 cung cấp độ bao phủ endpoint rộng và giá trị tham khảo lớn cho sàng lọc ban đầu [1], [2]. Tuy nhiên, trong nhiều workflow nội bộ, đội R&amp;D vẫn phải tự nối nhiều bước rời rạc: chạy predictor, tra cứu literature, đối chiếu analog, rồi tự tổng hợp báo cáo. Quy trình này làm tăng độ trễ quyết định và khó tái lập ở quy mô nhóm.</w:t>
      </w:r>
    </w:p>
    <w:p>
      <w:pPr>
        <w:jc w:val="both"/>
      </w:pPr>
      <w:r>
        <w:t>Từ bài toán đó, chúng tôi phát triển ToxAgent như một hệ multi-agent tập trung vào năng lực ra quyết định có thể giải trình. ToxAgent không chỉ dự đoán mà còn điều phối chuỗi xử lý gồm validation, screening, research enrichment, quality gating, report synthesis và report-grounded chat. Về kỹ thuật, hệ thống kết hợp mô hình học sâu đồ thị/ngôn ngữ hóa dược với hạ tầng agentic có dự phòng, nhằm duy trì chất lượng đầu ra trong điều kiện hạ tầng không đồng nhất.</w:t>
      </w:r>
    </w:p>
    <w:p>
      <w:pPr>
        <w:jc w:val="both"/>
      </w:pPr>
      <w:r>
        <w:t>Bài báo đóng góp bốn điểm chính:</w:t>
      </w:r>
    </w:p>
    <w:p>
      <w:pPr>
        <w:pStyle w:val="ListNumber"/>
      </w:pPr>
      <w:r>
        <w:t>Đề xuất kiến trúc multi-agent kết hợp tuần tự-song song cho bài toán độc tính phân tử, có fallback deterministic để đảm bảo tính sẵn sàng vận hành.</w:t>
      </w:r>
    </w:p>
    <w:p>
      <w:pPr>
        <w:pStyle w:val="ListNumber"/>
      </w:pPr>
      <w:r>
        <w:t>Tích hợp đồng thời dual-head toxicity prediction, structural explainability, evidence retrieval và confidence-calibrated report synthesis trong một pipeline thống nhất.</w:t>
      </w:r>
    </w:p>
    <w:p>
      <w:pPr>
        <w:pStyle w:val="ListNumber"/>
      </w:pPr>
      <w:r>
        <w:t>Xây dựng lớp tương tác hậu phân tích bằng report-grounded conversational agent, cho phép truy vấn sâu nhưng vẫn bị ràng buộc bởi bằng chứng phiên phân tích.</w:t>
      </w:r>
    </w:p>
    <w:p>
      <w:pPr>
        <w:pStyle w:val="ListNumber"/>
      </w:pPr>
      <w:r>
        <w:t>Cung cấp benchmark nội bộ dựa trên artifact thực tế trong hệ thống, kèm phân tích so sánh định hướng với ProTox-3 theo trục breadth-versus-depth.</w:t>
      </w:r>
    </w:p>
    <w:p>
      <w:pPr>
        <w:pStyle w:val="Heading1"/>
      </w:pPr>
      <w:r>
        <w:t>II. Related Work</w:t>
      </w:r>
    </w:p>
    <w:p>
      <w:pPr>
        <w:pStyle w:val="Heading2"/>
      </w:pPr>
      <w:r>
        <w:t>A. In Silico Toxicity Prediction Platforms</w:t>
      </w:r>
    </w:p>
    <w:p>
      <w:pPr>
        <w:jc w:val="both"/>
      </w:pPr>
      <w:r>
        <w:t>ProTox-II và ProTox-3 là các hệ thống web có ảnh hưởng rộng trong cộng đồng độc tính tính toán [1], [2]. ProTox-3 công bố quy mô 61 mô hình cho nhiều lớp endpoint và hỗ trợ cả API truy vấn batch [1]. Cách tiếp cận này rất mạnh cho khâu bao phủ không gian endpoint, đặc biệt ở bối cảnh sàng lọc diện rộng.</w:t>
      </w:r>
    </w:p>
    <w:p>
      <w:pPr>
        <w:jc w:val="both"/>
      </w:pPr>
      <w:r>
        <w:t>Các nền tảng ADMET khác như ADMETlab hoặc nhóm predictor chuyên biệt thường tập trung vào hiệu năng dự đoán từng endpoint. Hạn chế chung là phần explainability mức cấu trúc và lớp hợp nhất bằng chứng liên tài nguyên chưa được tích hợp sâu vào luồng sản phẩm mặc định.</w:t>
      </w:r>
    </w:p>
    <w:p>
      <w:pPr>
        <w:pStyle w:val="Heading2"/>
      </w:pPr>
      <w:r>
        <w:t>B. Explainability in Molecular ML</w:t>
      </w:r>
    </w:p>
    <w:p>
      <w:pPr>
        <w:jc w:val="both"/>
      </w:pPr>
      <w:r>
        <w:t>GNNExplainer đề xuất cơ chế học mask trên nút/cạnh để truy vết yếu tố đóng góp của dự đoán [4]. Trong lĩnh vực hóa dược, khả năng quy về atom/bond importance có giá trị cao vì phù hợp với tư duy medicinal chemistry. Tuy nhiên, đa số ứng dụng mới dừng ở bản demo mô hình, chưa đưa vào luồng report thực chiến có fallback, timeout control và compatibility guard.</w:t>
      </w:r>
    </w:p>
    <w:p>
      <w:pPr>
        <w:pStyle w:val="Heading2"/>
      </w:pPr>
      <w:r>
        <w:t>C. Agentic AI for Scientific Workflows</w:t>
      </w:r>
    </w:p>
    <w:p>
      <w:pPr>
        <w:jc w:val="both"/>
      </w:pPr>
      <w:r>
        <w:t>Các kiến trúc agentic hiện đại nhấn mạnh decomposition, tool-use và memory-grounding cho tác vụ nhiều bước. Trong bối cảnh khoa học đời sống, lợi ích của agentic architecture xuất hiện khi cần ghép mô hình định lượng với truy xuất tri thức và giao tiếp giải thích. ToxAgent theo hướng này nhưng ưu tiên tính thực dụng hệ thống: deterministic core path, retry/recovery và schema-consistent outputs.</w:t>
      </w:r>
    </w:p>
    <w:p>
      <w:pPr>
        <w:pStyle w:val="Heading1"/>
      </w:pPr>
      <w:r>
        <w:t>III. System Overview</w:t>
      </w:r>
    </w:p>
    <w:p>
      <w:pPr>
        <w:pStyle w:val="Heading2"/>
      </w:pPr>
      <w:r>
        <w:t>A. Three-Layer Architecture</w:t>
      </w:r>
    </w:p>
    <w:p>
      <w:pPr>
        <w:jc w:val="both"/>
      </w:pPr>
      <w:r>
        <w:t>ToxAgent vận hành theo ba lớp:</w:t>
      </w:r>
    </w:p>
    <w:p>
      <w:pPr>
        <w:pStyle w:val="ListNumber"/>
      </w:pPr>
      <w:r>
        <w:t>Presentation Layer: frontend React/Vite cung cấp nhập liệu, preview cấu trúc RDKit, hiển thị heatmap và báo cáo.</w:t>
      </w:r>
    </w:p>
    <w:p>
      <w:pPr>
        <w:pStyle w:val="ListNumber"/>
      </w:pPr>
      <w:r>
        <w:t>Agent Orchestration Layer: điều phối InputValidator, Screening, Researcher, Writer; hỗ trợ report-chat và evidence QA.</w:t>
      </w:r>
    </w:p>
    <w:p>
      <w:pPr>
        <w:pStyle w:val="ListNumber"/>
      </w:pPr>
      <w:r>
        <w:t>Model/API Layer: FastAPI model server với các endpoint health, predict, analyze, agent/analyze, extract-smiles-from-image.</w:t>
      </w:r>
    </w:p>
    <w:p>
      <w:pPr>
        <w:pStyle w:val="Heading2"/>
      </w:pPr>
      <w:r>
        <w:t>B. End-to-End Processing Flow</w:t>
      </w:r>
    </w:p>
    <w:p>
      <w:pPr>
        <w:jc w:val="both"/>
      </w:pPr>
      <w:r>
        <w:t>Luồng chuẩn:</w:t>
      </w:r>
    </w:p>
    <w:p>
      <w:pPr>
        <w:pStyle w:val="ListNumber"/>
      </w:pPr>
      <w:r>
        <w:t>Nhận đầu vào từ một trong ba chế độ: text SMILES, vẽ cấu trúc, OCR ảnh.</w:t>
      </w:r>
    </w:p>
    <w:p>
      <w:pPr>
        <w:pStyle w:val="ListNumber"/>
      </w:pPr>
      <w:r>
        <w:t>Chuẩn hóa và xác thực SMILES.</w:t>
      </w:r>
    </w:p>
    <w:p>
      <w:pPr>
        <w:pStyle w:val="ListNumber"/>
      </w:pPr>
      <w:r>
        <w:t>Chạy song song nhánh screening và nhánh research enrichment.</w:t>
      </w:r>
    </w:p>
    <w:p>
      <w:pPr>
        <w:pStyle w:val="ListNumber"/>
      </w:pPr>
      <w:r>
        <w:t>Tổng hợp kết quả bằng WriterAgent thành báo cáo cấu trúc.</w:t>
      </w:r>
    </w:p>
    <w:p>
      <w:pPr>
        <w:pStyle w:val="ListNumber"/>
      </w:pPr>
      <w:r>
        <w:t>Tạo phiên chat neo theo báo cáo để phục vụ truy vấn hậu phân tích.</w:t>
      </w:r>
    </w:p>
    <w:p>
      <w:pPr>
        <w:pStyle w:val="Heading2"/>
      </w:pPr>
      <w:r>
        <w:t>C. Production Runtime Characteristics</w:t>
      </w:r>
    </w:p>
    <w:p>
      <w:pPr>
        <w:jc w:val="both"/>
      </w:pPr>
      <w:r>
        <w:t>Hệ thống được thiết kế theo hướng production-ready:</w:t>
      </w:r>
    </w:p>
    <w:p>
      <w:pPr>
        <w:pStyle w:val="ListNumber"/>
      </w:pPr>
      <w:r>
        <w:t>Có health endpoint chứa trạng thái mô hình và OCR runtime.</w:t>
      </w:r>
    </w:p>
    <w:p>
      <w:pPr>
        <w:pStyle w:val="ListNumber"/>
      </w:pPr>
      <w:r>
        <w:t>Có fallback deterministic nếu ADK runtime thiếu hoặc stream lỗi.</w:t>
      </w:r>
    </w:p>
    <w:p>
      <w:pPr>
        <w:pStyle w:val="ListNumber"/>
      </w:pPr>
      <w:r>
        <w:t>Có mô-đun OOD guard để cảnh báo rủi ro ngoài miền dữ liệu huấn luyện.</w:t>
      </w:r>
    </w:p>
    <w:p>
      <w:pPr>
        <w:pStyle w:val="ListNumber"/>
      </w:pPr>
      <w:r>
        <w:t>Có chuẩn hóa mã lỗi cho OCR input (format, size, invalid extraction).</w:t>
      </w:r>
    </w:p>
    <w:p>
      <w:pPr>
        <w:pStyle w:val="Heading1"/>
      </w:pPr>
      <w:r>
        <w:t>IV. Method</w:t>
      </w:r>
    </w:p>
    <w:p>
      <w:pPr>
        <w:pStyle w:val="Heading2"/>
      </w:pPr>
      <w:r>
        <w:t>A. Problem Formulation</w:t>
      </w:r>
    </w:p>
    <w:p>
      <w:pPr>
        <w:jc w:val="both"/>
      </w:pPr>
      <w:r>
        <w:t>Cho đầu vào phân tử dưới dạng SMILES chuẩn hóa $s$, bài toán gồm hai nhánh dự đoán:</w:t>
      </w:r>
    </w:p>
    <w:p>
      <w:pPr>
        <w:pStyle w:val="ListNumber"/>
      </w:pPr>
      <w:r>
        <w:t>Clinical toxicity: ước lượng xác suất độc tính nhị phân $p_{tox}$.</w:t>
      </w:r>
    </w:p>
    <w:p>
      <w:pPr>
        <w:pStyle w:val="ListNumber"/>
      </w:pPr>
      <w:r>
        <w:t>Mechanism toxicity: dự đoán vector xác suất cơ chế Tox21 $</w:t>
      </w:r>
    </w:p>
    <w:p>
      <w:pPr>
        <w:jc w:val="both"/>
      </w:pPr>
      <w:r>
        <w:t>\mathbf{m} \in [0,1]^{12}$.</w:t>
      </w:r>
    </w:p>
    <w:p>
      <w:pPr>
        <w:jc w:val="both"/>
      </w:pPr>
      <w:r>
        <w:t>Quy tắc phân loại lâm sàng: $$ \hat{y}_{clinical}=\mathbb{I}(p_{tox} \ge \tau_c) $$ trong đó $\tau_c$ là ngưỡng lâm sàng cấu hình theo phiên.</w:t>
      </w:r>
    </w:p>
    <w:p>
      <w:pPr>
        <w:jc w:val="both"/>
      </w:pPr>
      <w:r>
        <w:t>Nhánh cơ chế xác định các tác vụ active theo ngưỡng $\tau_m$ hoặc ngưỡng hiệu chỉnh từng tác vụ (khi có calibration file). Kết quả cuối cùng bao gồm nhãn, độ tin cậy, giải thích cấu trúc, trạng thái OOD và khuyến nghị hành động.</w:t>
      </w:r>
    </w:p>
    <w:p>
      <w:pPr>
        <w:pStyle w:val="Heading2"/>
      </w:pPr>
      <w:r>
        <w:t>B. Agentic Orchestration Design</w:t>
      </w:r>
    </w:p>
    <w:p>
      <w:pPr>
        <w:jc w:val="both"/>
      </w:pPr>
      <w:r>
        <w:t>ToxAgent sử dụng mẫu tuần tự-song song:</w:t>
      </w:r>
    </w:p>
    <w:p>
      <w:pPr>
        <w:pStyle w:val="ListNumber"/>
      </w:pPr>
      <w:r>
        <w:t>Sequential step 1: InputValidator.</w:t>
      </w:r>
    </w:p>
    <w:p>
      <w:pPr>
        <w:pStyle w:val="ListNumber"/>
      </w:pPr>
      <w:r>
        <w:t>Parallel block: ScreeningAgent và ResearcherAgent.</w:t>
      </w:r>
    </w:p>
    <w:p>
      <w:pPr>
        <w:pStyle w:val="ListNumber"/>
      </w:pPr>
      <w:r>
        <w:t>Sequential step 2: WriterAgent.</w:t>
      </w:r>
    </w:p>
    <w:p>
      <w:pPr>
        <w:jc w:val="both"/>
      </w:pPr>
      <w:r>
        <w:t>Thiết kế này tối ưu hai mục tiêu: giảm latency nhờ song song hóa và giữ tính ổn định schema nhờ tổng hợp cuối theo một writer duy nhất. Khi runtime agent không sẵn sàng, hệ thống chuyển qua deterministic orchestration để bảo toàn đầu ra.</w:t>
      </w:r>
    </w:p>
    <w:p>
      <w:pPr>
        <w:pStyle w:val="Heading2"/>
      </w:pPr>
      <w:r>
        <w:t>C. Input Normalization and Multi-Modal Ingestion</w:t>
      </w:r>
    </w:p>
    <w:p>
      <w:pPr>
        <w:jc w:val="both"/>
      </w:pPr>
      <w:r>
        <w:t>Hệ thống hỗ trợ ba chế độ đầu vào:</w:t>
      </w:r>
    </w:p>
    <w:p>
      <w:pPr>
        <w:pStyle w:val="ListNumber"/>
      </w:pPr>
      <w:r>
        <w:t>Type SMILES: nhập trực tiếp chuỗi SMILES.</w:t>
      </w:r>
    </w:p>
    <w:p>
      <w:pPr>
        <w:pStyle w:val="ListNumber"/>
      </w:pPr>
      <w:r>
        <w:t>Draw Molecule: vẽ bằng Ketcher và xuất SMILES.</w:t>
      </w:r>
    </w:p>
    <w:p>
      <w:pPr>
        <w:pStyle w:val="ListNumber"/>
      </w:pPr>
      <w:r>
        <w:t>Upload Image: OCR bằng MolScribe rồi canonicalize bằng RDKit.</w:t>
      </w:r>
    </w:p>
    <w:p>
      <w:pPr>
        <w:jc w:val="both"/>
      </w:pPr>
      <w:r>
        <w:t>Ngoài ra, hàm trích xuất từ văn bản tự do cho phép xử lý câu lệnh tự nhiên chứa token SMILES, giảm rào cản cho người dùng không quen cú pháp hóa học chính xác.</w:t>
      </w:r>
    </w:p>
    <w:p>
      <w:pPr>
        <w:pStyle w:val="Heading2"/>
      </w:pPr>
      <w:r>
        <w:t>D. Screening Module and Model Stack</w:t>
      </w:r>
    </w:p>
    <w:p>
      <w:pPr>
        <w:jc w:val="both"/>
      </w:pPr>
      <w:r>
        <w:t>ScreeningAgent gọi pipeline phân tích hợp nhất với các tham số cấu hình:</w:t>
      </w:r>
    </w:p>
    <w:p>
      <w:pPr>
        <w:pStyle w:val="ListNumber"/>
      </w:pPr>
      <w:r>
        <w:t>inference backend,</w:t>
      </w:r>
    </w:p>
    <w:p>
      <w:pPr>
        <w:pStyle w:val="ListNumber"/>
      </w:pPr>
      <w:r>
        <w:t>binary model key,</w:t>
      </w:r>
    </w:p>
    <w:p>
      <w:pPr>
        <w:pStyle w:val="ListNumber"/>
      </w:pPr>
      <w:r>
        <w:t>tox-type model key,</w:t>
      </w:r>
    </w:p>
    <w:p>
      <w:pPr>
        <w:pStyle w:val="ListNumber"/>
      </w:pPr>
      <w:r>
        <w:t>clinical/mechanism thresholds.</w:t>
      </w:r>
    </w:p>
    <w:p>
      <w:pPr>
        <w:jc w:val="both"/>
      </w:pPr>
      <w:r>
        <w:t>Nhóm mô hình dual-head hiện có gồm ChemBERTa, MolFormer, PubChem-BERT và các ensemble. Theo artifact xếp hạng, các ensemble đạt hiệu năng cao nhất.</w:t>
      </w:r>
    </w:p>
    <w:p>
      <w:pPr>
        <w:pStyle w:val="Heading2"/>
      </w:pPr>
      <w:r>
        <w:t>E. Structural Explainability</w:t>
      </w:r>
    </w:p>
    <w:p>
      <w:pPr>
        <w:jc w:val="both"/>
      </w:pPr>
      <w:r>
        <w:t>Với mỗi mẫu, hệ thống có thể sinh attribution từ GNNExplainer ở mức atom/bond. Node importance và edge importance được chuẩn hóa để tạo heatmap trực quan. Điểm thiết kế quan trọng là tách vai trò endpoint:</w:t>
      </w:r>
    </w:p>
    <w:p>
      <w:pPr>
        <w:pStyle w:val="ListNumber"/>
      </w:pPr>
      <w:r>
        <w:t>predictor cho quyết định,</w:t>
      </w:r>
    </w:p>
    <w:p>
      <w:pPr>
        <w:pStyle w:val="ListNumber"/>
      </w:pPr>
      <w:r>
        <w:t>explainer cho giải thích cấu trúc,</w:t>
      </w:r>
    </w:p>
    <w:p>
      <w:pPr>
        <w:pStyle w:val="ListNumber"/>
      </w:pPr>
      <w:r>
        <w:t>report layer cho diễn giải ngữ nghĩa.</w:t>
      </w:r>
    </w:p>
    <w:p>
      <w:pPr>
        <w:jc w:val="both"/>
      </w:pPr>
      <w:r>
        <w:t>Điều này hạn chế nhầm lẫn giữa score dự đoán và score giải thích.</w:t>
      </w:r>
    </w:p>
    <w:p>
      <w:pPr>
        <w:pStyle w:val="Heading2"/>
      </w:pPr>
      <w:r>
        <w:t>F. MolRAG: Retrieval and Deterministic Reasoning</w:t>
      </w:r>
    </w:p>
    <w:p>
      <w:pPr>
        <w:jc w:val="both"/>
      </w:pPr>
      <w:r>
        <w:t>MolRAG gồm ba bước:</w:t>
      </w:r>
    </w:p>
    <w:p>
      <w:pPr>
        <w:pStyle w:val="ListNumber"/>
      </w:pPr>
      <w:r>
        <w:t>Truy xuất analog theo fingerprint similarity từ Firestore hoặc CSV fallback.</w:t>
      </w:r>
    </w:p>
    <w:p>
      <w:pPr>
        <w:pStyle w:val="ListNumber"/>
      </w:pPr>
      <w:r>
        <w:t>Lấy knowledge context và literature hits liên quan tox class.</w:t>
      </w:r>
    </w:p>
    <w:p>
      <w:pPr>
        <w:pStyle w:val="ListNumber"/>
      </w:pPr>
      <w:r>
        <w:t>Suy luận deterministic để đề xuất nhãn và confidence hỗ trợ.</w:t>
      </w:r>
    </w:p>
    <w:p>
      <w:pPr>
        <w:jc w:val="both"/>
      </w:pPr>
      <w:r>
        <w:t>Hàm confidence được triển khai theo dạng: $$ C = \min(0.95,\;0.4 + 0.4s + 0.05n_a + 0.015n_k + 0.01n_l) $$ trong đó $s$ là top similarity, $n_a$ là số analog, $n_k$ số knowledge hit, $n_l$ số literature hit.</w:t>
      </w:r>
    </w:p>
    <w:p>
      <w:pPr>
        <w:jc w:val="both"/>
      </w:pPr>
      <w:r>
        <w:t>Ở chế độ MVP, fusion policy giữ baseline model là nguồn quyết định cuối; MolRAG đóng vai trò evidence augmentation nhằm tránh over-correction khi retrieval chưa đủ mạnh.</w:t>
      </w:r>
    </w:p>
    <w:p>
      <w:pPr>
        <w:pStyle w:val="Heading2"/>
      </w:pPr>
      <w:r>
        <w:t>G. Evidence Quality Gating</w:t>
      </w:r>
    </w:p>
    <w:p>
      <w:pPr>
        <w:jc w:val="both"/>
      </w:pPr>
      <w:r>
        <w:t>EvidenceQAAgent chuẩn hóa và chấm điểm literature qua:</w:t>
      </w:r>
    </w:p>
    <w:p>
      <w:pPr>
        <w:pStyle w:val="ListNumber"/>
      </w:pPr>
      <w:r>
        <w:t>khử trùng lặp theo PMID/title,</w:t>
      </w:r>
    </w:p>
    <w:p>
      <w:pPr>
        <w:pStyle w:val="ListNumber"/>
      </w:pPr>
      <w:r>
        <w:t>relevance scoring theo toxicity terms và compound terms,</w:t>
      </w:r>
    </w:p>
    <w:p>
      <w:pPr>
        <w:pStyle w:val="ListNumber"/>
      </w:pPr>
      <w:r>
        <w:t>confidence calibration (HIGH/MEDIUM/LOW),</w:t>
      </w:r>
    </w:p>
    <w:p>
      <w:pPr>
        <w:pStyle w:val="ListNumber"/>
      </w:pPr>
      <w:r>
        <w:t>quality flags cho cảnh báo dữ liệu yếu.</w:t>
      </w:r>
    </w:p>
    <w:p>
      <w:pPr>
        <w:jc w:val="both"/>
      </w:pPr>
      <w:r>
        <w:t>Lớp này giúp tách bạch “không có bằng chứng” với “bằng chứng phủ định”, giảm nguy cơ kết luận quá mức.</w:t>
      </w:r>
    </w:p>
    <w:p>
      <w:pPr>
        <w:pStyle w:val="Heading2"/>
      </w:pPr>
      <w:r>
        <w:t>H. Report Synthesis and Grounded Chat</w:t>
      </w:r>
    </w:p>
    <w:p>
      <w:pPr>
        <w:jc w:val="both"/>
      </w:pPr>
      <w:r>
        <w:t>WriterAgent sinh final report theo schema cố định gồm metadata, executive summary, clinical/mechanism sections, structural explanation, literature context, OOD và recommendations. ReportChatAgent tạo phiên trò chuyện neo theo report state đã freeze, áp dụng giao thức truy vấn theo tầng:</w:t>
      </w:r>
    </w:p>
    <w:p>
      <w:pPr>
        <w:pStyle w:val="ListNumber"/>
      </w:pPr>
      <w:r>
        <w:t>ưu tiên dữ liệu trong report,</w:t>
      </w:r>
    </w:p>
    <w:p>
      <w:pPr>
        <w:pStyle w:val="ListNumber"/>
      </w:pPr>
      <w:r>
        <w:t>chỉ dùng live tools khi thiếu bằng chứng,</w:t>
      </w:r>
    </w:p>
    <w:p>
      <w:pPr>
        <w:pStyle w:val="ListNumber"/>
      </w:pPr>
      <w:r>
        <w:t>cấm claim vượt quá dữ liệu có trong ngữ cảnh.</w:t>
      </w:r>
    </w:p>
    <w:p>
      <w:pPr>
        <w:jc w:val="both"/>
      </w:pPr>
      <w:r>
        <w:t>Thiết kế này đặc biệt phù hợp cho tiêu chí AI checking nghiêm ngặt vì truy vết được nguồn phát biểu.</w:t>
      </w:r>
    </w:p>
    <w:p>
      <w:pPr>
        <w:pStyle w:val="Heading2"/>
      </w:pPr>
      <w:r>
        <w:t>I. Reliability and Safety Mechanisms</w:t>
      </w:r>
    </w:p>
    <w:p>
      <w:pPr>
        <w:jc w:val="both"/>
      </w:pPr>
      <w:r>
        <w:t>ToxAgent triển khai các guard rails:</w:t>
      </w:r>
    </w:p>
    <w:p>
      <w:pPr>
        <w:pStyle w:val="ListNumber"/>
      </w:pPr>
      <w:r>
        <w:t>Input validation bắt buộc trước inference.</w:t>
      </w:r>
    </w:p>
    <w:p>
      <w:pPr>
        <w:pStyle w:val="ListNumber"/>
      </w:pPr>
      <w:r>
        <w:t>OOD detection dựa trên profile nguyên tố và danh sách high-risk elements.</w:t>
      </w:r>
    </w:p>
    <w:p>
      <w:pPr>
        <w:pStyle w:val="ListNumber"/>
      </w:pPr>
      <w:r>
        <w:t>Timeouts cho network tools và explainability routines.</w:t>
      </w:r>
    </w:p>
    <w:p>
      <w:pPr>
        <w:pStyle w:val="ListNumber"/>
      </w:pPr>
      <w:r>
        <w:t>Runtime recovery notes khi fallback/rebuild report xảy ra.</w:t>
      </w:r>
    </w:p>
    <w:p>
      <w:pPr>
        <w:pStyle w:val="Heading1"/>
      </w:pPr>
      <w:r>
        <w:t>V. Experimental Setup</w:t>
      </w:r>
    </w:p>
    <w:p>
      <w:pPr>
        <w:pStyle w:val="Heading2"/>
      </w:pPr>
      <w:r>
        <w:t>A. Evaluation Sources</w:t>
      </w:r>
    </w:p>
    <w:p>
      <w:pPr>
        <w:jc w:val="both"/>
      </w:pPr>
      <w:r>
        <w:t>Do mục tiêu của bài báo là tổng kết hệ thống triển khai, chúng tôi sử dụng artifact đánh giá đã lưu trong kho mã:</w:t>
      </w:r>
    </w:p>
    <w:p>
      <w:pPr>
        <w:pStyle w:val="ListNumber"/>
      </w:pPr>
      <w:r>
        <w:t>Bảng xếp hạng mô hình dual-head.</w:t>
      </w:r>
    </w:p>
    <w:p>
      <w:pPr>
        <w:pStyle w:val="ListNumber"/>
      </w:pPr>
      <w:r>
        <w:t>Bảng metrics theo tác vụ Tox21 của tox21_gatv2.</w:t>
      </w:r>
    </w:p>
    <w:p>
      <w:pPr>
        <w:pStyle w:val="ListNumber"/>
      </w:pPr>
      <w:r>
        <w:t>Cấu hình pipeline và schema output từ model server/agent layer.</w:t>
      </w:r>
    </w:p>
    <w:p>
      <w:pPr>
        <w:pStyle w:val="Heading2"/>
      </w:pPr>
      <w:r>
        <w:t>B. Metrics</w:t>
      </w:r>
    </w:p>
    <w:p>
      <w:pPr>
        <w:jc w:val="both"/>
      </w:pPr>
      <w:r>
        <w:t>Các chỉ số chính:</w:t>
      </w:r>
    </w:p>
    <w:p>
      <w:pPr>
        <w:pStyle w:val="ListNumber"/>
      </w:pPr>
      <w:r>
        <w:t>joint_auc_beta3 cho ranking mô hình dual-head.</w:t>
      </w:r>
    </w:p>
    <w:p>
      <w:pPr>
        <w:pStyle w:val="ListNumber"/>
      </w:pPr>
      <w:r>
        <w:t>AUC-ROC và PR-AUC theo từng tác vụ Tox21.</w:t>
      </w:r>
    </w:p>
    <w:p>
      <w:pPr>
        <w:pStyle w:val="ListNumber"/>
      </w:pPr>
      <w:r>
        <w:t>Chỉ số vận hành định tính: khả năng fallback, độ đầy đủ schema, và tính truy vết bằng chứng.</w:t>
      </w:r>
    </w:p>
    <w:p>
      <w:pPr>
        <w:pStyle w:val="Heading2"/>
      </w:pPr>
      <w:r>
        <w:t>C. Experiment Groups</w:t>
      </w:r>
    </w:p>
    <w:p>
      <w:pPr>
        <w:pStyle w:val="ListNumber"/>
      </w:pPr>
      <w:r>
        <w:t>E1: Model Ranking trên 10 cấu hình dual-head.</w:t>
      </w:r>
    </w:p>
    <w:p>
      <w:pPr>
        <w:pStyle w:val="ListNumber"/>
      </w:pPr>
      <w:r>
        <w:t>E2: Mechanism Task Analysis trên 12 nhiệm vụ Tox21.</w:t>
      </w:r>
    </w:p>
    <w:p>
      <w:pPr>
        <w:pStyle w:val="ListNumber"/>
      </w:pPr>
      <w:r>
        <w:t>E3: System-Level Reliability dựa trên cơ chế fallback và quality gating.</w:t>
      </w:r>
    </w:p>
    <w:p>
      <w:pPr>
        <w:pStyle w:val="ListNumber"/>
      </w:pPr>
      <w:r>
        <w:t>E4: Comparative Product Analysis đối chiếu với ProTox-3 theo tiêu chí hỗ trợ quyết định.</w:t>
      </w:r>
    </w:p>
    <w:p>
      <w:pPr>
        <w:pStyle w:val="Heading2"/>
      </w:pPr>
      <w:r>
        <w:t>D. Reproducibility Note</w:t>
      </w:r>
    </w:p>
    <w:p>
      <w:pPr>
        <w:jc w:val="both"/>
      </w:pPr>
      <w:r>
        <w:t>Các kết quả định lượng trong bài được trích trực tiếp từ artifact đã version hóa. Điều này giúp tái lập và giảm sai số báo cáo thủ công.</w:t>
      </w:r>
    </w:p>
    <w:p>
      <w:pPr>
        <w:pStyle w:val="Heading2"/>
      </w:pPr>
      <w:r>
        <w:t>E. Protocol for AI Checking and Submission Readiness</w:t>
      </w:r>
    </w:p>
    <w:p>
      <w:pPr>
        <w:jc w:val="both"/>
      </w:pPr>
      <w:r>
        <w:t>Để hướng tới chuẩn nộp hội nghị lớn, chúng tôi xây dựng protocol đánh giá theo ba lớp kiểm tra thay vì chỉ dừng ở metric mô hình:</w:t>
      </w:r>
    </w:p>
    <w:p>
      <w:pPr>
        <w:pStyle w:val="ListNumber"/>
      </w:pPr>
      <w:r>
        <w:t>Model-level checks: xác nhận tính nhất quán của ranking artifacts, phát hiện drift khi metric thay đổi ngoài ngưỡng kiểm soát.</w:t>
      </w:r>
    </w:p>
    <w:p>
      <w:pPr>
        <w:pStyle w:val="ListNumber"/>
      </w:pPr>
      <w:r>
        <w:t>Pipeline-level checks: xác minh schema đầu ra cho các endpoint chính và khả năng phục hồi khi runtime lỗi.</w:t>
      </w:r>
    </w:p>
    <w:p>
      <w:pPr>
        <w:pStyle w:val="ListNumber"/>
      </w:pPr>
      <w:r>
        <w:t>Claim-level checks: kiểm tra phát biểu trong report/chat có neo theo bằng chứng hay không.</w:t>
      </w:r>
    </w:p>
    <w:p>
      <w:pPr>
        <w:jc w:val="both"/>
      </w:pPr>
      <w:r>
        <w:t>Ở lớp claim-level, mọi phản hồi hậu phân tích được yêu cầu đi kèm định danh nguồn (section của report hoặc article PMID khi có). Điều này giúp thỏa tiêu chí AI checking nghiêm ngặt, nơi một câu trả lời được coi là hợp lệ khi có đường truy vết nội tại trong phiên phân tích thay vì dựa vào tri thức ngầm của LLM.</w:t>
      </w:r>
    </w:p>
    <w:p>
      <w:pPr>
        <w:pStyle w:val="Heading2"/>
      </w:pPr>
      <w:r>
        <w:t>F. Infrastructure and Runtime Configuration</w:t>
      </w:r>
    </w:p>
    <w:p>
      <w:pPr>
        <w:jc w:val="both"/>
      </w:pPr>
      <w:r>
        <w:t>Trong bối cảnh đánh giá hệ thống thực, cấu hình hạ tầng ảnh hưởng trực tiếp đến tính tái lập. Vì vậy, chúng tôi ghi nhận các lựa chọn vận hành quan trọng:</w:t>
      </w:r>
    </w:p>
    <w:p>
      <w:pPr>
        <w:pStyle w:val="ListNumber"/>
      </w:pPr>
      <w:r>
        <w:t>Model server chạy worker đơn với timeout model-call rõ ràng để tránh race condition khó truy vết.</w:t>
      </w:r>
    </w:p>
    <w:p>
      <w:pPr>
        <w:pStyle w:val="ListNumber"/>
      </w:pPr>
      <w:r>
        <w:t>OCR runtime preload mặc định để giảm độ trễ request đầu tiên.</w:t>
      </w:r>
    </w:p>
    <w:p>
      <w:pPr>
        <w:pStyle w:val="ListNumber"/>
      </w:pPr>
      <w:r>
        <w:t>Phần research tools dùng timeout riêng cho PubChem/PubMed, cho phép degrade-gracefully khi API ngoài không ổn định.</w:t>
      </w:r>
    </w:p>
    <w:p>
      <w:pPr>
        <w:pStyle w:val="ListNumber"/>
      </w:pPr>
      <w:r>
        <w:t>Agent runtime có fallback deterministic để đảm bảo luôn có đầu ra hợp lệ theo schema.</w:t>
      </w:r>
    </w:p>
    <w:p>
      <w:pPr>
        <w:jc w:val="both"/>
      </w:pPr>
      <w:r>
        <w:t>Những cấu hình này không tối ưu cực đại cho throughput, nhưng ưu tiên ổn định và kiểm chứng kết quả, phù hợp với mục tiêu nghiên cứu ứng dụng có yêu cầu audit cao.</w:t>
      </w:r>
    </w:p>
    <w:p>
      <w:pPr>
        <w:pStyle w:val="Heading2"/>
      </w:pPr>
      <w:r>
        <w:t>G. Experimental Questions</w:t>
      </w:r>
    </w:p>
    <w:p>
      <w:pPr>
        <w:jc w:val="both"/>
      </w:pPr>
      <w:r>
        <w:t>Ngoài câu hỏi hiệu năng dự đoán, bài toán của ToxAgent bao gồm câu hỏi hệ thống:</w:t>
      </w:r>
    </w:p>
    <w:p>
      <w:pPr>
        <w:pStyle w:val="ListNumber"/>
      </w:pPr>
      <w:r>
        <w:t>RQ1: Kiến trúc ensemble dual-head có mang lại lợi ích ổn định rõ rệt so với checkpoint đơn lẻ không?</w:t>
      </w:r>
    </w:p>
    <w:p>
      <w:pPr>
        <w:pStyle w:val="ListNumber"/>
      </w:pPr>
      <w:r>
        <w:t>RQ2: Với dữ liệu cơ chế mất cân bằng, khả năng tách tín hiệu giữa các nhiệm vụ Tox21 đạt mức nào?</w:t>
      </w:r>
    </w:p>
    <w:p>
      <w:pPr>
        <w:pStyle w:val="ListNumber"/>
      </w:pPr>
      <w:r>
        <w:t>RQ3: Các thành phần agentic (evidence QA, grounded chat, fallback) có cải thiện độ tin cậy quyết định ở mức workflow hay không?</w:t>
      </w:r>
    </w:p>
    <w:p>
      <w:pPr>
        <w:pStyle w:val="ListNumber"/>
      </w:pPr>
      <w:r>
        <w:t>RQ4: So với nền tảng breadth-first như ProTox-3, lợi ích depth-first của ToxAgent thể hiện ở đâu trong bối cảnh sử dụng thật?</w:t>
      </w:r>
    </w:p>
    <w:p>
      <w:pPr>
        <w:jc w:val="both"/>
      </w:pPr>
      <w:r>
        <w:t>Chúng tôi trả lời RQ1-RQ2 bằng benchmark định lượng; RQ3-RQ4 bằng phân tích hệ thống, case study và so sánh theo tiêu chí sản phẩm khoa học.</w:t>
      </w:r>
    </w:p>
    <w:p>
      <w:pPr>
        <w:pStyle w:val="Heading1"/>
      </w:pPr>
      <w:r>
        <w:t>VI. Results and Analysis</w:t>
      </w:r>
    </w:p>
    <w:p>
      <w:pPr>
        <w:pStyle w:val="Heading2"/>
      </w:pPr>
      <w:r>
        <w:t>A. Dual-Head Ranking Results</w:t>
      </w:r>
    </w:p>
    <w:p>
      <w:pPr>
        <w:jc w:val="both"/>
      </w:pPr>
      <w:r>
        <w:t>Bảng I cho thấy 4 cấu hình đứng đầu đều thuộc nhóm ensemble. Mô hình tốt nhất đạt joint_auc_beta3 = 0.8467.</w:t>
      </w:r>
    </w:p>
    <w:p>
      <w:pPr>
        <w:jc w:val="both"/>
      </w:pPr>
      <w:r>
        <w:t>Table I. Dual-Head model ranking by joint_auc_beta3</w:t>
      </w:r>
    </w:p>
    <w:tbl>
      <w:tblPr>
        <w:tblStyle w:val="TableGrid"/>
        <w:tblW w:type="auto" w:w="0"/>
        <w:tblLook w:firstColumn="1" w:firstRow="1" w:lastColumn="0" w:lastRow="0" w:noHBand="0" w:noVBand="1" w:val="04A0"/>
      </w:tblPr>
      <w:tblGrid>
        <w:gridCol w:w="2473"/>
        <w:gridCol w:w="2473"/>
        <w:gridCol w:w="2473"/>
        <w:gridCol w:w="2473"/>
      </w:tblGrid>
      <w:tr>
        <w:tc>
          <w:tcPr>
            <w:tcW w:type="dxa" w:w="2473"/>
          </w:tcPr>
          <w:p>
            <w:r>
              <w:t>Rank</w:t>
            </w:r>
          </w:p>
        </w:tc>
        <w:tc>
          <w:tcPr>
            <w:tcW w:type="dxa" w:w="2473"/>
          </w:tcPr>
          <w:p>
            <w:r>
              <w:t>Model</w:t>
            </w:r>
          </w:p>
        </w:tc>
        <w:tc>
          <w:tcPr>
            <w:tcW w:type="dxa" w:w="2473"/>
          </w:tcPr>
          <w:p>
            <w:r>
              <w:t>Type</w:t>
            </w:r>
          </w:p>
        </w:tc>
        <w:tc>
          <w:tcPr>
            <w:tcW w:type="dxa" w:w="2473"/>
          </w:tcPr>
          <w:p>
            <w:r>
              <w:t>joint_auc_beta3</w:t>
            </w:r>
          </w:p>
        </w:tc>
      </w:tr>
      <w:tr>
        <w:tc>
          <w:tcPr>
            <w:tcW w:type="dxa" w:w="2473"/>
          </w:tcPr>
          <w:p>
            <w:r>
              <w:t>1</w:t>
            </w:r>
          </w:p>
        </w:tc>
        <w:tc>
          <w:tcPr>
            <w:tcW w:type="dxa" w:w="2473"/>
          </w:tcPr>
          <w:p>
            <w:r>
              <w:t>dualhead_ensemble6_simple</w:t>
            </w:r>
          </w:p>
        </w:tc>
        <w:tc>
          <w:tcPr>
            <w:tcW w:type="dxa" w:w="2473"/>
          </w:tcPr>
          <w:p>
            <w:r>
              <w:t>dual_head_ensemble_new</w:t>
            </w:r>
          </w:p>
        </w:tc>
        <w:tc>
          <w:tcPr>
            <w:tcW w:type="dxa" w:w="2473"/>
          </w:tcPr>
          <w:p>
            <w:r>
              <w:t>0.8467</w:t>
            </w:r>
          </w:p>
        </w:tc>
      </w:tr>
      <w:tr>
        <w:tc>
          <w:tcPr>
            <w:tcW w:type="dxa" w:w="2473"/>
          </w:tcPr>
          <w:p>
            <w:r>
              <w:t>2</w:t>
            </w:r>
          </w:p>
        </w:tc>
        <w:tc>
          <w:tcPr>
            <w:tcW w:type="dxa" w:w="2473"/>
          </w:tcPr>
          <w:p>
            <w:r>
              <w:t>dualhead_ensemble3_weighted</w:t>
            </w:r>
          </w:p>
        </w:tc>
        <w:tc>
          <w:tcPr>
            <w:tcW w:type="dxa" w:w="2473"/>
          </w:tcPr>
          <w:p>
            <w:r>
              <w:t>dual_head_ensemble_new</w:t>
            </w:r>
          </w:p>
        </w:tc>
        <w:tc>
          <w:tcPr>
            <w:tcW w:type="dxa" w:w="2473"/>
          </w:tcPr>
          <w:p>
            <w:r>
              <w:t>0.8466</w:t>
            </w:r>
          </w:p>
        </w:tc>
      </w:tr>
      <w:tr>
        <w:tc>
          <w:tcPr>
            <w:tcW w:type="dxa" w:w="2473"/>
          </w:tcPr>
          <w:p>
            <w:r>
              <w:t>3</w:t>
            </w:r>
          </w:p>
        </w:tc>
        <w:tc>
          <w:tcPr>
            <w:tcW w:type="dxa" w:w="2473"/>
          </w:tcPr>
          <w:p>
            <w:r>
              <w:t>dualhead_ensemble3_simple</w:t>
            </w:r>
          </w:p>
        </w:tc>
        <w:tc>
          <w:tcPr>
            <w:tcW w:type="dxa" w:w="2473"/>
          </w:tcPr>
          <w:p>
            <w:r>
              <w:t>dual_head_ensemble_new</w:t>
            </w:r>
          </w:p>
        </w:tc>
        <w:tc>
          <w:tcPr>
            <w:tcW w:type="dxa" w:w="2473"/>
          </w:tcPr>
          <w:p>
            <w:r>
              <w:t>0.8455</w:t>
            </w:r>
          </w:p>
        </w:tc>
      </w:tr>
      <w:tr>
        <w:tc>
          <w:tcPr>
            <w:tcW w:type="dxa" w:w="2473"/>
          </w:tcPr>
          <w:p>
            <w:r>
              <w:t>4</w:t>
            </w:r>
          </w:p>
        </w:tc>
        <w:tc>
          <w:tcPr>
            <w:tcW w:type="dxa" w:w="2473"/>
          </w:tcPr>
          <w:p>
            <w:r>
              <w:t>dualhead_ensemble5_simple</w:t>
            </w:r>
          </w:p>
        </w:tc>
        <w:tc>
          <w:tcPr>
            <w:tcW w:type="dxa" w:w="2473"/>
          </w:tcPr>
          <w:p>
            <w:r>
              <w:t>dual_head_ensemble_new</w:t>
            </w:r>
          </w:p>
        </w:tc>
        <w:tc>
          <w:tcPr>
            <w:tcW w:type="dxa" w:w="2473"/>
          </w:tcPr>
          <w:p>
            <w:r>
              <w:t>0.8451</w:t>
            </w:r>
          </w:p>
        </w:tc>
      </w:tr>
      <w:tr>
        <w:tc>
          <w:tcPr>
            <w:tcW w:type="dxa" w:w="2473"/>
          </w:tcPr>
          <w:p>
            <w:r>
              <w:t>5</w:t>
            </w:r>
          </w:p>
        </w:tc>
        <w:tc>
          <w:tcPr>
            <w:tcW w:type="dxa" w:w="2473"/>
          </w:tcPr>
          <w:p>
            <w:r>
              <w:t>pretrained_2head_herg_molformer_model</w:t>
            </w:r>
          </w:p>
        </w:tc>
        <w:tc>
          <w:tcPr>
            <w:tcW w:type="dxa" w:w="2473"/>
          </w:tcPr>
          <w:p>
            <w:r>
              <w:t>dual_head_checkpoint</w:t>
            </w:r>
          </w:p>
        </w:tc>
        <w:tc>
          <w:tcPr>
            <w:tcW w:type="dxa" w:w="2473"/>
          </w:tcPr>
          <w:p>
            <w:r>
              <w:t>0.8270</w:t>
            </w:r>
          </w:p>
        </w:tc>
      </w:tr>
      <w:tr>
        <w:tc>
          <w:tcPr>
            <w:tcW w:type="dxa" w:w="2473"/>
          </w:tcPr>
          <w:p>
            <w:r>
              <w:t>6</w:t>
            </w:r>
          </w:p>
        </w:tc>
        <w:tc>
          <w:tcPr>
            <w:tcW w:type="dxa" w:w="2473"/>
          </w:tcPr>
          <w:p>
            <w:r>
              <w:t>pretrained_2head_herg_chemberta_model</w:t>
            </w:r>
          </w:p>
        </w:tc>
        <w:tc>
          <w:tcPr>
            <w:tcW w:type="dxa" w:w="2473"/>
          </w:tcPr>
          <w:p>
            <w:r>
              <w:t>dual_head_checkpoint</w:t>
            </w:r>
          </w:p>
        </w:tc>
        <w:tc>
          <w:tcPr>
            <w:tcW w:type="dxa" w:w="2473"/>
          </w:tcPr>
          <w:p>
            <w:r>
              <w:t>0.8178</w:t>
            </w:r>
          </w:p>
        </w:tc>
      </w:tr>
      <w:tr>
        <w:tc>
          <w:tcPr>
            <w:tcW w:type="dxa" w:w="2473"/>
          </w:tcPr>
          <w:p>
            <w:r>
              <w:t>7</w:t>
            </w:r>
          </w:p>
        </w:tc>
        <w:tc>
          <w:tcPr>
            <w:tcW w:type="dxa" w:w="2473"/>
          </w:tcPr>
          <w:p>
            <w:r>
              <w:t>pretrained_2head_herg_pubchem_model</w:t>
            </w:r>
          </w:p>
        </w:tc>
        <w:tc>
          <w:tcPr>
            <w:tcW w:type="dxa" w:w="2473"/>
          </w:tcPr>
          <w:p>
            <w:r>
              <w:t>dual_head_checkpoint</w:t>
            </w:r>
          </w:p>
        </w:tc>
        <w:tc>
          <w:tcPr>
            <w:tcW w:type="dxa" w:w="2473"/>
          </w:tcPr>
          <w:p>
            <w:r>
              <w:t>0.8133</w:t>
            </w:r>
          </w:p>
        </w:tc>
      </w:tr>
      <w:tr>
        <w:tc>
          <w:tcPr>
            <w:tcW w:type="dxa" w:w="2473"/>
          </w:tcPr>
          <w:p>
            <w:r>
              <w:t>8</w:t>
            </w:r>
          </w:p>
        </w:tc>
        <w:tc>
          <w:tcPr>
            <w:tcW w:type="dxa" w:w="2473"/>
          </w:tcPr>
          <w:p>
            <w:r>
              <w:t>pretrained_2head_herg_pubchem_quick</w:t>
            </w:r>
          </w:p>
        </w:tc>
        <w:tc>
          <w:tcPr>
            <w:tcW w:type="dxa" w:w="2473"/>
          </w:tcPr>
          <w:p>
            <w:r>
              <w:t>dual_head_checkpoint</w:t>
            </w:r>
          </w:p>
        </w:tc>
        <w:tc>
          <w:tcPr>
            <w:tcW w:type="dxa" w:w="2473"/>
          </w:tcPr>
          <w:p>
            <w:r>
              <w:t>0.7896</w:t>
            </w:r>
          </w:p>
        </w:tc>
      </w:tr>
      <w:tr>
        <w:tc>
          <w:tcPr>
            <w:tcW w:type="dxa" w:w="2473"/>
          </w:tcPr>
          <w:p>
            <w:r>
              <w:t>9</w:t>
            </w:r>
          </w:p>
        </w:tc>
        <w:tc>
          <w:tcPr>
            <w:tcW w:type="dxa" w:w="2473"/>
          </w:tcPr>
          <w:p>
            <w:r>
              <w:t>pretrained_2head_herg_molformer_quick</w:t>
            </w:r>
          </w:p>
        </w:tc>
        <w:tc>
          <w:tcPr>
            <w:tcW w:type="dxa" w:w="2473"/>
          </w:tcPr>
          <w:p>
            <w:r>
              <w:t>dual_head_checkpoint</w:t>
            </w:r>
          </w:p>
        </w:tc>
        <w:tc>
          <w:tcPr>
            <w:tcW w:type="dxa" w:w="2473"/>
          </w:tcPr>
          <w:p>
            <w:r>
              <w:t>0.7746</w:t>
            </w:r>
          </w:p>
        </w:tc>
      </w:tr>
      <w:tr>
        <w:tc>
          <w:tcPr>
            <w:tcW w:type="dxa" w:w="2473"/>
          </w:tcPr>
          <w:p>
            <w:r>
              <w:t>10</w:t>
            </w:r>
          </w:p>
        </w:tc>
        <w:tc>
          <w:tcPr>
            <w:tcW w:type="dxa" w:w="2473"/>
          </w:tcPr>
          <w:p>
            <w:r>
              <w:t>pretrained_2head_herg_chemberta_quick</w:t>
            </w:r>
          </w:p>
        </w:tc>
        <w:tc>
          <w:tcPr>
            <w:tcW w:type="dxa" w:w="2473"/>
          </w:tcPr>
          <w:p>
            <w:r>
              <w:t>dual_head_checkpoint</w:t>
            </w:r>
          </w:p>
        </w:tc>
        <w:tc>
          <w:tcPr>
            <w:tcW w:type="dxa" w:w="2473"/>
          </w:tcPr>
          <w:p>
            <w:r>
              <w:t>0.7725</w:t>
            </w:r>
          </w:p>
        </w:tc>
      </w:tr>
    </w:tbl>
    <w:p/>
    <w:p>
      <w:pPr>
        <w:jc w:val="both"/>
      </w:pPr>
      <w:r>
        <w:t>Tổng quan thống kê của 10 cấu hình:</w:t>
      </w:r>
    </w:p>
    <w:p>
      <w:pPr>
        <w:pStyle w:val="ListNumber"/>
      </w:pPr>
      <w:r>
        <w:t>Mean joint_auc_beta3: 0.8179.</w:t>
      </w:r>
    </w:p>
    <w:p>
      <w:pPr>
        <w:pStyle w:val="ListNumber"/>
      </w:pPr>
      <w:r>
        <w:t>Range: 0.7725 đến 0.8467.</w:t>
      </w:r>
    </w:p>
    <w:p>
      <w:pPr>
        <w:pStyle w:val="ListNumber"/>
      </w:pPr>
      <w:r>
        <w:t>Chênh lệch best-vs-lowest: 0.0742.</w:t>
      </w:r>
    </w:p>
    <w:p>
      <w:pPr>
        <w:jc w:val="both"/>
      </w:pPr>
      <w:r>
        <w:t>Diễn giải: ensemble cải thiện ổn định hóa đầu ra khi kết hợp nhiều backbone pretrained. Nhóm quick models giữ vai trò low-latency option nhưng đánh đổi một phần hiệu năng.</w:t>
      </w:r>
    </w:p>
    <w:p>
      <w:pPr>
        <w:pStyle w:val="Heading2"/>
      </w:pPr>
      <w:r>
        <w:t>B. Tox21 Task-Level Results</w:t>
      </w:r>
    </w:p>
    <w:p>
      <w:pPr>
        <w:jc w:val="both"/>
      </w:pPr>
      <w:r>
        <w:t>Trên 12 nhiệm vụ Tox21, tox21_gatv2 đạt AUC trung bình 0.725 và PR-AUC trung bình 0.247.</w:t>
      </w:r>
    </w:p>
    <w:p>
      <w:pPr>
        <w:jc w:val="both"/>
      </w:pPr>
      <w:r>
        <w:t>Table II. Top Tox21 tasks by AUC-ROC (tox21_gatv2)</w:t>
      </w:r>
    </w:p>
    <w:tbl>
      <w:tblPr>
        <w:tblStyle w:val="TableGrid"/>
        <w:tblW w:type="auto" w:w="0"/>
        <w:tblLook w:firstColumn="1" w:firstRow="1" w:lastColumn="0" w:lastRow="0" w:noHBand="0" w:noVBand="1" w:val="04A0"/>
      </w:tblPr>
      <w:tblGrid>
        <w:gridCol w:w="1979"/>
        <w:gridCol w:w="1979"/>
        <w:gridCol w:w="1979"/>
        <w:gridCol w:w="1979"/>
        <w:gridCol w:w="1979"/>
      </w:tblGrid>
      <w:tr>
        <w:tc>
          <w:tcPr>
            <w:tcW w:type="dxa" w:w="1979"/>
          </w:tcPr>
          <w:p>
            <w:r>
              <w:t>Rank</w:t>
            </w:r>
          </w:p>
        </w:tc>
        <w:tc>
          <w:tcPr>
            <w:tcW w:type="dxa" w:w="1979"/>
          </w:tcPr>
          <w:p>
            <w:r>
              <w:t>Task</w:t>
            </w:r>
          </w:p>
        </w:tc>
        <w:tc>
          <w:tcPr>
            <w:tcW w:type="dxa" w:w="1979"/>
          </w:tcPr>
          <w:p>
            <w:r>
              <w:t>AUC-ROC</w:t>
            </w:r>
          </w:p>
        </w:tc>
        <w:tc>
          <w:tcPr>
            <w:tcW w:type="dxa" w:w="1979"/>
          </w:tcPr>
          <w:p>
            <w:r>
              <w:t>PR-AUC</w:t>
            </w:r>
          </w:p>
        </w:tc>
        <w:tc>
          <w:tcPr>
            <w:tcW w:type="dxa" w:w="1979"/>
          </w:tcPr>
          <w:p>
            <w:r>
              <w:t>Positive Rate</w:t>
            </w:r>
          </w:p>
        </w:tc>
      </w:tr>
      <w:tr>
        <w:tc>
          <w:tcPr>
            <w:tcW w:type="dxa" w:w="1979"/>
          </w:tcPr>
          <w:p>
            <w:r>
              <w:t>1</w:t>
            </w:r>
          </w:p>
        </w:tc>
        <w:tc>
          <w:tcPr>
            <w:tcW w:type="dxa" w:w="1979"/>
          </w:tcPr>
          <w:p>
            <w:r>
              <w:t>NR-AhR</w:t>
            </w:r>
          </w:p>
        </w:tc>
        <w:tc>
          <w:tcPr>
            <w:tcW w:type="dxa" w:w="1979"/>
          </w:tcPr>
          <w:p>
            <w:r>
              <w:t>0.797</w:t>
            </w:r>
          </w:p>
        </w:tc>
        <w:tc>
          <w:tcPr>
            <w:tcW w:type="dxa" w:w="1979"/>
          </w:tcPr>
          <w:p>
            <w:r>
              <w:t>0.375</w:t>
            </w:r>
          </w:p>
        </w:tc>
        <w:tc>
          <w:tcPr>
            <w:tcW w:type="dxa" w:w="1979"/>
          </w:tcPr>
          <w:p>
            <w:r>
              <w:t>0.117</w:t>
            </w:r>
          </w:p>
        </w:tc>
      </w:tr>
      <w:tr>
        <w:tc>
          <w:tcPr>
            <w:tcW w:type="dxa" w:w="1979"/>
          </w:tcPr>
          <w:p>
            <w:r>
              <w:t>2</w:t>
            </w:r>
          </w:p>
        </w:tc>
        <w:tc>
          <w:tcPr>
            <w:tcW w:type="dxa" w:w="1979"/>
          </w:tcPr>
          <w:p>
            <w:r>
              <w:t>NR-AR-LBD</w:t>
            </w:r>
          </w:p>
        </w:tc>
        <w:tc>
          <w:tcPr>
            <w:tcW w:type="dxa" w:w="1979"/>
          </w:tcPr>
          <w:p>
            <w:r>
              <w:t>0.782</w:t>
            </w:r>
          </w:p>
        </w:tc>
        <w:tc>
          <w:tcPr>
            <w:tcW w:type="dxa" w:w="1979"/>
          </w:tcPr>
          <w:p>
            <w:r>
              <w:t>0.320</w:t>
            </w:r>
          </w:p>
        </w:tc>
        <w:tc>
          <w:tcPr>
            <w:tcW w:type="dxa" w:w="1979"/>
          </w:tcPr>
          <w:p>
            <w:r>
              <w:t>0.024</w:t>
            </w:r>
          </w:p>
        </w:tc>
      </w:tr>
      <w:tr>
        <w:tc>
          <w:tcPr>
            <w:tcW w:type="dxa" w:w="1979"/>
          </w:tcPr>
          <w:p>
            <w:r>
              <w:t>3</w:t>
            </w:r>
          </w:p>
        </w:tc>
        <w:tc>
          <w:tcPr>
            <w:tcW w:type="dxa" w:w="1979"/>
          </w:tcPr>
          <w:p>
            <w:r>
              <w:t>SR-p53</w:t>
            </w:r>
          </w:p>
        </w:tc>
        <w:tc>
          <w:tcPr>
            <w:tcW w:type="dxa" w:w="1979"/>
          </w:tcPr>
          <w:p>
            <w:r>
              <w:t>0.779</w:t>
            </w:r>
          </w:p>
        </w:tc>
        <w:tc>
          <w:tcPr>
            <w:tcW w:type="dxa" w:w="1979"/>
          </w:tcPr>
          <w:p>
            <w:r>
              <w:t>0.254</w:t>
            </w:r>
          </w:p>
        </w:tc>
        <w:tc>
          <w:tcPr>
            <w:tcW w:type="dxa" w:w="1979"/>
          </w:tcPr>
          <w:p>
            <w:r>
              <w:t>0.092</w:t>
            </w:r>
          </w:p>
        </w:tc>
      </w:tr>
      <w:tr>
        <w:tc>
          <w:tcPr>
            <w:tcW w:type="dxa" w:w="1979"/>
          </w:tcPr>
          <w:p>
            <w:r>
              <w:t>4</w:t>
            </w:r>
          </w:p>
        </w:tc>
        <w:tc>
          <w:tcPr>
            <w:tcW w:type="dxa" w:w="1979"/>
          </w:tcPr>
          <w:p>
            <w:r>
              <w:t>SR-MMP</w:t>
            </w:r>
          </w:p>
        </w:tc>
        <w:tc>
          <w:tcPr>
            <w:tcW w:type="dxa" w:w="1979"/>
          </w:tcPr>
          <w:p>
            <w:r>
              <w:t>0.766</w:t>
            </w:r>
          </w:p>
        </w:tc>
        <w:tc>
          <w:tcPr>
            <w:tcW w:type="dxa" w:w="1979"/>
          </w:tcPr>
          <w:p>
            <w:r>
              <w:t>0.308</w:t>
            </w:r>
          </w:p>
        </w:tc>
        <w:tc>
          <w:tcPr>
            <w:tcW w:type="dxa" w:w="1979"/>
          </w:tcPr>
          <w:p>
            <w:r>
              <w:t>0.123</w:t>
            </w:r>
          </w:p>
        </w:tc>
      </w:tr>
    </w:tbl>
    <w:p/>
    <w:p>
      <w:pPr>
        <w:jc w:val="both"/>
      </w:pPr>
      <w:r>
        <w:t>Một quan sát quan trọng là nhiều tác vụ có positive rate thấp, làm PR-AUC nhạy với nhiễu và ngưỡng. Điều này nhấn mạnh nhu cầu calibration theo task thay vì dùng một ngưỡng toàn cục.</w:t>
      </w:r>
    </w:p>
    <w:p>
      <w:pPr>
        <w:pStyle w:val="Heading2"/>
      </w:pPr>
      <w:r>
        <w:t>C. System-Level Findings</w:t>
      </w:r>
    </w:p>
    <w:p>
      <w:pPr>
        <w:pStyle w:val="Heading3"/>
      </w:pPr>
      <w:r>
        <w:t>C.1 Agentic Orchestration and Fault Tolerance</w:t>
      </w:r>
    </w:p>
    <w:p>
      <w:pPr>
        <w:jc w:val="both"/>
      </w:pPr>
      <w:r>
        <w:t>Cấu trúc pipeline cho phép hệ thống duy trì phản hồi kể cả khi ADK runtime gặp lỗi, nhờ deterministic fallback path. Đây là điều kiện cần cho môi trường cloud nơi trạng thái phiên và khả năng stream có thể dao động.</w:t>
      </w:r>
    </w:p>
    <w:p>
      <w:pPr>
        <w:pStyle w:val="Heading3"/>
      </w:pPr>
      <w:r>
        <w:t>C.2 Evidence Quality Control</w:t>
      </w:r>
    </w:p>
    <w:p>
      <w:pPr>
        <w:jc w:val="both"/>
      </w:pPr>
      <w:r>
        <w:t>EvidenceQAAgent cho phép gắn cờ dữ liệu yếu và confidence của bằng chứng. Điều này làm giảm rủi ro trả lời quá tự tin trong report chat, đặc biệt ở truy vấn cơ chế có ít tài liệu trực tiếp.</w:t>
      </w:r>
    </w:p>
    <w:p>
      <w:pPr>
        <w:pStyle w:val="Heading3"/>
      </w:pPr>
      <w:r>
        <w:t>C.3 Explainability in Operational Context</w:t>
      </w:r>
    </w:p>
    <w:p>
      <w:pPr>
        <w:jc w:val="both"/>
      </w:pPr>
      <w:r>
        <w:t>Giải thích cấu trúc được đóng gói thành payload có thể hiển thị trực tiếp trên UI. Trong thực tế sử dụng, việc gắn top atoms/bonds vào báo cáo giúp nhóm hóa dược thảo luận hướng tối ưu cấu trúc cụ thể hơn.</w:t>
      </w:r>
    </w:p>
    <w:p>
      <w:pPr>
        <w:pStyle w:val="Heading2"/>
      </w:pPr>
      <w:r>
        <w:t>D. Practical Trade-offs</w:t>
      </w:r>
    </w:p>
    <w:p>
      <w:pPr>
        <w:pStyle w:val="ListNumber"/>
      </w:pPr>
      <w:r>
        <w:t>Chế độ evidence-only trong fusion giúp an toàn khi retrieval chưa đủ mạnh, nhưng có thể bỏ lỡ một số cơ hội corrective reasoning.</w:t>
      </w:r>
    </w:p>
    <w:p>
      <w:pPr>
        <w:pStyle w:val="ListNumber"/>
      </w:pPr>
      <w:r>
        <w:t>Rich report schema tăng giá trị giải thích, nhưng yêu cầu đồng bộ chặt giữa backend và frontend.</w:t>
      </w:r>
    </w:p>
    <w:p>
      <w:pPr>
        <w:pStyle w:val="ListNumber"/>
      </w:pPr>
      <w:r>
        <w:t>Nhiều nguồn tri thức ngoài (PubChem/PubMed) tăng sức mạnh phân tích, nhưng kéo theo độ phụ thuộc mạng và biến thiên latency.</w:t>
      </w:r>
    </w:p>
    <w:p>
      <w:pPr>
        <w:pStyle w:val="Heading2"/>
      </w:pPr>
      <w:r>
        <w:t>E. Extended Case Studies</w:t>
      </w:r>
    </w:p>
    <w:p>
      <w:pPr>
        <w:jc w:val="both"/>
      </w:pPr>
      <w:r>
        <w:t>Để đánh giá chiều sâu quyết định thay vì chỉ điểm số, chúng tôi thực hiện phân tích trường hợp theo quy trình report-first, chat-second.</w:t>
      </w:r>
    </w:p>
    <w:p>
      <w:pPr>
        <w:jc w:val="both"/>
      </w:pPr>
      <w:r>
        <w:t>Case Study 1: Tín hiệu độc tính phân mảnh nhưng nhất quán Một phân tử có $p_{tox}$ ở vùng cận ngưỡng nhưng đồng thời xuất hiện nhiều tín hiệu cơ chế yếu. Trong pipeline truyền thống, trường hợp này dễ bị gán nhãn không rõ ràng. Với ToxAgent, writer layer buộc tách ba lớp thông tin: xác suất lâm sàng, số assay hit, và mức OOD. Ở bước hậu phân tích, ReportChatAgent có thể được hỏi trực tiếp về nguồn bất định, rồi trả về evidence confidence và quality flags liên quan. Kết quả là quyết định được chuyển từ “kết luận nhị phân” sang “khuyến nghị hành động theo mức bất định”, ví dụ yêu cầu assay xác nhận thay vì nâng cấp stage ngay.</w:t>
      </w:r>
    </w:p>
    <w:p>
      <w:pPr>
        <w:jc w:val="both"/>
      </w:pPr>
      <w:r>
        <w:t>Case Study 2: Mâu thuẫn giữa baseline và analog evidence Trong vài tình huống, retrieval tìm thấy nhiều analog có nhãn trái chiều so với baseline. ToxAgent xử lý mâu thuẫn này theo chính sách evidence-only: fusion ghi nhận mức agreement nhưng không tự động ghi đè nhãn baseline. Thiết kế này mang tính bảo thủ có chủ đích: giữ predictor là nguồn quyết định, dùng MolRAG để tăng độ giàu thông tin thảo luận. Trong môi trường R&amp;D thật, đây là lựa chọn an toàn hơn so với một hệ tự override không có guard rail.</w:t>
      </w:r>
    </w:p>
    <w:p>
      <w:pPr>
        <w:jc w:val="both"/>
      </w:pPr>
      <w:r>
        <w:t>Case Study 3: Literature yếu nhưng người dùng hỏi kết luận mạnh Khi curated evidence có confidence LOW hoặc cờ low_relevance_evidence, report-chat policy bắt buộc hạ ngữ điệu khẳng định. Điều này đặc biệt quan trọng trong ngữ cảnh AI checking nghiêm ngặt vì ngăn việc mô hình phát biểu “chắc chắn” từ dữ liệu yếu. Về mặt thực hành, cơ chế này làm tăng lòng tin của nhóm chuyên gia vì hệ thống không che giấu bất định.</w:t>
      </w:r>
    </w:p>
    <w:p>
      <w:pPr>
        <w:pStyle w:val="Heading2"/>
      </w:pPr>
      <w:r>
        <w:t>F. Operational Error Taxonomy</w:t>
      </w:r>
    </w:p>
    <w:p>
      <w:pPr>
        <w:jc w:val="both"/>
      </w:pPr>
      <w:r>
        <w:t>Một kết quả quan trọng của hướng tiếp cận hệ thống là khả năng phân loại lỗi vận hành theo nhóm có thể hành động:</w:t>
      </w:r>
    </w:p>
    <w:p>
      <w:pPr>
        <w:pStyle w:val="ListNumber"/>
      </w:pPr>
      <w:r>
        <w:t>Input errors: SMILES không hợp lệ, ảnh OCR vượt dung lượng, định dạng ảnh không hỗ trợ.</w:t>
      </w:r>
    </w:p>
    <w:p>
      <w:pPr>
        <w:pStyle w:val="ListNumber"/>
      </w:pPr>
      <w:r>
        <w:t>Service availability errors: model server timeout, extraction service unavailable, API ngoài phản hồi chậm.</w:t>
      </w:r>
    </w:p>
    <w:p>
      <w:pPr>
        <w:pStyle w:val="ListNumber"/>
      </w:pPr>
      <w:r>
        <w:t>Runtime orchestration errors: stream race, session chưa sẵn sàng, state thiếu payload.</w:t>
      </w:r>
    </w:p>
    <w:p>
      <w:pPr>
        <w:pStyle w:val="ListNumber"/>
      </w:pPr>
      <w:r>
        <w:t>Evidence quality errors: no_articles_found, literature_missing, low_relevance_evidence.</w:t>
      </w:r>
    </w:p>
    <w:p>
      <w:pPr>
        <w:jc w:val="both"/>
      </w:pPr>
      <w:r>
        <w:t>Việc chuẩn hóa taxonomy lỗi giúp chuyển từ khái niệm “model thất bại” sang “workflow có thể phục hồi”, từ đó giảm MTTR khi đưa hệ vào vận hành nhóm.</w:t>
      </w:r>
    </w:p>
    <w:p>
      <w:pPr>
        <w:pStyle w:val="Heading2"/>
      </w:pPr>
      <w:r>
        <w:t>G. Quantitative-Qualitative Synthesis</w:t>
      </w:r>
    </w:p>
    <w:p>
      <w:pPr>
        <w:jc w:val="both"/>
      </w:pPr>
      <w:r>
        <w:t>Tổng hợp từ E1-E4 cho thấy một điểm nhất quán: lợi thế của ToxAgent không nằm ở việc thắng mọi baseline trên mọi endpoint, mà nằm ở khả năng nối kết các thành phần thành một quyết định có thể giải trình. Nói cách khác, nếu độ bao phủ endpoint là trục ngang (breadth), thì độ sâu ra quyết định có kiểm chứng là trục dọc (depth). ToxAgent ưu tiên tối ưu trục dọc, và kết quả hiện tại cho thấy chiến lược này khả thi ở mức sản phẩm nghiên cứu có thể triển khai.</w:t>
      </w:r>
    </w:p>
    <w:p>
      <w:pPr>
        <w:pStyle w:val="Heading1"/>
      </w:pPr>
      <w:r>
        <w:t>VII. Comparative Analysis with ProTox-3 and Existing Tools</w:t>
      </w:r>
    </w:p>
    <w:p>
      <w:pPr>
        <w:pStyle w:val="Heading2"/>
      </w:pPr>
      <w:r>
        <w:t>A. Positioning</w:t>
      </w:r>
    </w:p>
    <w:p>
      <w:pPr>
        <w:jc w:val="both"/>
      </w:pPr>
      <w:r>
        <w:t>ProTox-3 có ưu thế rõ rệt về bao phủ endpoint và hệ sinh thái thông tin [1]. Theo tài liệu công khai, ProTox-3 tích hợp 61 mô hình, hỗ trợ nhiều lớp đầu ra và có confidence thresholding trong report. Đây là một chuẩn tham chiếu quan trọng cho cộng đồng.</w:t>
      </w:r>
    </w:p>
    <w:p>
      <w:pPr>
        <w:jc w:val="both"/>
      </w:pPr>
      <w:r>
        <w:t>ToxAgent chọn trọng tâm khác: tăng chiều sâu cho vòng ra quyết định nội bộ R&amp;D thông qua agentic reasoning và dữ liệu giải thích có cấu trúc.</w:t>
      </w:r>
    </w:p>
    <w:p>
      <w:pPr>
        <w:pStyle w:val="Heading2"/>
      </w:pPr>
      <w:r>
        <w:t>B. Feature-Level Comparison</w:t>
      </w:r>
    </w:p>
    <w:p>
      <w:pPr>
        <w:jc w:val="both"/>
      </w:pPr>
      <w:r>
        <w:t>Table III. ProTox-3 vs ToxAgent (breadth vs depth)</w:t>
      </w:r>
    </w:p>
    <w:tbl>
      <w:tblPr>
        <w:tblStyle w:val="TableGrid"/>
        <w:tblW w:type="auto" w:w="0"/>
        <w:tblLook w:firstColumn="1" w:firstRow="1" w:lastColumn="0" w:lastRow="0" w:noHBand="0" w:noVBand="1" w:val="04A0"/>
      </w:tblPr>
      <w:tblGrid>
        <w:gridCol w:w="3298"/>
        <w:gridCol w:w="3298"/>
        <w:gridCol w:w="3298"/>
      </w:tblGrid>
      <w:tr>
        <w:tc>
          <w:tcPr>
            <w:tcW w:type="dxa" w:w="3298"/>
          </w:tcPr>
          <w:p>
            <w:r>
              <w:t>Criterion</w:t>
            </w:r>
          </w:p>
        </w:tc>
        <w:tc>
          <w:tcPr>
            <w:tcW w:type="dxa" w:w="3298"/>
          </w:tcPr>
          <w:p>
            <w:r>
              <w:t>ProTox-3</w:t>
            </w:r>
          </w:p>
        </w:tc>
        <w:tc>
          <w:tcPr>
            <w:tcW w:type="dxa" w:w="3298"/>
          </w:tcPr>
          <w:p>
            <w:r>
              <w:t>ToxAgent</w:t>
            </w:r>
          </w:p>
        </w:tc>
      </w:tr>
      <w:tr>
        <w:tc>
          <w:tcPr>
            <w:tcW w:type="dxa" w:w="3298"/>
          </w:tcPr>
          <w:p>
            <w:r>
              <w:t>Core objective</w:t>
            </w:r>
          </w:p>
        </w:tc>
        <w:tc>
          <w:tcPr>
            <w:tcW w:type="dxa" w:w="3298"/>
          </w:tcPr>
          <w:p>
            <w:r>
              <w:t>Large endpoint coverage</w:t>
            </w:r>
          </w:p>
        </w:tc>
        <w:tc>
          <w:tcPr>
            <w:tcW w:type="dxa" w:w="3298"/>
          </w:tcPr>
          <w:p>
            <w:r>
              <w:t>Decision-centric multi-agent workflow</w:t>
            </w:r>
          </w:p>
        </w:tc>
      </w:tr>
      <w:tr>
        <w:tc>
          <w:tcPr>
            <w:tcW w:type="dxa" w:w="3298"/>
          </w:tcPr>
          <w:p>
            <w:r>
              <w:t>Number of model endpoints</w:t>
            </w:r>
          </w:p>
        </w:tc>
        <w:tc>
          <w:tcPr>
            <w:tcW w:type="dxa" w:w="3298"/>
          </w:tcPr>
          <w:p>
            <w:r>
              <w:t>High (published as 61 models)</w:t>
            </w:r>
          </w:p>
        </w:tc>
        <w:tc>
          <w:tcPr>
            <w:tcW w:type="dxa" w:w="3298"/>
          </w:tcPr>
          <w:p>
            <w:r>
              <w:t>Focused set with dual-head + mechanism</w:t>
            </w:r>
          </w:p>
        </w:tc>
      </w:tr>
      <w:tr>
        <w:tc>
          <w:tcPr>
            <w:tcW w:type="dxa" w:w="3298"/>
          </w:tcPr>
          <w:p>
            <w:r>
              <w:t>Structural explainability (atom/bond)</w:t>
            </w:r>
          </w:p>
        </w:tc>
        <w:tc>
          <w:tcPr>
            <w:tcW w:type="dxa" w:w="3298"/>
          </w:tcPr>
          <w:p>
            <w:r>
              <w:t>Not central in default flow</w:t>
            </w:r>
          </w:p>
        </w:tc>
        <w:tc>
          <w:tcPr>
            <w:tcW w:type="dxa" w:w="3298"/>
          </w:tcPr>
          <w:p>
            <w:r>
              <w:t>Integrated GNNExplainer payload</w:t>
            </w:r>
          </w:p>
        </w:tc>
      </w:tr>
      <w:tr>
        <w:tc>
          <w:tcPr>
            <w:tcW w:type="dxa" w:w="3298"/>
          </w:tcPr>
          <w:p>
            <w:r>
              <w:t>Evidence quality gate</w:t>
            </w:r>
          </w:p>
        </w:tc>
        <w:tc>
          <w:tcPr>
            <w:tcW w:type="dxa" w:w="3298"/>
          </w:tcPr>
          <w:p>
            <w:r>
              <w:t>Confidence in model report</w:t>
            </w:r>
          </w:p>
        </w:tc>
        <w:tc>
          <w:tcPr>
            <w:tcW w:type="dxa" w:w="3298"/>
          </w:tcPr>
          <w:p>
            <w:r>
              <w:t>Dedicated evidence QA + quality flags</w:t>
            </w:r>
          </w:p>
        </w:tc>
      </w:tr>
      <w:tr>
        <w:tc>
          <w:tcPr>
            <w:tcW w:type="dxa" w:w="3298"/>
          </w:tcPr>
          <w:p>
            <w:r>
              <w:t>Retrieval-grounded analog reasoning</w:t>
            </w:r>
          </w:p>
        </w:tc>
        <w:tc>
          <w:tcPr>
            <w:tcW w:type="dxa" w:w="3298"/>
          </w:tcPr>
          <w:p>
            <w:r>
              <w:t>Similar compound views</w:t>
            </w:r>
          </w:p>
        </w:tc>
        <w:tc>
          <w:tcPr>
            <w:tcW w:type="dxa" w:w="3298"/>
          </w:tcPr>
          <w:p>
            <w:r>
              <w:t>MolRAG retrieval + deterministic reasoning</w:t>
            </w:r>
          </w:p>
        </w:tc>
      </w:tr>
      <w:tr>
        <w:tc>
          <w:tcPr>
            <w:tcW w:type="dxa" w:w="3298"/>
          </w:tcPr>
          <w:p>
            <w:r>
              <w:t>Post-report interaction</w:t>
            </w:r>
          </w:p>
        </w:tc>
        <w:tc>
          <w:tcPr>
            <w:tcW w:type="dxa" w:w="3298"/>
          </w:tcPr>
          <w:p>
            <w:r>
              <w:t>Primarily static reports</w:t>
            </w:r>
          </w:p>
        </w:tc>
        <w:tc>
          <w:tcPr>
            <w:tcW w:type="dxa" w:w="3298"/>
          </w:tcPr>
          <w:p>
            <w:r>
              <w:t>Grounded report chat with tools</w:t>
            </w:r>
          </w:p>
        </w:tc>
      </w:tr>
      <w:tr>
        <w:tc>
          <w:tcPr>
            <w:tcW w:type="dxa" w:w="3298"/>
          </w:tcPr>
          <w:p>
            <w:r>
              <w:t>Runtime fallback strategy</w:t>
            </w:r>
          </w:p>
        </w:tc>
        <w:tc>
          <w:tcPr>
            <w:tcW w:type="dxa" w:w="3298"/>
          </w:tcPr>
          <w:p>
            <w:r>
              <w:t>Traditional web pipeline</w:t>
            </w:r>
          </w:p>
        </w:tc>
        <w:tc>
          <w:tcPr>
            <w:tcW w:type="dxa" w:w="3298"/>
          </w:tcPr>
          <w:p>
            <w:r>
              <w:t>ADK with deterministic fallback</w:t>
            </w:r>
          </w:p>
        </w:tc>
      </w:tr>
      <w:tr>
        <w:tc>
          <w:tcPr>
            <w:tcW w:type="dxa" w:w="3298"/>
          </w:tcPr>
          <w:p>
            <w:r>
              <w:t>Multi-modal input (OCR structure image)</w:t>
            </w:r>
          </w:p>
        </w:tc>
        <w:tc>
          <w:tcPr>
            <w:tcW w:type="dxa" w:w="3298"/>
          </w:tcPr>
          <w:p>
            <w:r>
              <w:t>Drawing and text supported</w:t>
            </w:r>
          </w:p>
        </w:tc>
        <w:tc>
          <w:tcPr>
            <w:tcW w:type="dxa" w:w="3298"/>
          </w:tcPr>
          <w:p>
            <w:r>
              <w:t>Text + drawing + image OCR + free-text extraction</w:t>
            </w:r>
          </w:p>
        </w:tc>
      </w:tr>
    </w:tbl>
    <w:p/>
    <w:p>
      <w:pPr>
        <w:pStyle w:val="Heading2"/>
      </w:pPr>
      <w:r>
        <w:t>C. Interpretation</w:t>
      </w:r>
    </w:p>
    <w:p>
      <w:pPr>
        <w:jc w:val="both"/>
      </w:pPr>
      <w:r>
        <w:t>Thay vì cạnh tranh trực tiếp theo số endpoint, ToxAgent bổ sung lớp “orchestrated intelligence” giữa dự đoán và quyết định. Ở góc độ sản phẩm khoa học, hai hướng có thể bổ trợ: dùng ProTox-3 cho screening breadth và dùng ToxAgent cho decision-depth tại các điểm cần giải thích và biện minh.</w:t>
      </w:r>
    </w:p>
    <w:p>
      <w:pPr>
        <w:pStyle w:val="Heading1"/>
      </w:pPr>
      <w:r>
        <w:t>VIII. Discussion</w:t>
      </w:r>
    </w:p>
    <w:p>
      <w:pPr>
        <w:pStyle w:val="Heading2"/>
      </w:pPr>
      <w:r>
        <w:t>A. Why Agentic Design Matters in Toxicity Informatics</w:t>
      </w:r>
    </w:p>
    <w:p>
      <w:pPr>
        <w:jc w:val="both"/>
      </w:pPr>
      <w:r>
        <w:t>Bài toán độc tính là bài toán nhiều nguồn bằng chứng: predictor, bioassay, literature, analogs, và ngữ cảnh mục tiêu dự án. Agentic decomposition giúp chuyên biệt hóa từng nguồn thay vì ép một mô hình đơn xử lý toàn bộ.</w:t>
      </w:r>
    </w:p>
    <w:p>
      <w:pPr>
        <w:pStyle w:val="Heading2"/>
      </w:pPr>
      <w:r>
        <w:t>B. AI Checking Under Strict Scientific Requirements</w:t>
      </w:r>
    </w:p>
    <w:p>
      <w:pPr>
        <w:jc w:val="both"/>
      </w:pPr>
      <w:r>
        <w:t>Để đáp ứng tiêu chí kiểm định AI nghiêm ngặt, hệ thống cần:</w:t>
      </w:r>
    </w:p>
    <w:p>
      <w:pPr>
        <w:pStyle w:val="ListNumber"/>
      </w:pPr>
      <w:r>
        <w:t>Truy vết nguồn claim.</w:t>
      </w:r>
    </w:p>
    <w:p>
      <w:pPr>
        <w:pStyle w:val="ListNumber"/>
      </w:pPr>
      <w:r>
        <w:t>Biểu diễn rõ uncertainty/confidence.</w:t>
      </w:r>
    </w:p>
    <w:p>
      <w:pPr>
        <w:pStyle w:val="ListNumber"/>
      </w:pPr>
      <w:r>
        <w:t>Tách biệt prediction và evidence.</w:t>
      </w:r>
    </w:p>
    <w:p>
      <w:pPr>
        <w:pStyle w:val="ListNumber"/>
      </w:pPr>
      <w:r>
        <w:t>Có cơ chế từ chối hoặc hạ ngữ điệu khi bằng chứng yếu.</w:t>
      </w:r>
    </w:p>
    <w:p>
      <w:pPr>
        <w:jc w:val="both"/>
      </w:pPr>
      <w:r>
        <w:t>ToxAgent hiện thực các nguyên tắc này qua evidence confidence, quality flags, report-grounded context và policy trong report chat.</w:t>
      </w:r>
    </w:p>
    <w:p>
      <w:pPr>
        <w:pStyle w:val="Heading2"/>
      </w:pPr>
      <w:r>
        <w:t>C. Adoption Perspective</w:t>
      </w:r>
    </w:p>
    <w:p>
      <w:pPr>
        <w:jc w:val="both"/>
      </w:pPr>
      <w:r>
        <w:t>Trong môi trường nhóm, giá trị lớn nhất không chỉ ở AUC cao hơn vài điểm phần trăm, mà ở việc giảm thời gian hội chẩn và thống nhất ngôn ngữ đánh giá giữa ML engineer, medicinal chemist và toxicologist. Cấu trúc báo cáo và đối thoại neo dữ liệu là điểm then chốt cho adoption.</w:t>
      </w:r>
    </w:p>
    <w:p>
      <w:pPr>
        <w:pStyle w:val="Heading1"/>
      </w:pPr>
      <w:r>
        <w:t>IX. Threats to Validity</w:t>
      </w:r>
    </w:p>
    <w:p>
      <w:pPr>
        <w:pStyle w:val="Heading2"/>
      </w:pPr>
      <w:r>
        <w:t>A. Internal Validity</w:t>
      </w:r>
    </w:p>
    <w:p>
      <w:pPr>
        <w:pStyle w:val="ListNumber"/>
      </w:pPr>
      <w:r>
        <w:t>Kết quả benchmark dựa trên artifact lưu sẵn; nếu quy trình huấn luyện thay đổi nhưng artifact chưa cập nhật, báo cáo có thể lệch với trạng thái mới.</w:t>
      </w:r>
    </w:p>
    <w:p>
      <w:pPr>
        <w:pStyle w:val="ListNumber"/>
      </w:pPr>
      <w:r>
        <w:t>Một số phân tích hệ thống ở mức pipeline có tính định tính vận hành, chưa phải benchmark latency đa môi trường chuẩn hóa.</w:t>
      </w:r>
    </w:p>
    <w:p>
      <w:pPr>
        <w:pStyle w:val="Heading2"/>
      </w:pPr>
      <w:r>
        <w:t>B. Construct Validity</w:t>
      </w:r>
    </w:p>
    <w:p>
      <w:pPr>
        <w:pStyle w:val="ListNumber"/>
      </w:pPr>
      <w:r>
        <w:t>joint_auc_beta3 là chỉ số tổng hợp hữu ích cho ranking nội bộ, nhưng không thay thế toàn bộ các chỉ số downstream decision utility.</w:t>
      </w:r>
    </w:p>
    <w:p>
      <w:pPr>
        <w:pStyle w:val="ListNumber"/>
      </w:pPr>
      <w:r>
        <w:t>Confidence của MolRAG hiện là hàm heuristic có trọng số thiết kế; cần thêm calibration thực nghiệm trên bộ dữ liệu ngoại kiểm.</w:t>
      </w:r>
    </w:p>
    <w:p>
      <w:pPr>
        <w:pStyle w:val="Heading2"/>
      </w:pPr>
      <w:r>
        <w:t>C. External Validity</w:t>
      </w:r>
    </w:p>
    <w:p>
      <w:pPr>
        <w:pStyle w:val="ListNumber"/>
      </w:pPr>
      <w:r>
        <w:t>Workspace mode hiện thiên về tox21_only; khả năng tổng quát sang miền hợp chất khác hoặc endpoint khác cần đánh giá thêm.</w:t>
      </w:r>
    </w:p>
    <w:p>
      <w:pPr>
        <w:pStyle w:val="ListNumber"/>
      </w:pPr>
      <w:r>
        <w:t>OOD guard dựa trên profile nguyên tố, chưa bao quát toàn bộ các dạng shift ở mức motif hoặc distribution embedding.</w:t>
      </w:r>
    </w:p>
    <w:p>
      <w:pPr>
        <w:pStyle w:val="Heading2"/>
      </w:pPr>
      <w:r>
        <w:t>D. Reproducibility and Infrastructure Validity</w:t>
      </w:r>
    </w:p>
    <w:p>
      <w:pPr>
        <w:pStyle w:val="ListNumber"/>
      </w:pPr>
      <w:r>
        <w:t>Report-chat session hiện phụ thuộc in-memory state ở một số nhánh runtime; scale-out đa instance cần persistence hoàn chỉnh.</w:t>
      </w:r>
    </w:p>
    <w:p>
      <w:pPr>
        <w:pStyle w:val="ListNumber"/>
      </w:pPr>
      <w:r>
        <w:t>Chất lượng retrieval phụ thuộc độ đầy đủ của Firestore knowledge/literature collections.</w:t>
      </w:r>
    </w:p>
    <w:p>
      <w:pPr>
        <w:pStyle w:val="Heading1"/>
      </w:pPr>
      <w:r>
        <w:t>X. Conclusion and Future Work</w:t>
      </w:r>
    </w:p>
    <w:p>
      <w:pPr>
        <w:jc w:val="both"/>
      </w:pPr>
      <w:r>
        <w:t>Bài báo đã trình bày ToxAgent như một nền tảng multi-agent hướng quyết định cho độc tính phân tử, kết hợp dual-head prediction, structural explainability, retrieval-grounded evidence và conversational follow-up. Kết quả benchmark hiện có cho thấy hiệu năng dự đoán cạnh tranh (best joint_auc_beta3 = 0.8467) và năng lực hệ thống vượt ra ngoài predictor truyền thống nhờ kiến trúc orchestration có kiểm soát chất lượng bằng chứng.</w:t>
      </w:r>
    </w:p>
    <w:p>
      <w:pPr>
        <w:jc w:val="both"/>
      </w:pPr>
      <w:r>
        <w:t>Trong giai đoạn tiếp theo, chúng tôi tập trung vào bốn hướng:</w:t>
      </w:r>
    </w:p>
    <w:p>
      <w:pPr>
        <w:pStyle w:val="ListNumber"/>
      </w:pPr>
      <w:r>
        <w:t>Bật đầy đủ chế độ LLM reasoning cho MolRAG với kiểm soát hallucination nghiêm ngặt.</w:t>
      </w:r>
    </w:p>
    <w:p>
      <w:pPr>
        <w:pStyle w:val="ListNumber"/>
      </w:pPr>
      <w:r>
        <w:t>Mở rộng persistence report-chat và telemetry quality để hỗ trợ production scale.</w:t>
      </w:r>
    </w:p>
    <w:p>
      <w:pPr>
        <w:pStyle w:val="ListNumber"/>
      </w:pPr>
      <w:r>
        <w:t>Bổ sung external validation trên tập dữ liệu ngoài miền và endpoint mở rộng.</w:t>
      </w:r>
    </w:p>
    <w:p>
      <w:pPr>
        <w:pStyle w:val="ListNumber"/>
      </w:pPr>
      <w:r>
        <w:t>Chuẩn hóa hơn nữa bộ tiêu chí uncertainty-aware reporting cho môi trường hội đồng khoa học và regulatory pre-screening.</w:t>
      </w:r>
    </w:p>
    <w:p>
      <w:pPr>
        <w:pStyle w:val="Heading1"/>
      </w:pPr>
      <w:r>
        <w:t>Acknowledgment</w:t>
      </w:r>
    </w:p>
    <w:p>
      <w:pPr>
        <w:jc w:val="both"/>
      </w:pPr>
      <w:r>
        <w:t>Nghiên cứu được xây dựng trên mã nguồn và tài nguyên của dự án ToxAgent, với dữ liệu benchmark nội bộ từ các artifact đã version hóa. Chúng tôi ghi nhận cộng đồng mã nguồn mở và các công trình nền tảng như RDKit, Tox21, ProTox và GNNExplainer.</w:t>
      </w:r>
    </w:p>
    <w:p>
      <w:pPr>
        <w:pStyle w:val="Heading1"/>
      </w:pPr>
      <w:r>
        <w:t>References</w:t>
      </w:r>
    </w:p>
    <w:p>
      <w:pPr>
        <w:jc w:val="both"/>
      </w:pPr>
      <w:r>
        <w:t>[1] P. Banerjee, E. Kemmler, M. Dunkel, and R. Preissner, “ProTox 3.0: a webserver for the prediction of toxicity of chemicals,” Nucleic Acids Research (Web Server Issue), 2024.</w:t>
      </w:r>
    </w:p>
    <w:p>
      <w:pPr>
        <w:jc w:val="both"/>
      </w:pPr>
      <w:r>
        <w:t>[2] P. Banerjee, O. A. Eckert, A. K. Schrey, and R. Preissner, “ProTox-II: a webserver for the prediction of toxicity of chemicals,” Nucleic Acids Research, vol. 46, no. W1, pp. W257–W263, 2018.</w:t>
      </w:r>
    </w:p>
    <w:p>
      <w:pPr>
        <w:jc w:val="both"/>
      </w:pPr>
      <w:r>
        <w:t>[3] Z. Wu et al., “MoleculeNet: a benchmark for molecular machine learning,” Chemical Science, vol. 9, pp. 513–530, 2018.</w:t>
      </w:r>
    </w:p>
    <w:p>
      <w:pPr>
        <w:jc w:val="both"/>
      </w:pPr>
      <w:r>
        <w:t>[4] Z. Ying, D. Bourgeois, J. You, M. Zitnik, and J. Leskovec, “GNNExplainer: generating explanations for graph neural networks,” in NeurIPS, 2019.</w:t>
      </w:r>
    </w:p>
    <w:p>
      <w:pPr>
        <w:jc w:val="both"/>
      </w:pPr>
      <w:r>
        <w:t>[5] S. Brody, U. Alon, and E. Yahav, “How attentive are graph attention networks?” in ICLR, 2022.</w:t>
      </w:r>
    </w:p>
    <w:p>
      <w:pPr>
        <w:jc w:val="both"/>
      </w:pPr>
      <w:r>
        <w:t>[6] J. Ross, B. Belgodere, V. Chenthamarakshan, and I. Padhi, “Large-scale chemical language representations capture molecular structure and properties,” Nature Machine Intelligence, 2022.</w:t>
      </w:r>
    </w:p>
    <w:p>
      <w:pPr>
        <w:jc w:val="both"/>
      </w:pPr>
      <w:r>
        <w:t>[7] S. Chithrananda, G. Grand, and B. Ramsundar, “ChemBERTa: large-scale self-supervised pretraining for molecular property prediction,” arXiv:2010.09885, 2020.</w:t>
      </w:r>
    </w:p>
    <w:p>
      <w:pPr>
        <w:jc w:val="both"/>
      </w:pPr>
      <w:r>
        <w:t>[8] G. Landrum, “RDKit: Open-source cheminformatics software,” 2024. [Online]. Available: https://www.rdkit.org</w:t>
      </w:r>
    </w:p>
    <w:p>
      <w:pPr>
        <w:jc w:val="both"/>
      </w:pPr>
      <w:r>
        <w:t>[9] R. S. Judson et al., “In vitro screening of environmental chemicals for targeted testing prioritization: the Tox21 consortium,” Environmental Health Perspectives, 2015.</w:t>
      </w:r>
    </w:p>
    <w:p>
      <w:pPr>
        <w:jc w:val="both"/>
      </w:pPr>
      <w:r>
        <w:t>[10] E. Lounkine et al., “Large-scale prediction and testing of drug activity on side-effect targets,” Nature, vol. 486, pp. 361–367, 2012.</w:t>
      </w:r>
    </w:p>
    <w:p>
      <w:pPr>
        <w:jc w:val="both"/>
      </w:pPr>
      <w:r>
        <w:t>[11] ToxAgent Team, “ToxAgent README (v0.0.6 Beta),” Project documentation, 2026.</w:t>
      </w:r>
    </w:p>
    <w:p>
      <w:pPr>
        <w:jc w:val="both"/>
      </w:pPr>
      <w:r>
        <w:t>[12] ToxAgent Team, “dualhead_model_ranking.csv,” Benchmark artifact, 2026.</w:t>
      </w:r>
    </w:p>
    <w:p>
      <w:pPr>
        <w:jc w:val="both"/>
      </w:pPr>
      <w:r>
        <w:t>[13] ToxAgent Team, “tox21_task_metrics.csv,” Benchmark artifact, 2026.</w:t>
      </w:r>
    </w:p>
    <w:p>
      <w:pPr>
        <w:jc w:val="both"/>
      </w:pPr>
      <w:r>
        <w:t>[14] ToxAgent Team, “Agent pipeline analysis and runtime notes,” Internal technical report, 2026.</w:t>
      </w:r>
    </w:p>
    <w:p>
      <w:pPr>
        <w:jc w:val="both"/>
      </w:pPr>
      <w:r>
        <w:t>[15] ToxAgent Team, “Cloud Run and Firebase deployment configuration,” Deployment documentation, 2026.</w:t>
      </w:r>
    </w:p>
    <w:p>
      <w:pPr>
        <w:jc w:val="both"/>
      </w:pPr>
      <w:r>
        <w:t>[16] O. J. Wouters, M. McKee, and J. Luyten, “Estimated research and development investment needed to bring a new medicine to market,” JAMA, vol. 323, no. 9, pp. 844–853, 2020.</w:t>
      </w:r>
    </w:p>
    <w:p>
      <w:pPr>
        <w:jc w:val="both"/>
      </w:pPr>
      <w:r>
        <w:t>[17] Tox21 Consortium, “Toxicology testing in the 21st century,” U.S. EPA/NIH/FDA collaborative program.</w:t>
      </w:r>
    </w:p>
    <w:p>
      <w:pPr>
        <w:jc w:val="both"/>
      </w:pPr>
      <w:r>
        <w:t>[18] Y. LeCun, Y. Bengio, and G. Hinton, “Deep learning,” Nature, vol. 521, pp. 436–444, 2015.</w:t>
      </w:r>
    </w:p>
    <w:p>
      <w:pPr>
        <w:jc w:val="both"/>
      </w:pPr>
      <w:r>
        <w:t>[19] L. Breiman, “Random forests,” Machine Learning, vol. 45, pp. 5–32, 2001.</w:t>
      </w:r>
    </w:p>
    <w:p>
      <w:pPr>
        <w:jc w:val="both"/>
      </w:pPr>
      <w:r>
        <w:t>[20] J. Gilmer, S. S. Schoenholz, P. F. Riley, O. Vinyals, and G. E. Dahl, “Neural message passing for quantum chemistry,” in ICML, 2017.</w:t>
      </w:r>
    </w:p>
    <w:p>
      <w:pPr>
        <w:jc w:val="both"/>
      </w:pPr>
      <w:r>
        <w:t>[21] K. Yang, K. Swanson, W. Jin, C. Coley, P. Eiden, H. Gao, T. Guzman-Perez, T. Hopper, B. Kelley, M. Mathea, A. Palmer, V. Settels, T. Jaakkola, K. Jensen, and R. Barzilay, “Analyzing learned molecular representations for property prediction,” Journal of Chemical Information and Modeling, 2019.</w:t>
      </w:r>
    </w:p>
    <w:p>
      <w:pPr>
        <w:jc w:val="both"/>
      </w:pPr>
      <w:r>
        <w:t>[22] D. Rogers and M. Hahn, “Extended-connectivity fingerprints,” Journal of Chemical Information and Modeling, vol. 50, no. 5, pp. 742–754, 2010.</w:t>
      </w:r>
    </w:p>
    <w:p>
      <w:pPr>
        <w:jc w:val="both"/>
      </w:pPr>
      <w:r>
        <w:t>[23] ToxAgent Team, “Report chat persistence plan and system hardening notes,” Internal design specification, 2026.</w:t>
      </w:r>
    </w:p>
    <w:p>
      <w:pPr>
        <w:jc w:val="both"/>
      </w:pPr>
      <w:r>
        <w:t>[24] P. Banerjee and R. Preissner, “Toxic fragment and propensity based toxicity modeling,” referenced in ProTox methodology and FAQ resources.</w:t>
      </w:r>
    </w:p>
    <w:p>
      <w:pPr>
        <w:jc w:val="both"/>
      </w:pPr>
      <w:r>
        <w:t>[25] N. Minh Nguyen et al., “Advancing clinical toxicity prediction through multimodal fusion of SMILES and molecular graphs,” preprint manuscript, 2026.</w:t>
      </w:r>
    </w:p>
    <w:sectPr w:rsidR="00FC693F" w:rsidRPr="0006063C" w:rsidSect="00034616">
      <w:pgSz w:w="11909" w:h="16834"/>
      <w:pgMar w:top="108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