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BMSBorůvka — Benchmark Investigation Findings</w:t>
      </w:r>
    </w:p>
    <w:p>
      <w:pPr>
        <w:spacing w:after="300"/>
        <w:jc w:val="center"/>
      </w:pPr>
      <w:r>
        <w:rPr>
          <w:rFonts w:ascii="Calibri" w:cs="Calibri" w:eastAsia="Calibri" w:hAnsi="Calibri"/>
          <w:i/>
          <w:iCs/>
          <w:color w:val="444444"/>
          <w:sz w:val="22"/>
          <w:szCs w:val="22"/>
        </w:rPr>
        <w:t xml:space="preserve">Based on the actual repository (github.com/NEU-Yuyang7/MST), compiled and run directly</w:t>
      </w:r>
    </w:p>
    <w:p>
      <w:pPr>
        <w:spacing w:after="160" w:line="276"/>
      </w:pPr>
      <w:r>
        <w:rPr>
          <w:rFonts w:ascii="Calibri" w:cs="Calibri" w:eastAsia="Calibri" w:hAnsi="Calibri"/>
          <w:sz w:val="22"/>
          <w:szCs w:val="22"/>
        </w:rPr>
        <w:t xml:space="preserve">This picks up from the Filter-Kruskal baseline work: your student's repository already has a Filter-Kruskal implementation, a Kruskal baseline, and a full benchmark harness, so rather than reinvent anything I built and ran the real thing. That turned up something more important than the related-work gap: the implementation and the paper's proof appear to have diverged, and once a fair set of baselines is actually run, BMSBoruvka currently loses to two of them. Both are fixable, and I've tried one fix already. Everything below is backed by compiling and running your own code; I've included the patched files so you and your student can re-run and verify independently.</w:t>
      </w:r>
    </w:p>
    <w:p>
      <w:pPr>
        <w:pStyle w:val="Heading1"/>
        <w:spacing w:after="160" w:before="360"/>
      </w:pPr>
      <w:r>
        <w:t xml:space="preserve">Finding 1 (highest priority) — The code doesn't implement what the paper proves</w:t>
      </w:r>
    </w:p>
    <w:p>
      <w:pPr>
        <w:spacing w:after="160" w:line="276"/>
      </w:pPr>
      <w:r>
        <w:rPr>
          <w:rFonts w:ascii="Calibri" w:cs="Calibri" w:eastAsia="Calibri" w:hAnsi="Calibri"/>
          <w:sz w:val="22"/>
          <w:szCs w:val="22"/>
        </w:rPr>
        <w:t xml:space="preserve">The paper's Phase A description, and Lemmas 2–3, are specific and repeated: “In BMSBoruvka, nth_element is called once per super-step on the unactivated suffix of the edge array,” with Lemma 2 bounding “the aggregate cost of all nth_element calls” at O(m log¹⁄³ n), and the benchmarked binary is labeled “bms (v6, nth_element preprocessing)” in the paper's own algorithm list.</w:t>
      </w:r>
    </w:p>
    <w:p>
      <w:pPr>
        <w:spacing w:after="160" w:line="276"/>
      </w:pPr>
      <w:r>
        <w:rPr>
          <w:rFonts w:ascii="Calibri" w:cs="Calibri" w:eastAsia="Calibri" w:hAnsi="Calibri"/>
          <w:b/>
          <w:bCs/>
          <w:sz w:val="22"/>
          <w:szCs w:val="22"/>
        </w:rPr>
        <w:t xml:space="preserve">What the code actually does: </w:t>
      </w:r>
      <w:r>
        <w:rPr>
          <w:rFonts w:ascii="Calibri" w:cs="Calibri" w:eastAsia="Calibri" w:hAnsi="Calibri"/>
          <w:sz w:val="22"/>
          <w:szCs w:val="22"/>
        </w:rPr>
        <w:t xml:space="preserve">I searched every commit that has ever touched BMSBoruvka.cpp — the very first one included — and nth_element appears in none of them. The real Phase A sorts the entire edge array once, up front, in the constructor (via a function called countingSortEdges), and every super-step simply takes a contiguous slice of that pre-sorted array. This is a different algorithm from the one the paper describes and proves bounds for.</w:t>
      </w:r>
    </w:p>
    <w:p>
      <w:pPr>
        <w:spacing w:after="160" w:line="276"/>
      </w:pPr>
      <w:r>
        <w:rPr>
          <w:rFonts w:ascii="Calibri" w:cs="Calibri" w:eastAsia="Calibri" w:hAnsi="Calibri"/>
          <w:sz w:val="22"/>
          <w:szCs w:val="22"/>
        </w:rPr>
        <w:t xml:space="preserve">This wouldn't necessarily be fatal on its own — a single linear-time sort up front is a perfectly reasonable design — except for what happens next.</w:t>
      </w:r>
    </w:p>
    <w:p>
      <w:pPr>
        <w:pStyle w:val="Heading2"/>
        <w:spacing w:after="120" w:before="280"/>
      </w:pPr>
      <w:r>
        <w:t xml:space="preserve">The upfront sort isn't linear-time for the paper's own benchmark configuration</w:t>
      </w:r>
    </w:p>
    <w:p>
      <w:pPr>
        <w:spacing w:after="160" w:line="276"/>
      </w:pPr>
      <w:r>
        <w:rPr>
          <w:rFonts w:ascii="Calibri" w:cs="Calibri" w:eastAsia="Calibri" w:hAnsi="Calibri"/>
          <w:sz w:val="22"/>
          <w:szCs w:val="22"/>
        </w:rPr>
        <w:t xml:space="preserve">countingSortEdges only does genuine O(m + R) counting-sort when the edge-weight range R is under 50,000,000 buckets. Above that, it silently falls back to std::sort — an O(m log m) comparison sort. Your student's own graph generator (gen.cpp) produces weights uniformly in [1, 10⁹] by default, which is exactly the weight range used for the 10k/100k/500k/1m test cases in run_bench.py's TEST_CASES table (only the special 1m_small case overrides this). I instrumented the function directly and confirmed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200"/>
              <w:bottom w:type="dxa" w:w="150"/>
              <w:right w:type="dxa" w:w="200"/>
            </w:tcMar>
          </w:tcPr>
          <w:p>
            <w:pPr>
              <w:spacing w:after="20" w:line="240"/>
            </w:pPr>
            <w:r>
              <w:rPr>
                <w:rFonts w:ascii="Consolas" w:cs="Consolas" w:eastAsia="Consolas" w:hAnsi="Consolas"/>
                <w:sz w:val="18"/>
                <w:szCs w:val="18"/>
              </w:rPr>
              <w:t xml:space="preserve">[countingSortEdges] FALLBACK to std::sort: range=999997315 &gt; MAX_BUCKETS=50000000 (m=500000)</w:t>
            </w:r>
          </w:p>
          <w:p>
            <w:pPr>
              <w:spacing w:after="20" w:line="240"/>
            </w:pPr>
            <w:r>
              <w:rPr>
                <w:rFonts w:ascii="Consolas" w:cs="Consolas" w:eastAsia="Consolas" w:hAnsi="Consolas"/>
                <w:sz w:val="18"/>
                <w:szCs w:val="18"/>
              </w:rPr>
              <w:t xml:space="preserve">[countingSortEdges] FALLBACK to std::sort: range=999998923 &gt; MAX_BUCKETS=50000000 (m=5000000)</w:t>
            </w:r>
          </w:p>
        </w:tc>
      </w:tr>
    </w:tbl>
    <w:p>
      <w:pPr>
        <w:spacing w:after="160" w:line="276"/>
      </w:pPr>
      <w:r>
        <w:rPr>
          <w:rFonts w:ascii="Calibri" w:cs="Calibri" w:eastAsia="Calibri" w:hAnsi="Calibri"/>
          <w:sz w:val="22"/>
          <w:szCs w:val="22"/>
        </w:rPr>
        <w:t xml:space="preserve">So for the main experiments — the ones Tables 4–8 are built from — BMSBoruvka pays a full O(m log m) sort before Phase A/B/C even begin. I also timed the constructor (which contains this sort) separately from the rest of the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CE6F1" w:val="clear"/>
            <w:tcMar>
              <w:top w:type="dxa" w:w="100"/>
              <w:left w:type="dxa" w:w="120"/>
              <w:bottom w:type="dxa" w:w="100"/>
              <w:right w:type="dxa" w:w="120"/>
            </w:tcMar>
          </w:tcPr>
          <w:p>
            <w:r>
              <w:rPr>
                <w:rFonts w:ascii="Calibri" w:cs="Calibri" w:eastAsia="Calibri" w:hAnsi="Calibri"/>
                <w:b/>
                <w:bCs/>
                <w:sz w:val="20"/>
                <w:szCs w:val="20"/>
              </w:rPr>
              <w:t xml:space="preserve">n</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m</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constructor (incl. sort)</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run() (Phase A/B/C)</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constructor's share</w:t>
            </w:r>
          </w:p>
        </w:tc>
      </w:tr>
      <w:tr>
        <w:tc>
          <w:tcPr>
            <w:tcMar>
              <w:top w:type="dxa" w:w="80"/>
              <w:left w:type="dxa" w:w="120"/>
              <w:bottom w:type="dxa" w:w="80"/>
              <w:right w:type="dxa" w:w="120"/>
            </w:tcMar>
          </w:tcPr>
          <w:p>
            <w:r>
              <w:rPr>
                <w:rFonts w:ascii="Calibri" w:cs="Calibri" w:eastAsia="Calibri" w:hAnsi="Calibri"/>
                <w:sz w:val="20"/>
                <w:szCs w:val="20"/>
              </w:rPr>
              <w:t xml:space="preserve">100,000</w:t>
            </w:r>
          </w:p>
        </w:tc>
        <w:tc>
          <w:tcPr>
            <w:tcMar>
              <w:top w:type="dxa" w:w="80"/>
              <w:left w:type="dxa" w:w="120"/>
              <w:bottom w:type="dxa" w:w="80"/>
              <w:right w:type="dxa" w:w="120"/>
            </w:tcMar>
          </w:tcPr>
          <w:p>
            <w:r>
              <w:rPr>
                <w:rFonts w:ascii="Calibri" w:cs="Calibri" w:eastAsia="Calibri" w:hAnsi="Calibri"/>
                <w:sz w:val="20"/>
                <w:szCs w:val="20"/>
              </w:rPr>
              <w:t xml:space="preserve">500,000</w:t>
            </w:r>
          </w:p>
        </w:tc>
        <w:tc>
          <w:tcPr>
            <w:tcMar>
              <w:top w:type="dxa" w:w="80"/>
              <w:left w:type="dxa" w:w="120"/>
              <w:bottom w:type="dxa" w:w="80"/>
              <w:right w:type="dxa" w:w="120"/>
            </w:tcMar>
          </w:tcPr>
          <w:p>
            <w:r>
              <w:rPr>
                <w:rFonts w:ascii="Calibri" w:cs="Calibri" w:eastAsia="Calibri" w:hAnsi="Calibri"/>
                <w:sz w:val="20"/>
                <w:szCs w:val="20"/>
              </w:rPr>
              <w:t xml:space="preserve">48.99 ms</w:t>
            </w:r>
          </w:p>
        </w:tc>
        <w:tc>
          <w:tcPr>
            <w:tcMar>
              <w:top w:type="dxa" w:w="80"/>
              <w:left w:type="dxa" w:w="120"/>
              <w:bottom w:type="dxa" w:w="80"/>
              <w:right w:type="dxa" w:w="120"/>
            </w:tcMar>
          </w:tcPr>
          <w:p>
            <w:r>
              <w:rPr>
                <w:rFonts w:ascii="Calibri" w:cs="Calibri" w:eastAsia="Calibri" w:hAnsi="Calibri"/>
                <w:sz w:val="20"/>
                <w:szCs w:val="20"/>
              </w:rPr>
              <w:t xml:space="preserve">33.59 ms</w:t>
            </w:r>
          </w:p>
        </w:tc>
        <w:tc>
          <w:tcPr>
            <w:tcMar>
              <w:top w:type="dxa" w:w="80"/>
              <w:left w:type="dxa" w:w="120"/>
              <w:bottom w:type="dxa" w:w="80"/>
              <w:right w:type="dxa" w:w="120"/>
            </w:tcMar>
          </w:tcPr>
          <w:p>
            <w:r>
              <w:rPr>
                <w:rFonts w:ascii="Calibri" w:cs="Calibri" w:eastAsia="Calibri" w:hAnsi="Calibri"/>
                <w:sz w:val="20"/>
                <w:szCs w:val="20"/>
              </w:rPr>
              <w:t xml:space="preserve">59.3%</w:t>
            </w:r>
          </w:p>
        </w:tc>
      </w:tr>
      <w:tr>
        <w:tc>
          <w:tcPr>
            <w:tcMar>
              <w:top w:type="dxa" w:w="80"/>
              <w:left w:type="dxa" w:w="120"/>
              <w:bottom w:type="dxa" w:w="80"/>
              <w:right w:type="dxa" w:w="120"/>
            </w:tcMar>
          </w:tcPr>
          <w:p>
            <w:r>
              <w:rPr>
                <w:rFonts w:ascii="Calibri" w:cs="Calibri" w:eastAsia="Calibri" w:hAnsi="Calibri"/>
                <w:sz w:val="20"/>
                <w:szCs w:val="20"/>
              </w:rPr>
              <w:t xml:space="preserve">1,000,000</w:t>
            </w:r>
          </w:p>
        </w:tc>
        <w:tc>
          <w:tcPr>
            <w:tcMar>
              <w:top w:type="dxa" w:w="80"/>
              <w:left w:type="dxa" w:w="120"/>
              <w:bottom w:type="dxa" w:w="80"/>
              <w:right w:type="dxa" w:w="120"/>
            </w:tcMar>
          </w:tcPr>
          <w:p>
            <w:r>
              <w:rPr>
                <w:rFonts w:ascii="Calibri" w:cs="Calibri" w:eastAsia="Calibri" w:hAnsi="Calibri"/>
                <w:sz w:val="20"/>
                <w:szCs w:val="20"/>
              </w:rPr>
              <w:t xml:space="preserve">5,000,000</w:t>
            </w:r>
          </w:p>
        </w:tc>
        <w:tc>
          <w:tcPr>
            <w:tcMar>
              <w:top w:type="dxa" w:w="80"/>
              <w:left w:type="dxa" w:w="120"/>
              <w:bottom w:type="dxa" w:w="80"/>
              <w:right w:type="dxa" w:w="120"/>
            </w:tcMar>
          </w:tcPr>
          <w:p>
            <w:r>
              <w:rPr>
                <w:rFonts w:ascii="Calibri" w:cs="Calibri" w:eastAsia="Calibri" w:hAnsi="Calibri"/>
                <w:sz w:val="20"/>
                <w:szCs w:val="20"/>
              </w:rPr>
              <w:t xml:space="preserve">583.35 ms</w:t>
            </w:r>
          </w:p>
        </w:tc>
        <w:tc>
          <w:tcPr>
            <w:tcMar>
              <w:top w:type="dxa" w:w="80"/>
              <w:left w:type="dxa" w:w="120"/>
              <w:bottom w:type="dxa" w:w="80"/>
              <w:right w:type="dxa" w:w="120"/>
            </w:tcMar>
          </w:tcPr>
          <w:p>
            <w:r>
              <w:rPr>
                <w:rFonts w:ascii="Calibri" w:cs="Calibri" w:eastAsia="Calibri" w:hAnsi="Calibri"/>
                <w:sz w:val="20"/>
                <w:szCs w:val="20"/>
              </w:rPr>
              <w:t xml:space="preserve">507.23 ms</w:t>
            </w:r>
          </w:p>
        </w:tc>
        <w:tc>
          <w:tcPr>
            <w:tcMar>
              <w:top w:type="dxa" w:w="80"/>
              <w:left w:type="dxa" w:w="120"/>
              <w:bottom w:type="dxa" w:w="80"/>
              <w:right w:type="dxa" w:w="120"/>
            </w:tcMar>
          </w:tcPr>
          <w:p>
            <w:r>
              <w:rPr>
                <w:rFonts w:ascii="Calibri" w:cs="Calibri" w:eastAsia="Calibri" w:hAnsi="Calibri"/>
                <w:sz w:val="20"/>
                <w:szCs w:val="20"/>
              </w:rPr>
              <w:t xml:space="preserve">53.5%</w:t>
            </w:r>
          </w:p>
        </w:tc>
      </w:tr>
    </w:tbl>
    <w:p>
      <w:pPr>
        <w:spacing w:after="160" w:line="276"/>
      </w:pPr>
      <w:r>
        <w:rPr>
          <w:rFonts w:ascii="Calibri" w:cs="Calibri" w:eastAsia="Calibri" w:hAnsi="Calibri"/>
          <w:sz w:val="22"/>
          <w:szCs w:val="22"/>
        </w:rPr>
        <w:t xml:space="preserve">More than half of BMSBoruvka's own wall-clock time, in its own benchmark configuration, is spent in a comparison sort that both the paper's proof and its own marketing (“without any global sort”) say shouldn't be there.</w:t>
      </w:r>
    </w:p>
    <w:p>
      <w:pPr>
        <w:pStyle w:val="Heading1"/>
        <w:spacing w:after="160" w:before="360"/>
      </w:pPr>
      <w:r>
        <w:t xml:space="preserve">Finding 2 — Once Kruskal and Filter-Kruskal are actually run, BMSBoruvka currently loses to both</w:t>
      </w:r>
    </w:p>
    <w:p>
      <w:pPr>
        <w:spacing w:after="160" w:line="276"/>
      </w:pPr>
      <w:r>
        <w:rPr>
          <w:rFonts w:ascii="Calibri" w:cs="Calibri" w:eastAsia="Calibri" w:hAnsi="Calibri"/>
          <w:sz w:val="22"/>
          <w:szCs w:val="22"/>
        </w:rPr>
        <w:t xml:space="preserve">Your student's repo already has filter_kruskal.cpp and kruskal.cpp wired into run_bench.py as registered algorithms — they're just not in the paper's current benchmark tables. I ran the existing harness as-is (python3 run_bench.py --build --gen) at n=10k and n=100k, with correctness verified (“All algorithms agree” on MST weight):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DCE6F1" w:val="clear"/>
            <w:tcMar>
              <w:top w:type="dxa" w:w="100"/>
              <w:left w:type="dxa" w:w="120"/>
              <w:bottom w:type="dxa" w:w="100"/>
              <w:right w:type="dxa" w:w="120"/>
            </w:tcMar>
          </w:tcPr>
          <w:p>
            <w:r>
              <w:rPr>
                <w:rFonts w:ascii="Calibri" w:cs="Calibri" w:eastAsia="Calibri" w:hAnsi="Calibri"/>
                <w:b/>
                <w:bCs/>
                <w:sz w:val="20"/>
                <w:szCs w:val="20"/>
              </w:rPr>
              <w:t xml:space="preserve">n</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boruvka</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kruskal</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filter_kruskal</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bms</w:t>
            </w:r>
          </w:p>
        </w:tc>
      </w:tr>
      <w:tr>
        <w:tc>
          <w:tcPr>
            <w:tcMar>
              <w:top w:type="dxa" w:w="80"/>
              <w:left w:type="dxa" w:w="120"/>
              <w:bottom w:type="dxa" w:w="80"/>
              <w:right w:type="dxa" w:w="120"/>
            </w:tcMar>
          </w:tcPr>
          <w:p>
            <w:r>
              <w:rPr>
                <w:rFonts w:ascii="Calibri" w:cs="Calibri" w:eastAsia="Calibri" w:hAnsi="Calibri"/>
                <w:sz w:val="20"/>
                <w:szCs w:val="20"/>
              </w:rPr>
              <w:t xml:space="preserve">10,000</w:t>
            </w:r>
          </w:p>
        </w:tc>
        <w:tc>
          <w:tcPr>
            <w:tcMar>
              <w:top w:type="dxa" w:w="80"/>
              <w:left w:type="dxa" w:w="120"/>
              <w:bottom w:type="dxa" w:w="80"/>
              <w:right w:type="dxa" w:w="120"/>
            </w:tcMar>
          </w:tcPr>
          <w:p>
            <w:r>
              <w:rPr>
                <w:rFonts w:ascii="Calibri" w:cs="Calibri" w:eastAsia="Calibri" w:hAnsi="Calibri"/>
                <w:sz w:val="20"/>
                <w:szCs w:val="20"/>
              </w:rPr>
              <w:t xml:space="preserve">38.9 ms</w:t>
            </w:r>
          </w:p>
        </w:tc>
        <w:tc>
          <w:tcPr>
            <w:tcMar>
              <w:top w:type="dxa" w:w="80"/>
              <w:left w:type="dxa" w:w="120"/>
              <w:bottom w:type="dxa" w:w="80"/>
              <w:right w:type="dxa" w:w="120"/>
            </w:tcMar>
          </w:tcPr>
          <w:p>
            <w:r>
              <w:rPr>
                <w:rFonts w:ascii="Calibri" w:cs="Calibri" w:eastAsia="Calibri" w:hAnsi="Calibri"/>
                <w:sz w:val="20"/>
                <w:szCs w:val="20"/>
              </w:rPr>
              <w:t xml:space="preserve">12.5 ms</w:t>
            </w:r>
          </w:p>
        </w:tc>
        <w:tc>
          <w:tcPr>
            <w:tcMar>
              <w:top w:type="dxa" w:w="80"/>
              <w:left w:type="dxa" w:w="120"/>
              <w:bottom w:type="dxa" w:w="80"/>
              <w:right w:type="dxa" w:w="120"/>
            </w:tcMar>
          </w:tcPr>
          <w:p>
            <w:r>
              <w:rPr>
                <w:rFonts w:ascii="Calibri" w:cs="Calibri" w:eastAsia="Calibri" w:hAnsi="Calibri"/>
                <w:sz w:val="20"/>
                <w:szCs w:val="20"/>
              </w:rPr>
              <w:t xml:space="preserve">11.3 ms</w:t>
            </w:r>
          </w:p>
        </w:tc>
        <w:tc>
          <w:tcPr>
            <w:tcMar>
              <w:top w:type="dxa" w:w="80"/>
              <w:left w:type="dxa" w:w="120"/>
              <w:bottom w:type="dxa" w:w="80"/>
              <w:right w:type="dxa" w:w="120"/>
            </w:tcMar>
          </w:tcPr>
          <w:p>
            <w:r>
              <w:rPr>
                <w:rFonts w:ascii="Calibri" w:cs="Calibri" w:eastAsia="Calibri" w:hAnsi="Calibri"/>
                <w:sz w:val="20"/>
                <w:szCs w:val="20"/>
              </w:rPr>
              <w:t xml:space="preserve">15.5 ms</w:t>
            </w:r>
          </w:p>
        </w:tc>
      </w:tr>
      <w:tr>
        <w:tc>
          <w:tcPr>
            <w:tcMar>
              <w:top w:type="dxa" w:w="80"/>
              <w:left w:type="dxa" w:w="120"/>
              <w:bottom w:type="dxa" w:w="80"/>
              <w:right w:type="dxa" w:w="120"/>
            </w:tcMar>
          </w:tcPr>
          <w:p>
            <w:r>
              <w:rPr>
                <w:rFonts w:ascii="Calibri" w:cs="Calibri" w:eastAsia="Calibri" w:hAnsi="Calibri"/>
                <w:sz w:val="20"/>
                <w:szCs w:val="20"/>
              </w:rPr>
              <w:t xml:space="preserve">100,000</w:t>
            </w:r>
          </w:p>
        </w:tc>
        <w:tc>
          <w:tcPr>
            <w:tcMar>
              <w:top w:type="dxa" w:w="80"/>
              <w:left w:type="dxa" w:w="120"/>
              <w:bottom w:type="dxa" w:w="80"/>
              <w:right w:type="dxa" w:w="120"/>
            </w:tcMar>
          </w:tcPr>
          <w:p>
            <w:r>
              <w:rPr>
                <w:rFonts w:ascii="Calibri" w:cs="Calibri" w:eastAsia="Calibri" w:hAnsi="Calibri"/>
                <w:sz w:val="20"/>
                <w:szCs w:val="20"/>
              </w:rPr>
              <w:t xml:space="preserve">419.9 ms</w:t>
            </w:r>
          </w:p>
        </w:tc>
        <w:tc>
          <w:tcPr>
            <w:tcMar>
              <w:top w:type="dxa" w:w="80"/>
              <w:left w:type="dxa" w:w="120"/>
              <w:bottom w:type="dxa" w:w="80"/>
              <w:right w:type="dxa" w:w="120"/>
            </w:tcMar>
          </w:tcPr>
          <w:p>
            <w:r>
              <w:rPr>
                <w:rFonts w:ascii="Calibri" w:cs="Calibri" w:eastAsia="Calibri" w:hAnsi="Calibri"/>
                <w:sz w:val="20"/>
                <w:szCs w:val="20"/>
              </w:rPr>
              <w:t xml:space="preserve">130.6 ms</w:t>
            </w:r>
          </w:p>
        </w:tc>
        <w:tc>
          <w:tcPr>
            <w:tcMar>
              <w:top w:type="dxa" w:w="80"/>
              <w:left w:type="dxa" w:w="120"/>
              <w:bottom w:type="dxa" w:w="80"/>
              <w:right w:type="dxa" w:w="120"/>
            </w:tcMar>
          </w:tcPr>
          <w:p>
            <w:r>
              <w:rPr>
                <w:rFonts w:ascii="Calibri" w:cs="Calibri" w:eastAsia="Calibri" w:hAnsi="Calibri"/>
                <w:sz w:val="20"/>
                <w:szCs w:val="20"/>
              </w:rPr>
              <w:t xml:space="preserve">106.8 ms</w:t>
            </w:r>
          </w:p>
        </w:tc>
        <w:tc>
          <w:tcPr>
            <w:tcMar>
              <w:top w:type="dxa" w:w="80"/>
              <w:left w:type="dxa" w:w="120"/>
              <w:bottom w:type="dxa" w:w="80"/>
              <w:right w:type="dxa" w:w="120"/>
            </w:tcMar>
          </w:tcPr>
          <w:p>
            <w:r>
              <w:rPr>
                <w:rFonts w:ascii="Calibri" w:cs="Calibri" w:eastAsia="Calibri" w:hAnsi="Calibri"/>
                <w:sz w:val="20"/>
                <w:szCs w:val="20"/>
              </w:rPr>
              <w:t xml:space="preserve">164.0 ms</w:t>
            </w:r>
          </w:p>
        </w:tc>
      </w:tr>
    </w:tbl>
    <w:p>
      <w:pPr>
        <w:spacing w:after="160" w:line="276"/>
      </w:pPr>
      <w:r>
        <w:rPr>
          <w:rFonts w:ascii="Calibri" w:cs="Calibri" w:eastAsia="Calibri" w:hAnsi="Calibri"/>
          <w:sz w:val="22"/>
          <w:szCs w:val="22"/>
        </w:rPr>
        <w:t xml:space="preserve">BMSBoruvka beats the uncompressed classical Borůvka baseline comfortably (as the paper reports), but is slower than plain sort-based Kruskal, and slower still than Filter-Kruskal, at both sizes tested. This is the direct, practical consequence of Finding 1: the “optimized” algorithm is paying for a full sort that its leaner competitors also pay for once, without getting anything extra back for it.</w:t>
      </w:r>
    </w:p>
    <w:p>
      <w:pPr>
        <w:pStyle w:val="Heading1"/>
        <w:spacing w:after="160" w:before="360"/>
      </w:pPr>
      <w:r>
        <w:t xml:space="preserve">Finding 3 — A genuine O(m) sort helps, but doesn't close the gap</w:t>
      </w:r>
    </w:p>
    <w:p>
      <w:pPr>
        <w:spacing w:after="160" w:line="276"/>
      </w:pPr>
      <w:r>
        <w:rPr>
          <w:rFonts w:ascii="Calibri" w:cs="Calibri" w:eastAsia="Calibri" w:hAnsi="Calibri"/>
          <w:sz w:val="22"/>
          <w:szCs w:val="22"/>
        </w:rPr>
        <w:t xml:space="preserve">To check whether Finding 1 is fully responsible, I replaced countingSortEdges with an actual LSD radix sort (4 passes of 16-bit digits over the 64-bit biased weight) — O(m) regardless of weight range, no fallback, in the same spirit as the radix-sort work already validated for Huskysort. Correctness confirmed (identical MST weight to the original on both test graphs). Timing: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DCE6F1" w:val="clear"/>
            <w:tcMar>
              <w:top w:type="dxa" w:w="100"/>
              <w:left w:type="dxa" w:w="120"/>
              <w:bottom w:type="dxa" w:w="100"/>
              <w:right w:type="dxa" w:w="120"/>
            </w:tcMar>
          </w:tcPr>
          <w:p>
            <w:r>
              <w:rPr>
                <w:rFonts w:ascii="Calibri" w:cs="Calibri" w:eastAsia="Calibri" w:hAnsi="Calibri"/>
                <w:b/>
                <w:bCs/>
                <w:sz w:val="20"/>
                <w:szCs w:val="20"/>
              </w:rPr>
              <w:t xml:space="preserve">n</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m</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boruvka</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kruskal</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filter_kruskal</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bms (original)</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bms (radix-patched)</w:t>
            </w:r>
          </w:p>
        </w:tc>
      </w:tr>
      <w:tr>
        <w:tc>
          <w:tcPr>
            <w:tcMar>
              <w:top w:type="dxa" w:w="80"/>
              <w:left w:type="dxa" w:w="120"/>
              <w:bottom w:type="dxa" w:w="80"/>
              <w:right w:type="dxa" w:w="120"/>
            </w:tcMar>
          </w:tcPr>
          <w:p>
            <w:r>
              <w:rPr>
                <w:rFonts w:ascii="Calibri" w:cs="Calibri" w:eastAsia="Calibri" w:hAnsi="Calibri"/>
                <w:sz w:val="20"/>
                <w:szCs w:val="20"/>
              </w:rPr>
              <w:t xml:space="preserve">100,000</w:t>
            </w:r>
          </w:p>
        </w:tc>
        <w:tc>
          <w:tcPr>
            <w:tcMar>
              <w:top w:type="dxa" w:w="80"/>
              <w:left w:type="dxa" w:w="120"/>
              <w:bottom w:type="dxa" w:w="80"/>
              <w:right w:type="dxa" w:w="120"/>
            </w:tcMar>
          </w:tcPr>
          <w:p>
            <w:r>
              <w:rPr>
                <w:rFonts w:ascii="Calibri" w:cs="Calibri" w:eastAsia="Calibri" w:hAnsi="Calibri"/>
                <w:sz w:val="20"/>
                <w:szCs w:val="20"/>
              </w:rPr>
              <w:t xml:space="preserve">500,000</w:t>
            </w:r>
          </w:p>
        </w:tc>
        <w:tc>
          <w:tcPr>
            <w:tcMar>
              <w:top w:type="dxa" w:w="80"/>
              <w:left w:type="dxa" w:w="120"/>
              <w:bottom w:type="dxa" w:w="80"/>
              <w:right w:type="dxa" w:w="120"/>
            </w:tcMar>
          </w:tcPr>
          <w:p>
            <w:r>
              <w:rPr>
                <w:rFonts w:ascii="Calibri" w:cs="Calibri" w:eastAsia="Calibri" w:hAnsi="Calibri"/>
                <w:sz w:val="20"/>
                <w:szCs w:val="20"/>
              </w:rPr>
              <w:t xml:space="preserve">423.6 ms</w:t>
            </w:r>
          </w:p>
        </w:tc>
        <w:tc>
          <w:tcPr>
            <w:tcMar>
              <w:top w:type="dxa" w:w="80"/>
              <w:left w:type="dxa" w:w="120"/>
              <w:bottom w:type="dxa" w:w="80"/>
              <w:right w:type="dxa" w:w="120"/>
            </w:tcMar>
          </w:tcPr>
          <w:p>
            <w:r>
              <w:rPr>
                <w:rFonts w:ascii="Calibri" w:cs="Calibri" w:eastAsia="Calibri" w:hAnsi="Calibri"/>
                <w:sz w:val="20"/>
                <w:szCs w:val="20"/>
              </w:rPr>
              <w:t xml:space="preserve">129.4 ms</w:t>
            </w:r>
          </w:p>
        </w:tc>
        <w:tc>
          <w:tcPr>
            <w:tcMar>
              <w:top w:type="dxa" w:w="80"/>
              <w:left w:type="dxa" w:w="120"/>
              <w:bottom w:type="dxa" w:w="80"/>
              <w:right w:type="dxa" w:w="120"/>
            </w:tcMar>
          </w:tcPr>
          <w:p>
            <w:r>
              <w:rPr>
                <w:rFonts w:ascii="Calibri" w:cs="Calibri" w:eastAsia="Calibri" w:hAnsi="Calibri"/>
                <w:sz w:val="20"/>
                <w:szCs w:val="20"/>
              </w:rPr>
              <w:t xml:space="preserve">111.0 ms</w:t>
            </w:r>
          </w:p>
        </w:tc>
        <w:tc>
          <w:tcPr>
            <w:tcMar>
              <w:top w:type="dxa" w:w="80"/>
              <w:left w:type="dxa" w:w="120"/>
              <w:bottom w:type="dxa" w:w="80"/>
              <w:right w:type="dxa" w:w="120"/>
            </w:tcMar>
          </w:tcPr>
          <w:p>
            <w:r>
              <w:rPr>
                <w:rFonts w:ascii="Calibri" w:cs="Calibri" w:eastAsia="Calibri" w:hAnsi="Calibri"/>
                <w:sz w:val="20"/>
                <w:szCs w:val="20"/>
              </w:rPr>
              <w:t xml:space="preserve">165.3 ms</w:t>
            </w:r>
          </w:p>
        </w:tc>
        <w:tc>
          <w:tcPr>
            <w:tcMar>
              <w:top w:type="dxa" w:w="80"/>
              <w:left w:type="dxa" w:w="120"/>
              <w:bottom w:type="dxa" w:w="80"/>
              <w:right w:type="dxa" w:w="120"/>
            </w:tcMar>
          </w:tcPr>
          <w:p>
            <w:r>
              <w:rPr>
                <w:rFonts w:ascii="Calibri" w:cs="Calibri" w:eastAsia="Calibri" w:hAnsi="Calibri"/>
                <w:sz w:val="20"/>
                <w:szCs w:val="20"/>
              </w:rPr>
              <w:t xml:space="preserve">143.4 ms</w:t>
            </w:r>
          </w:p>
        </w:tc>
      </w:tr>
      <w:tr>
        <w:tc>
          <w:tcPr>
            <w:tcMar>
              <w:top w:type="dxa" w:w="80"/>
              <w:left w:type="dxa" w:w="120"/>
              <w:bottom w:type="dxa" w:w="80"/>
              <w:right w:type="dxa" w:w="120"/>
            </w:tcMar>
          </w:tcPr>
          <w:p>
            <w:r>
              <w:rPr>
                <w:rFonts w:ascii="Calibri" w:cs="Calibri" w:eastAsia="Calibri" w:hAnsi="Calibri"/>
                <w:sz w:val="20"/>
                <w:szCs w:val="20"/>
              </w:rPr>
              <w:t xml:space="preserve">1,000,000</w:t>
            </w:r>
          </w:p>
        </w:tc>
        <w:tc>
          <w:tcPr>
            <w:tcMar>
              <w:top w:type="dxa" w:w="80"/>
              <w:left w:type="dxa" w:w="120"/>
              <w:bottom w:type="dxa" w:w="80"/>
              <w:right w:type="dxa" w:w="120"/>
            </w:tcMar>
          </w:tcPr>
          <w:p>
            <w:r>
              <w:rPr>
                <w:rFonts w:ascii="Calibri" w:cs="Calibri" w:eastAsia="Calibri" w:hAnsi="Calibri"/>
                <w:sz w:val="20"/>
                <w:szCs w:val="20"/>
              </w:rPr>
              <w:t xml:space="preserve">5,000,000</w:t>
            </w:r>
          </w:p>
        </w:tc>
        <w:tc>
          <w:tcPr>
            <w:tcMar>
              <w:top w:type="dxa" w:w="80"/>
              <w:left w:type="dxa" w:w="120"/>
              <w:bottom w:type="dxa" w:w="80"/>
              <w:right w:type="dxa" w:w="120"/>
            </w:tcMar>
          </w:tcPr>
          <w:p>
            <w:r>
              <w:rPr>
                <w:rFonts w:ascii="Calibri" w:cs="Calibri" w:eastAsia="Calibri" w:hAnsi="Calibri"/>
                <w:sz w:val="20"/>
                <w:szCs w:val="20"/>
              </w:rPr>
              <w:t xml:space="preserve">4949.9 ms</w:t>
            </w:r>
          </w:p>
        </w:tc>
        <w:tc>
          <w:tcPr>
            <w:tcMar>
              <w:top w:type="dxa" w:w="80"/>
              <w:left w:type="dxa" w:w="120"/>
              <w:bottom w:type="dxa" w:w="80"/>
              <w:right w:type="dxa" w:w="120"/>
            </w:tcMar>
          </w:tcPr>
          <w:p>
            <w:r>
              <w:rPr>
                <w:rFonts w:ascii="Calibri" w:cs="Calibri" w:eastAsia="Calibri" w:hAnsi="Calibri"/>
                <w:sz w:val="20"/>
                <w:szCs w:val="20"/>
              </w:rPr>
              <w:t xml:space="preserve">1466.4 ms</w:t>
            </w:r>
          </w:p>
        </w:tc>
        <w:tc>
          <w:tcPr>
            <w:tcMar>
              <w:top w:type="dxa" w:w="80"/>
              <w:left w:type="dxa" w:w="120"/>
              <w:bottom w:type="dxa" w:w="80"/>
              <w:right w:type="dxa" w:w="120"/>
            </w:tcMar>
          </w:tcPr>
          <w:p>
            <w:r>
              <w:rPr>
                <w:rFonts w:ascii="Calibri" w:cs="Calibri" w:eastAsia="Calibri" w:hAnsi="Calibri"/>
                <w:sz w:val="20"/>
                <w:szCs w:val="20"/>
              </w:rPr>
              <w:t xml:space="preserve">1262.0 ms</w:t>
            </w:r>
          </w:p>
        </w:tc>
        <w:tc>
          <w:tcPr>
            <w:tcMar>
              <w:top w:type="dxa" w:w="80"/>
              <w:left w:type="dxa" w:w="120"/>
              <w:bottom w:type="dxa" w:w="80"/>
              <w:right w:type="dxa" w:w="120"/>
            </w:tcMar>
          </w:tcPr>
          <w:p>
            <w:r>
              <w:rPr>
                <w:rFonts w:ascii="Calibri" w:cs="Calibri" w:eastAsia="Calibri" w:hAnsi="Calibri"/>
                <w:sz w:val="20"/>
                <w:szCs w:val="20"/>
              </w:rPr>
              <w:t xml:space="preserve">1956.4 ms</w:t>
            </w:r>
          </w:p>
        </w:tc>
        <w:tc>
          <w:tcPr>
            <w:tcMar>
              <w:top w:type="dxa" w:w="80"/>
              <w:left w:type="dxa" w:w="120"/>
              <w:bottom w:type="dxa" w:w="80"/>
              <w:right w:type="dxa" w:w="120"/>
            </w:tcMar>
          </w:tcPr>
          <w:p>
            <w:r>
              <w:rPr>
                <w:rFonts w:ascii="Calibri" w:cs="Calibri" w:eastAsia="Calibri" w:hAnsi="Calibri"/>
                <w:sz w:val="20"/>
                <w:szCs w:val="20"/>
              </w:rPr>
              <w:t xml:space="preserve">1619.6 ms</w:t>
            </w:r>
          </w:p>
        </w:tc>
      </w:tr>
    </w:tbl>
    <w:p>
      <w:pPr>
        <w:spacing w:after="160" w:line="276"/>
      </w:pPr>
      <w:r>
        <w:rPr>
          <w:rFonts w:ascii="Calibri" w:cs="Calibri" w:eastAsia="Calibri" w:hAnsi="Calibri"/>
          <w:sz w:val="22"/>
          <w:szCs w:val="22"/>
        </w:rPr>
        <w:t xml:space="preserve">The radix fix recovers roughly 13–17% of BMSBoruvka's runtime — a real, worthwhile improvement, and the correct fix for Finding 1 regardless of anything else in this memo — but it still doesn't catch Kruskal, let alone Filter-Kruskal, at either size. Something beyond the sort is also costing time.</w:t>
      </w:r>
    </w:p>
    <w:p>
      <w:pPr>
        <w:pStyle w:val="Heading1"/>
        <w:spacing w:after="160" w:before="360"/>
      </w:pPr>
      <w:r>
        <w:t xml:space="preserve">Finding 4 — The t = 1 ablation (and a correction to my own earlier remark)</w:t>
      </w:r>
    </w:p>
    <w:p>
      <w:pPr>
        <w:spacing w:after="160" w:line="276"/>
      </w:pPr>
      <w:r>
        <w:rPr>
          <w:rFonts w:ascii="Calibri" w:cs="Calibri" w:eastAsia="Calibri" w:hAnsi="Calibri"/>
          <w:sz w:val="22"/>
          <w:szCs w:val="22"/>
        </w:rPr>
        <w:t xml:space="preserve">In the earlier review memo, I argued theoretically that batching t = ⌈log²⁄³ n⌉ Borůvka rounds per super-step should beat compressing after every single round, because it amortizes the O(n) origToComp relabeling cost over fewer compression events. I ran the ablation on the actual (radix-patched, for a fair comparison) code to check this directly, forcing t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CE6F1" w:val="clear"/>
            <w:tcMar>
              <w:top w:type="dxa" w:w="100"/>
              <w:left w:type="dxa" w:w="120"/>
              <w:bottom w:type="dxa" w:w="100"/>
              <w:right w:type="dxa" w:w="120"/>
            </w:tcMar>
          </w:tcPr>
          <w:p>
            <w:r>
              <w:rPr>
                <w:rFonts w:ascii="Calibri" w:cs="Calibri" w:eastAsia="Calibri" w:hAnsi="Calibri"/>
                <w:b/>
                <w:bCs/>
                <w:sz w:val="20"/>
                <w:szCs w:val="20"/>
              </w:rPr>
              <w:t xml:space="preserve">n</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bms (chosen t, radix)</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bms (t=1 ablation)</w:t>
            </w:r>
          </w:p>
        </w:tc>
        <w:tc>
          <w:tcPr>
            <w:shd w:fill="DCE6F1" w:val="clear"/>
            <w:tcMar>
              <w:top w:type="dxa" w:w="100"/>
              <w:left w:type="dxa" w:w="120"/>
              <w:bottom w:type="dxa" w:w="100"/>
              <w:right w:type="dxa" w:w="120"/>
            </w:tcMar>
          </w:tcPr>
          <w:p>
            <w:r>
              <w:rPr>
                <w:rFonts w:ascii="Calibri" w:cs="Calibri" w:eastAsia="Calibri" w:hAnsi="Calibri"/>
                <w:b/>
                <w:bCs/>
                <w:sz w:val="20"/>
                <w:szCs w:val="20"/>
              </w:rPr>
              <w:t xml:space="preserve">filter_kruskal</w:t>
            </w:r>
          </w:p>
        </w:tc>
      </w:tr>
      <w:tr>
        <w:tc>
          <w:tcPr>
            <w:tcMar>
              <w:top w:type="dxa" w:w="80"/>
              <w:left w:type="dxa" w:w="120"/>
              <w:bottom w:type="dxa" w:w="80"/>
              <w:right w:type="dxa" w:w="120"/>
            </w:tcMar>
          </w:tcPr>
          <w:p>
            <w:r>
              <w:rPr>
                <w:rFonts w:ascii="Calibri" w:cs="Calibri" w:eastAsia="Calibri" w:hAnsi="Calibri"/>
                <w:sz w:val="20"/>
                <w:szCs w:val="20"/>
              </w:rPr>
              <w:t xml:space="preserve">100,000</w:t>
            </w:r>
          </w:p>
        </w:tc>
        <w:tc>
          <w:tcPr>
            <w:tcMar>
              <w:top w:type="dxa" w:w="80"/>
              <w:left w:type="dxa" w:w="120"/>
              <w:bottom w:type="dxa" w:w="80"/>
              <w:right w:type="dxa" w:w="120"/>
            </w:tcMar>
          </w:tcPr>
          <w:p>
            <w:r>
              <w:rPr>
                <w:rFonts w:ascii="Calibri" w:cs="Calibri" w:eastAsia="Calibri" w:hAnsi="Calibri"/>
                <w:sz w:val="20"/>
                <w:szCs w:val="20"/>
              </w:rPr>
              <w:t xml:space="preserve">155.4 ms</w:t>
            </w:r>
          </w:p>
        </w:tc>
        <w:tc>
          <w:tcPr>
            <w:tcMar>
              <w:top w:type="dxa" w:w="80"/>
              <w:left w:type="dxa" w:w="120"/>
              <w:bottom w:type="dxa" w:w="80"/>
              <w:right w:type="dxa" w:w="120"/>
            </w:tcMar>
          </w:tcPr>
          <w:p>
            <w:r>
              <w:rPr>
                <w:rFonts w:ascii="Calibri" w:cs="Calibri" w:eastAsia="Calibri" w:hAnsi="Calibri"/>
                <w:sz w:val="20"/>
                <w:szCs w:val="20"/>
              </w:rPr>
              <w:t xml:space="preserve">141.2 ms</w:t>
            </w:r>
          </w:p>
        </w:tc>
        <w:tc>
          <w:tcPr>
            <w:tcMar>
              <w:top w:type="dxa" w:w="80"/>
              <w:left w:type="dxa" w:w="120"/>
              <w:bottom w:type="dxa" w:w="80"/>
              <w:right w:type="dxa" w:w="120"/>
            </w:tcMar>
          </w:tcPr>
          <w:p>
            <w:r>
              <w:rPr>
                <w:rFonts w:ascii="Calibri" w:cs="Calibri" w:eastAsia="Calibri" w:hAnsi="Calibri"/>
                <w:sz w:val="20"/>
                <w:szCs w:val="20"/>
              </w:rPr>
              <w:t xml:space="preserve">109.5 ms</w:t>
            </w:r>
          </w:p>
        </w:tc>
      </w:tr>
      <w:tr>
        <w:tc>
          <w:tcPr>
            <w:tcMar>
              <w:top w:type="dxa" w:w="80"/>
              <w:left w:type="dxa" w:w="120"/>
              <w:bottom w:type="dxa" w:w="80"/>
              <w:right w:type="dxa" w:w="120"/>
            </w:tcMar>
          </w:tcPr>
          <w:p>
            <w:r>
              <w:rPr>
                <w:rFonts w:ascii="Calibri" w:cs="Calibri" w:eastAsia="Calibri" w:hAnsi="Calibri"/>
                <w:sz w:val="20"/>
                <w:szCs w:val="20"/>
              </w:rPr>
              <w:t xml:space="preserve">1,000,000</w:t>
            </w:r>
          </w:p>
        </w:tc>
        <w:tc>
          <w:tcPr>
            <w:tcMar>
              <w:top w:type="dxa" w:w="80"/>
              <w:left w:type="dxa" w:w="120"/>
              <w:bottom w:type="dxa" w:w="80"/>
              <w:right w:type="dxa" w:w="120"/>
            </w:tcMar>
          </w:tcPr>
          <w:p>
            <w:r>
              <w:rPr>
                <w:rFonts w:ascii="Calibri" w:cs="Calibri" w:eastAsia="Calibri" w:hAnsi="Calibri"/>
                <w:sz w:val="20"/>
                <w:szCs w:val="20"/>
              </w:rPr>
              <w:t xml:space="preserve">1691.5 ms</w:t>
            </w:r>
          </w:p>
        </w:tc>
        <w:tc>
          <w:tcPr>
            <w:tcMar>
              <w:top w:type="dxa" w:w="80"/>
              <w:left w:type="dxa" w:w="120"/>
              <w:bottom w:type="dxa" w:w="80"/>
              <w:right w:type="dxa" w:w="120"/>
            </w:tcMar>
          </w:tcPr>
          <w:p>
            <w:r>
              <w:rPr>
                <w:rFonts w:ascii="Calibri" w:cs="Calibri" w:eastAsia="Calibri" w:hAnsi="Calibri"/>
                <w:sz w:val="20"/>
                <w:szCs w:val="20"/>
              </w:rPr>
              <w:t xml:space="preserve">1649.3 ms</w:t>
            </w:r>
          </w:p>
        </w:tc>
        <w:tc>
          <w:tcPr>
            <w:tcMar>
              <w:top w:type="dxa" w:w="80"/>
              <w:left w:type="dxa" w:w="120"/>
              <w:bottom w:type="dxa" w:w="80"/>
              <w:right w:type="dxa" w:w="120"/>
            </w:tcMar>
          </w:tcPr>
          <w:p>
            <w:r>
              <w:rPr>
                <w:rFonts w:ascii="Calibri" w:cs="Calibri" w:eastAsia="Calibri" w:hAnsi="Calibri"/>
                <w:sz w:val="20"/>
                <w:szCs w:val="20"/>
              </w:rPr>
              <w:t xml:space="preserve">1222.6 ms</w:t>
            </w:r>
          </w:p>
        </w:tc>
      </w:tr>
    </w:tbl>
    <w:p>
      <w:pPr>
        <w:spacing w:after="160" w:line="276"/>
      </w:pPr>
      <w:r>
        <w:rPr>
          <w:rFonts w:ascii="Calibri" w:cs="Calibri" w:eastAsia="Calibri" w:hAnsi="Calibri"/>
          <w:sz w:val="22"/>
          <w:szCs w:val="22"/>
        </w:rPr>
        <w:t xml:space="preserve">This is the opposite of what I predicted: t = 1 is faster than the paper's chosen t at both sizes (by about 9% at n=100k, 2.5% at n=1m), not slower. My earlier argument only accounted for the relabeling cost side of the trade-off. What it missed: compressing after every round also shrinks the working edge set via real deduplication (GraphCompressor's “keep the best edge per compressed pair” step), not just marking edges as same-component. Batching t rounds before compressing leaves a larger, less-deduplicated edge list to rescan on each of those t rounds. At the problem sizes tested, that cost evidently outweighs the relabeling savings — the batching idea, as currently implemented, isn't earning its complexity. I'd flag this honestly rather than let the earlier remark stand uncorrected; it's possible a different t (or a smarter per-round filtering scheme) recovers the advantage, but that needs to be shown empirically, not assumed.</w:t>
      </w:r>
    </w:p>
    <w:p>
      <w:pPr>
        <w:pStyle w:val="Heading1"/>
        <w:spacing w:after="160" w:before="360"/>
      </w:pPr>
      <w:r>
        <w:t xml:space="preserve">Finding 5 (minor, worth a profiler pass) — a likely constant-factor contributor</w:t>
      </w:r>
    </w:p>
    <w:p>
      <w:pPr>
        <w:spacing w:after="160" w:line="276"/>
      </w:pPr>
      <w:r>
        <w:rPr>
          <w:rFonts w:ascii="Calibri" w:cs="Calibri" w:eastAsia="Calibri" w:hAnsi="Calibri"/>
          <w:sz w:val="22"/>
          <w:szCs w:val="22"/>
        </w:rPr>
        <w:t xml:space="preserve">boruvkaRound() allocates a fresh vector&lt;int&gt; compBest(N, -1) on every single round, where N is the full current vertex count — not reused or selectively reset the way GraphCompressor's own rootToNew/usedRoots pair already does elsewhere in the same file. At t rounds per super-step over P super-steps, that's a repeated O(N) allocation-and-fill that doesn't correspond to any “useful” work in the complexity argument. I haven't profiled this directly, but it's a natural next thing to check given Finding 4 — it would independently explain part of why more rounds-before-compression costs more in practice than the theory anticipates.</w:t>
      </w:r>
    </w:p>
    <w:p>
      <w:pPr>
        <w:pStyle w:val="Heading1"/>
        <w:spacing w:after="160" w:before="360"/>
      </w:pPr>
      <w:r>
        <w:t xml:space="preserve">What I'd suggest doing next, in order</w:t>
      </w:r>
    </w:p>
    <w:p>
      <w:pPr>
        <w:pStyle w:val="ListParagraph"/>
        <w:numPr>
          <w:ilvl w:val="0"/>
          <w:numId w:val="1"/>
        </w:numPr>
        <w:spacing w:after="100" w:line="276"/>
      </w:pPr>
      <w:r>
        <w:t xml:space="preserve">1. Reconcile the paper with the code. Either restore genuine per-super-step nth_element activation (matching Lemmas 2–3 as written) and re-run everything, or rewrite the Phase A description and complexity proof to match what's actually implemented (a single upfront sort — which, done right, is O(m) via radix and can still support a respectable bound, just not the one currently written down). This has to happen before anything else; right now the theorem and the benchmarked binary are two different algorithms.</w:t>
      </w:r>
    </w:p>
    <w:p>
      <w:pPr>
        <w:pStyle w:val="ListParagraph"/>
        <w:numPr>
          <w:ilvl w:val="0"/>
          <w:numId w:val="1"/>
        </w:numPr>
        <w:spacing w:after="100" w:line="276"/>
      </w:pPr>
      <w:r>
        <w:t xml:space="preserve">2. Apply the radix-sort fix (included) regardless of (1) — it's a strict improvement with no downside.</w:t>
      </w:r>
    </w:p>
    <w:p>
      <w:pPr>
        <w:pStyle w:val="ListParagraph"/>
        <w:numPr>
          <w:ilvl w:val="0"/>
          <w:numId w:val="1"/>
        </w:numPr>
        <w:spacing w:after="100" w:line="276"/>
      </w:pPr>
      <w:r>
        <w:t xml:space="preserve">3. Add Kruskal and Filter-Kruskal to the paper's actual reported results (Table 9 / Section 5) now that the harness already produces them. Right now the paper's narrative of “BMSBoruvka wins” is only true against the weakest baseline in its own test suite.</w:t>
      </w:r>
    </w:p>
    <w:p>
      <w:pPr>
        <w:pStyle w:val="ListParagraph"/>
        <w:numPr>
          <w:ilvl w:val="0"/>
          <w:numId w:val="1"/>
        </w:numPr>
        <w:spacing w:after="100" w:line="276"/>
      </w:pPr>
      <w:r>
        <w:t xml:space="preserve">4. Profile a single super-step to find out how much of the remaining gap is the compBest reallocation (Finding 5) versus the batching trade-off itself (Finding 4), before deciding whether multi-level batching is worth keeping at these problem sizes, or whether a smaller t (possibly t=1, i.e. plain compressed Borůvka) is simply the better algorithm in practice.</w:t>
      </w:r>
    </w:p>
    <w:p>
      <w:pPr>
        <w:pStyle w:val="ListParagraph"/>
        <w:numPr>
          <w:ilvl w:val="0"/>
          <w:numId w:val="1"/>
        </w:numPr>
        <w:spacing w:after="100" w:line="276"/>
      </w:pPr>
      <w:r>
        <w:t xml:space="preserve">5. Once (1)-(4) settle, re-run the full test matrix (including dense_50k/100k, 1m_ties, 1m_small, and roadNet-CA) so the paper's numbers reflect the corrected implementation throughout, not just the two sizes I was able to check here.</w:t>
      </w:r>
    </w:p>
    <w:p>
      <w:pPr>
        <w:spacing w:after="160" w:line="276"/>
      </w:pPr>
      <w:r>
        <w:rPr>
          <w:rFonts w:ascii="Calibri" w:cs="Calibri" w:eastAsia="Calibri" w:hAnsi="Calibri"/>
          <w:sz w:val="22"/>
          <w:szCs w:val="22"/>
        </w:rPr>
        <w:t xml:space="preserve">None of this means the underlying idea is wrong — the complexity argument for the algorithm as described (genuine nth_element activation, no global sort) is still sound on paper, and Filter-Kruskal's own existence proves that avoiding a full sort for MST really does pay off in practice. What's off right now is that the implemented code took a different, simpler path (one global sort) than the one being claimed and proved, and once real baselines are run, that shortcut's cost shows up directly in the numbers. The good news is both the sort issue and the batching question are now isolated, measured, and each has a clear next experiment.</w:t>
      </w:r>
    </w:p>
    <w:p>
      <w:pPr>
        <w:pStyle w:val="Heading1"/>
        <w:spacing w:after="160" w:before="360"/>
      </w:pPr>
      <w:r>
        <w:t xml:space="preserve">Files included</w:t>
      </w:r>
    </w:p>
    <w:p>
      <w:pPr>
        <w:pStyle w:val="ListParagraph"/>
        <w:numPr>
          <w:ilvl w:val="0"/>
          <w:numId w:val="1"/>
        </w:numPr>
        <w:spacing w:after="100" w:line="276"/>
      </w:pPr>
      <w:r>
        <w:t xml:space="preserve">BMSBoruvka_radix.cpp — drop-in replacement for countingSortEdges using a true O(m) LSD radix sort. Verified to produce identical MST weight to the original on both test graphs.</w:t>
      </w:r>
    </w:p>
    <w:p>
      <w:pPr>
        <w:pStyle w:val="ListParagraph"/>
        <w:numPr>
          <w:ilvl w:val="0"/>
          <w:numId w:val="1"/>
        </w:numPr>
        <w:spacing w:after="100" w:line="276"/>
      </w:pPr>
      <w:r>
        <w:t xml:space="preserve">BMSBoruvka_t1.cpp — same, plus computeT() forced to return 1, for the ablation above.</w:t>
      </w:r>
    </w:p>
    <w:p>
      <w:pPr>
        <w:pStyle w:val="ListParagraph"/>
        <w:numPr>
          <w:ilvl w:val="0"/>
          <w:numId w:val="1"/>
        </w:numPr>
        <w:spacing w:after="100" w:line="276"/>
      </w:pPr>
      <w:r>
        <w:t xml:space="preserve">FINDINGS_evidence.txt — raw instrumentation output and timing logs backing every number in this memo.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2026-10-02T22:48:58.568Z</dcterms:created>
  <dcterms:modified xsi:type="dcterms:W3CDTF">2026-10-02T22:48:58.573Z</dcterms:modified>
</cp:coreProperties>
</file>

<file path=docProps/custom.xml><?xml version="1.0" encoding="utf-8"?>
<Properties xmlns="http://schemas.openxmlformats.org/officeDocument/2006/custom-properties" xmlns:vt="http://schemas.openxmlformats.org/officeDocument/2006/docPropsVTypes"/>
</file>