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0CCD2">
      <w:pPr>
        <w:rPr>
          <w:rFonts w:hint="eastAsia"/>
          <w:b/>
          <w:bCs/>
          <w:sz w:val="44"/>
          <w:szCs w:val="44"/>
        </w:rPr>
      </w:pPr>
      <w:r>
        <w:rPr>
          <w:rFonts w:hint="eastAsia"/>
          <w:b/>
          <w:bCs/>
          <w:sz w:val="44"/>
          <w:szCs w:val="44"/>
        </w:rPr>
        <w:t xml:space="preserve">第[ </w:t>
      </w:r>
      <w:r>
        <w:rPr>
          <w:rFonts w:hint="eastAsia"/>
          <w:b/>
          <w:bCs/>
          <w:sz w:val="44"/>
          <w:szCs w:val="44"/>
          <w:lang w:val="en-US" w:eastAsia="zh-CN"/>
        </w:rPr>
        <w:t>2</w:t>
      </w:r>
      <w:r>
        <w:rPr>
          <w:rFonts w:hint="eastAsia"/>
          <w:b/>
          <w:bCs/>
          <w:sz w:val="44"/>
          <w:szCs w:val="44"/>
        </w:rPr>
        <w:t xml:space="preserve"> ]次 组会报告           （调研结果同步会）</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118"/>
        <w:gridCol w:w="1418"/>
        <w:gridCol w:w="3940"/>
      </w:tblGrid>
      <w:tr w14:paraId="7078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980" w:type="dxa"/>
          </w:tcPr>
          <w:p w14:paraId="71261E34">
            <w:pPr>
              <w:rPr>
                <w:rFonts w:hint="eastAsia"/>
                <w:b/>
                <w:bCs/>
                <w:sz w:val="21"/>
                <w:szCs w:val="21"/>
              </w:rPr>
            </w:pPr>
            <w:r>
              <w:rPr>
                <w:rFonts w:hint="eastAsia"/>
                <w:b/>
                <w:bCs/>
                <w:sz w:val="21"/>
                <w:szCs w:val="21"/>
              </w:rPr>
              <w:t>Issue 编号</w:t>
            </w:r>
          </w:p>
        </w:tc>
        <w:tc>
          <w:tcPr>
            <w:tcW w:w="3118" w:type="dxa"/>
          </w:tcPr>
          <w:p w14:paraId="5E61B104">
            <w:pPr>
              <w:rPr>
                <w:rFonts w:hint="default" w:eastAsia="宋体"/>
                <w:b/>
                <w:bCs/>
                <w:sz w:val="21"/>
                <w:szCs w:val="21"/>
                <w:lang w:val="en-US" w:eastAsia="zh-CN"/>
              </w:rPr>
            </w:pPr>
            <w:r>
              <w:rPr>
                <w:rFonts w:hint="eastAsia"/>
                <w:b/>
                <w:bCs/>
                <w:sz w:val="21"/>
                <w:szCs w:val="21"/>
              </w:rPr>
              <w:t>#</w:t>
            </w:r>
            <w:r>
              <w:rPr>
                <w:rFonts w:hint="eastAsia"/>
                <w:b/>
                <w:bCs/>
                <w:sz w:val="21"/>
                <w:szCs w:val="21"/>
                <w:lang w:val="en-US" w:eastAsia="zh-CN"/>
              </w:rPr>
              <w:t>14</w:t>
            </w:r>
            <w:bookmarkStart w:id="0" w:name="_GoBack"/>
            <w:bookmarkEnd w:id="0"/>
          </w:p>
        </w:tc>
        <w:tc>
          <w:tcPr>
            <w:tcW w:w="1418" w:type="dxa"/>
          </w:tcPr>
          <w:p w14:paraId="64D0D7AB">
            <w:pPr>
              <w:rPr>
                <w:rFonts w:hint="eastAsia"/>
                <w:b/>
                <w:bCs/>
                <w:sz w:val="21"/>
                <w:szCs w:val="21"/>
              </w:rPr>
            </w:pPr>
            <w:r>
              <w:rPr>
                <w:rFonts w:hint="eastAsia"/>
                <w:b/>
                <w:bCs/>
                <w:sz w:val="21"/>
                <w:szCs w:val="21"/>
              </w:rPr>
              <w:t>Assignees</w:t>
            </w:r>
          </w:p>
        </w:tc>
        <w:tc>
          <w:tcPr>
            <w:tcW w:w="3940" w:type="dxa"/>
          </w:tcPr>
          <w:p w14:paraId="3C998C93">
            <w:pPr>
              <w:pStyle w:val="36"/>
              <w:numPr>
                <w:ilvl w:val="0"/>
                <w:numId w:val="1"/>
              </w:numPr>
              <w:rPr>
                <w:rFonts w:hint="eastAsia"/>
                <w:b/>
                <w:bCs/>
                <w:sz w:val="21"/>
                <w:szCs w:val="21"/>
              </w:rPr>
            </w:pPr>
            <w:r>
              <w:rPr>
                <w:rFonts w:hint="eastAsia"/>
                <w:b/>
                <w:bCs/>
                <w:sz w:val="21"/>
                <w:szCs w:val="21"/>
                <w:lang w:val="en-US" w:eastAsia="zh-CN"/>
              </w:rPr>
              <w:t>宫贤博</w:t>
            </w:r>
          </w:p>
          <w:p w14:paraId="3AEEA692">
            <w:pPr>
              <w:pStyle w:val="36"/>
              <w:numPr>
                <w:ilvl w:val="0"/>
                <w:numId w:val="1"/>
              </w:numPr>
              <w:rPr>
                <w:rFonts w:hint="eastAsia"/>
                <w:b/>
                <w:bCs/>
                <w:sz w:val="21"/>
                <w:szCs w:val="21"/>
              </w:rPr>
            </w:pPr>
            <w:r>
              <w:rPr>
                <w:rFonts w:hint="eastAsia"/>
                <w:b/>
                <w:bCs/>
                <w:sz w:val="21"/>
                <w:szCs w:val="21"/>
                <w:lang w:val="en-US" w:eastAsia="zh-CN"/>
              </w:rPr>
              <w:t>胡子涵</w:t>
            </w:r>
          </w:p>
        </w:tc>
      </w:tr>
      <w:tr w14:paraId="1C48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1980" w:type="dxa"/>
          </w:tcPr>
          <w:p w14:paraId="6B4E5453">
            <w:pPr>
              <w:rPr>
                <w:rFonts w:hint="eastAsia"/>
                <w:b/>
                <w:bCs/>
                <w:sz w:val="21"/>
                <w:szCs w:val="21"/>
              </w:rPr>
            </w:pPr>
            <w:r>
              <w:rPr>
                <w:rFonts w:hint="eastAsia"/>
                <w:b/>
                <w:bCs/>
                <w:sz w:val="21"/>
                <w:szCs w:val="21"/>
              </w:rPr>
              <w:t>调研标题</w:t>
            </w:r>
          </w:p>
        </w:tc>
        <w:tc>
          <w:tcPr>
            <w:tcW w:w="8476" w:type="dxa"/>
            <w:gridSpan w:val="3"/>
          </w:tcPr>
          <w:p w14:paraId="4CB6CFA1">
            <w:pPr>
              <w:rPr>
                <w:rFonts w:hint="eastAsia"/>
                <w:b/>
                <w:bCs/>
                <w:sz w:val="21"/>
                <w:szCs w:val="21"/>
              </w:rPr>
            </w:pPr>
            <w:r>
              <w:rPr>
                <w:rFonts w:hint="eastAsia"/>
                <w:b/>
                <w:bCs/>
                <w:sz w:val="24"/>
                <w:szCs w:val="24"/>
              </w:rPr>
              <w:t>PX4飞控系统操作手册及硬件架构调研</w:t>
            </w:r>
          </w:p>
        </w:tc>
      </w:tr>
      <w:tr w14:paraId="0201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980" w:type="dxa"/>
          </w:tcPr>
          <w:p w14:paraId="1B301C76">
            <w:pPr>
              <w:rPr>
                <w:rFonts w:hint="eastAsia"/>
                <w:b/>
                <w:bCs/>
                <w:sz w:val="21"/>
                <w:szCs w:val="21"/>
              </w:rPr>
            </w:pPr>
            <w:r>
              <w:rPr>
                <w:rFonts w:hint="eastAsia"/>
                <w:b/>
                <w:bCs/>
                <w:sz w:val="21"/>
                <w:szCs w:val="21"/>
              </w:rPr>
              <w:t>关键概念/定义</w:t>
            </w:r>
          </w:p>
        </w:tc>
        <w:tc>
          <w:tcPr>
            <w:tcW w:w="8476" w:type="dxa"/>
            <w:gridSpan w:val="3"/>
          </w:tcPr>
          <w:p w14:paraId="4B487DB9">
            <w:pPr>
              <w:pStyle w:val="45"/>
              <w:rPr>
                <w:sz w:val="21"/>
                <w:szCs w:val="21"/>
              </w:rPr>
            </w:pPr>
            <w:r>
              <w:rPr>
                <w:sz w:val="21"/>
                <w:szCs w:val="21"/>
              </w:rPr>
              <w:t>PX4 作为一款开源的无人机飞控系统，其稳定运行与高效性能离不开各硬件组件的精准配合。本次报告将详细拆解 PX4 硬件的重要组成部分，深入分析各组件的应用原理、适用条件，并总结它们之间的协同工作关系，为后续的系统开发与调试提供理论支撑。</w:t>
            </w:r>
          </w:p>
          <w:p w14:paraId="42162CE9">
            <w:pPr>
              <w:pStyle w:val="4"/>
              <w:rPr>
                <w:sz w:val="24"/>
                <w:szCs w:val="24"/>
              </w:rPr>
            </w:pPr>
            <w:r>
              <w:rPr>
                <w:sz w:val="24"/>
                <w:szCs w:val="24"/>
              </w:rPr>
              <w:t>（一）飞控核心板</w:t>
            </w:r>
          </w:p>
          <w:p w14:paraId="7AC7DBC9">
            <w:pPr>
              <w:pStyle w:val="45"/>
            </w:pPr>
            <w:r>
              <w:t>飞控核心板是 PX4 系统的 “大脑”，承担着数据处理、指令决策与控制输出的核心任务。其核心组件包括微控制器（MCU）、传感器接口、通信接口及电源管理模块。</w:t>
            </w:r>
          </w:p>
          <w:p w14:paraId="583DC7D5">
            <w:pPr>
              <w:pStyle w:val="45"/>
            </w:pPr>
            <w:r>
              <w:rPr>
                <w:b/>
                <w:bCs/>
              </w:rPr>
              <w:t>应用原理</w:t>
            </w:r>
            <w:r>
              <w:t>：微控制器作为核心运算单元，通过传感器接口实时采集</w:t>
            </w:r>
            <w:r>
              <w:rPr>
                <w:rFonts w:hint="eastAsia"/>
                <w:lang w:val="en-US" w:eastAsia="zh-CN"/>
              </w:rPr>
              <w:t>各</w:t>
            </w:r>
            <w:r>
              <w:t>传感器数据，结合预设的控制算法（如 PID 算法）进行数据处理与分析，生成姿态、位置、速度等控制指令，再通过通信接口将指令传输至执行机构，实现对无人机的精准控制。电源管理模块则负责将输入电压稳定转换为核心板各组件所需的工作电压，保障核心板稳定运行。</w:t>
            </w:r>
            <w:r>
              <w:rPr>
                <w:b/>
                <w:bCs/>
              </w:rPr>
              <w:t>应用条件</w:t>
            </w:r>
            <w:r>
              <w:t>：需工作在干燥、通风的环境中，避免潮湿与剧烈振动；输入电压需符合电源管理模块的额定范围，一般为 5-12V；环境温度需控制在 - 10℃-60℃之间，防止高温或低温导致运算性能下降或硬件损坏。</w:t>
            </w:r>
          </w:p>
          <w:p w14:paraId="4CE23C3A">
            <w:pPr>
              <w:pStyle w:val="4"/>
            </w:pPr>
            <w:r>
              <w:rPr>
                <w:sz w:val="24"/>
                <w:szCs w:val="24"/>
              </w:rPr>
              <w:t>（二）惯性测量单元（IMU）</w:t>
            </w:r>
          </w:p>
          <w:p w14:paraId="373F2BF5">
            <w:pPr>
              <w:pStyle w:val="45"/>
            </w:pPr>
            <w:r>
              <w:t>惯性测量单元是 PX4 系统中感知无人机运动状态的关键组件，主要包含陀螺仪、加速度计和磁力计。</w:t>
            </w:r>
          </w:p>
          <w:p w14:paraId="0CDC21AD">
            <w:pPr>
              <w:pStyle w:val="45"/>
            </w:pPr>
            <w:r>
              <w:rPr>
                <w:b/>
                <w:bCs/>
              </w:rPr>
              <w:t>应用原理</w:t>
            </w:r>
            <w:r>
              <w:t>：陀螺仪用于测量无人机的角速度，通过积分运算可得到姿态角的变化量；加速度计用于检测无人机的线性加速度，结合重力加速度分量可解算出无人机的倾斜角度；磁力计用于感知地球磁场，确定无人机的航向角。三者数据融合后，可精准输出无人机的实时姿态信息，为飞控核心板提供决策依据。</w:t>
            </w:r>
          </w:p>
          <w:p w14:paraId="7DDFB7FD">
            <w:pPr>
              <w:pStyle w:val="45"/>
            </w:pPr>
            <w:r>
              <w:rPr>
                <w:b/>
                <w:bCs/>
              </w:rPr>
              <w:t>应用条件</w:t>
            </w:r>
            <w:r>
              <w:t>：需与飞控核心板近距离连接，减少信号干扰；安装时需保持水平，避免初始姿态偏差；需远离强磁场环境（如电机、磁铁），防止磁力计数据失真。</w:t>
            </w:r>
          </w:p>
          <w:p w14:paraId="6AB4F2E6">
            <w:pPr>
              <w:pStyle w:val="4"/>
              <w:rPr>
                <w:sz w:val="24"/>
                <w:szCs w:val="24"/>
              </w:rPr>
            </w:pPr>
            <w:r>
              <w:rPr>
                <w:sz w:val="24"/>
                <w:szCs w:val="24"/>
              </w:rPr>
              <w:t>（三）全球定位系统（GPS）模块</w:t>
            </w:r>
          </w:p>
          <w:p w14:paraId="5F78B8A9">
            <w:pPr>
              <w:pStyle w:val="45"/>
            </w:pPr>
            <w:r>
              <w:t>GPS 模块用于为 PX4 系统提供精准的地理位置信息，是实现无人机自主导航与定点悬停的核心组件。</w:t>
            </w:r>
          </w:p>
          <w:p w14:paraId="142D1BBC">
            <w:pPr>
              <w:pStyle w:val="45"/>
            </w:pPr>
            <w:r>
              <w:rPr>
                <w:b/>
                <w:bCs/>
              </w:rPr>
              <w:t>应用原理</w:t>
            </w:r>
            <w:r>
              <w:t>：GPS 模块通过接收多颗卫星的信号，利用三角定位原理计算出无人机的经度、纬度、海拔高度及移动速度。模块将定位数据实时传输至飞控核心板，飞控结合这些数据调整控制指令，确保无人机按照预设航线飞行或稳定悬停在指定位置。</w:t>
            </w:r>
          </w:p>
          <w:p w14:paraId="26828FB1">
            <w:pPr>
              <w:pStyle w:val="45"/>
            </w:pPr>
            <w:r>
              <w:rPr>
                <w:b/>
                <w:bCs/>
              </w:rPr>
              <w:t>应用条件</w:t>
            </w:r>
            <w:r>
              <w:t>：需安装在无人机顶部无遮挡的位置，保证卫星信号接收良好；工作环境需开阔，避免高楼、树木等障碍物遮挡；需具备稳定的电源供应，电压范围一般为 3.3-5V；在室内或卫星信号薄弱区域，需配合 RTK（实时动态定位）模块提升定位精度。</w:t>
            </w:r>
          </w:p>
          <w:p w14:paraId="2B9327AC">
            <w:pPr>
              <w:pStyle w:val="4"/>
              <w:rPr>
                <w:sz w:val="24"/>
                <w:szCs w:val="24"/>
              </w:rPr>
            </w:pPr>
            <w:r>
              <w:rPr>
                <w:sz w:val="24"/>
                <w:szCs w:val="24"/>
              </w:rPr>
              <w:t>（四）动力系统</w:t>
            </w:r>
          </w:p>
          <w:p w14:paraId="1F66B8B0">
            <w:pPr>
              <w:pStyle w:val="45"/>
            </w:pPr>
            <w:r>
              <w:t>动力系统是 PX4 无人机的 “动力源泉”，主要包括电机、电调（电子调速器）和螺旋桨。</w:t>
            </w:r>
          </w:p>
          <w:p w14:paraId="29D73EC4">
            <w:pPr>
              <w:pStyle w:val="45"/>
            </w:pPr>
            <w:r>
              <w:rPr>
                <w:b/>
                <w:bCs/>
              </w:rPr>
              <w:t>应用原理</w:t>
            </w:r>
            <w:r>
              <w:t>：飞控核心板根据控制指令输出 PWM（脉冲宽度调制）信号至电调，电调将输入的直流电转换为三相交流电，并调节电流大小控制电机的转速。电机带动螺旋桨旋转产生升力和推力，实现无人机的起飞、降落、悬停及姿态调整。不同电机与螺旋桨的组合可产生不同的动力输出，适配不同类型的无人机（如多旋翼、固定翼）。</w:t>
            </w:r>
          </w:p>
          <w:p w14:paraId="036F1754">
            <w:pPr>
              <w:pStyle w:val="45"/>
            </w:pPr>
            <w:r>
              <w:rPr>
                <w:b/>
                <w:bCs/>
              </w:rPr>
              <w:t>应用条件</w:t>
            </w:r>
            <w:r>
              <w:t>：电机与电调需匹配，电调的额定电流应大于电机的最大工作电流；螺旋桨需与电机型号适配，确保安装牢固无松动；动力系统需定期维护，避免电机磨损、电调过热等问题；工作环境需避免沙尘、水渍等对动力组件的损坏。</w:t>
            </w:r>
          </w:p>
          <w:p w14:paraId="370F7542">
            <w:pPr>
              <w:pStyle w:val="4"/>
              <w:rPr>
                <w:sz w:val="24"/>
                <w:szCs w:val="24"/>
              </w:rPr>
            </w:pPr>
            <w:r>
              <w:rPr>
                <w:sz w:val="24"/>
                <w:szCs w:val="24"/>
              </w:rPr>
              <w:t>（五）通信模块</w:t>
            </w:r>
          </w:p>
          <w:p w14:paraId="5E7B1A8E">
            <w:pPr>
              <w:pStyle w:val="45"/>
            </w:pPr>
            <w:r>
              <w:t>通信模块用于实现无人机与地面站之间的信息交互，主要包括数传电台和图传模块。</w:t>
            </w:r>
          </w:p>
          <w:p w14:paraId="54BC1988">
            <w:pPr>
              <w:pStyle w:val="45"/>
            </w:pPr>
            <w:r>
              <w:rPr>
                <w:b/>
                <w:bCs/>
              </w:rPr>
              <w:t>应用原理</w:t>
            </w:r>
            <w:r>
              <w:t>：数传电台负责传输控制指令、飞行状态数据等低速数据，飞控核心板将无人机的姿态、位置、电池电压等信息通过数传电台发送至地面站，地面站则将操作人员的控制指令反馈给飞控；图传模块负责传输无人机搭载相机拍摄的实时图像，为操作人员提供视觉参考，支持精准作业（如植保、巡检）。</w:t>
            </w:r>
          </w:p>
          <w:p w14:paraId="0089CA6B">
            <w:pPr>
              <w:pStyle w:val="45"/>
            </w:pPr>
            <w:r>
              <w:rPr>
                <w:b/>
                <w:bCs/>
              </w:rPr>
              <w:t>应用条件</w:t>
            </w:r>
            <w:r>
              <w:t>：数传电台与图传模块需工作在合法的通信频段，避免信号干扰；通信距离需满足实际应用需求，一般数传电台通信距离为 1-10 公里，图传模块为 1-5 公里；需安装在信号传输无遮挡的位置，提升通信稳定性；电源供应需稳定，避免因电压波动导致通信中断。</w:t>
            </w:r>
          </w:p>
          <w:p w14:paraId="77D50503">
            <w:pPr>
              <w:pStyle w:val="4"/>
              <w:rPr>
                <w:sz w:val="24"/>
                <w:szCs w:val="24"/>
              </w:rPr>
            </w:pPr>
            <w:r>
              <w:rPr>
                <w:sz w:val="24"/>
                <w:szCs w:val="24"/>
              </w:rPr>
              <w:t>（六）电源模块</w:t>
            </w:r>
          </w:p>
          <w:p w14:paraId="1338A963">
            <w:pPr>
              <w:pStyle w:val="45"/>
            </w:pPr>
            <w:r>
              <w:t>电源模块为整个 PX4 系统提供电力支持，主要包括电池和电源管理板。</w:t>
            </w:r>
          </w:p>
          <w:p w14:paraId="020C91EA">
            <w:pPr>
              <w:pStyle w:val="45"/>
            </w:pPr>
            <w:r>
              <w:rPr>
                <w:b/>
                <w:bCs/>
              </w:rPr>
              <w:t>应用原理</w:t>
            </w:r>
            <w:r>
              <w:t>：电池作为储能单元，为各硬件组件提供直流电源；电源管理板负责对电池电压进行转换、分配和保护，将电池电压转换为各组件所需的工作电压（如飞控核心板 5V、GPS 模块 3.3V），同时具备过充、过放、短路保护功能，保障系统安全运行。</w:t>
            </w:r>
            <w:r>
              <w:rPr>
                <w:b/>
                <w:bCs/>
              </w:rPr>
              <w:t>应用条件</w:t>
            </w:r>
            <w:r>
              <w:t>：电池类型需与系统适配，常用的有锂电池（锂聚合物电池、锂离子电池），容量需根据无人机的续航需求选择；电源管理板的输出电压需精准稳定，满足各组件的电压要求；电池需定期充放电维护，避免过度存放导致性能下降；工作环境需避免高温、碰撞，防止电池损坏引发安全隐患。</w:t>
            </w:r>
          </w:p>
          <w:p w14:paraId="747E524C">
            <w:pPr>
              <w:rPr>
                <w:rFonts w:hint="eastAsia"/>
                <w:b/>
                <w:bCs/>
                <w:sz w:val="21"/>
                <w:szCs w:val="21"/>
              </w:rPr>
            </w:pPr>
          </w:p>
        </w:tc>
      </w:tr>
      <w:tr w14:paraId="2A8C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0B286A1F">
            <w:pPr>
              <w:rPr>
                <w:rFonts w:hint="eastAsia"/>
                <w:b/>
                <w:bCs/>
                <w:sz w:val="21"/>
                <w:szCs w:val="21"/>
              </w:rPr>
            </w:pPr>
            <w:r>
              <w:rPr>
                <w:rFonts w:hint="eastAsia"/>
                <w:b/>
                <w:bCs/>
                <w:sz w:val="21"/>
                <w:szCs w:val="21"/>
              </w:rPr>
              <w:t>面向何种需求/</w:t>
            </w:r>
          </w:p>
          <w:p w14:paraId="1B5CE151">
            <w:pPr>
              <w:rPr>
                <w:rFonts w:hint="eastAsia"/>
                <w:b/>
                <w:bCs/>
                <w:sz w:val="21"/>
                <w:szCs w:val="21"/>
              </w:rPr>
            </w:pPr>
            <w:r>
              <w:rPr>
                <w:rFonts w:hint="eastAsia"/>
                <w:b/>
                <w:bCs/>
                <w:sz w:val="21"/>
                <w:szCs w:val="21"/>
              </w:rPr>
              <w:t>可以解决何种问题</w:t>
            </w:r>
          </w:p>
        </w:tc>
        <w:tc>
          <w:tcPr>
            <w:tcW w:w="8476" w:type="dxa"/>
            <w:gridSpan w:val="3"/>
          </w:tcPr>
          <w:p w14:paraId="0B06106D">
            <w:pPr>
              <w:rPr>
                <w:rFonts w:hint="eastAsia" w:ascii="宋体" w:hAnsi="宋体" w:eastAsia="宋体" w:cs="宋体"/>
                <w:b/>
                <w:bCs/>
                <w:sz w:val="24"/>
                <w:szCs w:val="24"/>
              </w:rPr>
            </w:pPr>
            <w:r>
              <w:rPr>
                <w:rFonts w:hint="eastAsia" w:ascii="宋体" w:hAnsi="宋体" w:eastAsia="宋体" w:cs="宋体"/>
                <w:b/>
                <w:bCs/>
                <w:sz w:val="24"/>
                <w:szCs w:val="24"/>
                <w:lang w:val="en-US" w:eastAsia="zh-CN"/>
              </w:rPr>
              <w:t>（一）多模态数据协同处理需求​</w:t>
            </w:r>
          </w:p>
          <w:p w14:paraId="4E1982CA">
            <w:pPr>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2"/>
                <w:szCs w:val="22"/>
              </w:rPr>
              <w:t>传感器异构融合</w:t>
            </w:r>
            <w:r>
              <w:rPr>
                <w:rFonts w:hint="eastAsia" w:ascii="宋体" w:hAnsi="宋体" w:eastAsia="宋体" w:cs="宋体"/>
                <w:b/>
                <w:bCs/>
                <w:sz w:val="21"/>
                <w:szCs w:val="21"/>
              </w:rPr>
              <w:t>：需整合视觉、惯性、激光雷达等多源数据以支撑神经网络特征提取​</w:t>
            </w:r>
          </w:p>
          <w:p w14:paraId="5B29AFF7">
            <w:pPr>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2"/>
                <w:szCs w:val="22"/>
              </w:rPr>
              <w:t>数据实时同步</w:t>
            </w:r>
            <w:r>
              <w:rPr>
                <w:rFonts w:hint="eastAsia" w:ascii="宋体" w:hAnsi="宋体" w:eastAsia="宋体" w:cs="宋体"/>
                <w:b/>
                <w:bCs/>
                <w:sz w:val="21"/>
                <w:szCs w:val="21"/>
              </w:rPr>
              <w:t>：多模态数据需低延迟对齐，PX4 基于 RTOS 的固件架构保障采集实时性，搭配 USB、以太网等高速接口，适配神经网络对时序数据的要求。​</w:t>
            </w:r>
          </w:p>
          <w:p w14:paraId="7850857A">
            <w:pPr>
              <w:rPr>
                <w:rFonts w:hint="eastAsia" w:ascii="宋体" w:hAnsi="宋体" w:eastAsia="宋体" w:cs="宋体"/>
                <w:b/>
                <w:bCs/>
                <w:sz w:val="21"/>
                <w:szCs w:val="21"/>
              </w:rPr>
            </w:pPr>
            <w:r>
              <w:rPr>
                <w:rFonts w:hint="eastAsia" w:ascii="宋体" w:hAnsi="宋体" w:eastAsia="宋体" w:cs="宋体"/>
                <w:b/>
                <w:bCs/>
                <w:sz w:val="24"/>
                <w:szCs w:val="24"/>
                <w:lang w:val="en-US" w:eastAsia="zh-CN"/>
              </w:rPr>
              <w:t>（二）神经网络控制算法落地需求</w:t>
            </w:r>
            <w:r>
              <w:rPr>
                <w:rFonts w:hint="eastAsia" w:ascii="宋体" w:hAnsi="宋体" w:eastAsia="宋体" w:cs="宋体"/>
                <w:b/>
                <w:bCs/>
                <w:sz w:val="21"/>
                <w:szCs w:val="21"/>
                <w:lang w:val="en-US" w:eastAsia="zh-CN"/>
              </w:rPr>
              <w:t>​</w:t>
            </w:r>
          </w:p>
          <w:p w14:paraId="6B2B5F56">
            <w:pPr>
              <w:rPr>
                <w:rFonts w:hint="eastAsia" w:ascii="宋体" w:hAnsi="宋体" w:eastAsia="宋体" w:cs="宋体"/>
                <w:b/>
                <w:bCs/>
                <w:sz w:val="21"/>
                <w:szCs w:val="21"/>
                <w:lang w:eastAsia="zh-CN"/>
              </w:rPr>
            </w:pPr>
            <w:r>
              <w:rPr>
                <w:rFonts w:hint="eastAsia" w:cs="宋体"/>
                <w:b/>
                <w:bCs/>
                <w:sz w:val="21"/>
                <w:szCs w:val="21"/>
                <w:lang w:val="en-US" w:eastAsia="zh-CN"/>
              </w:rPr>
              <w:t>1.</w:t>
            </w:r>
            <w:r>
              <w:rPr>
                <w:rFonts w:hint="eastAsia" w:ascii="宋体" w:hAnsi="宋体" w:eastAsia="宋体" w:cs="宋体"/>
                <w:b/>
                <w:bCs/>
                <w:sz w:val="22"/>
                <w:szCs w:val="22"/>
              </w:rPr>
              <w:t>嵌入式部署验证</w:t>
            </w:r>
            <w:r>
              <w:rPr>
                <w:rFonts w:hint="eastAsia" w:ascii="宋体" w:hAnsi="宋体" w:eastAsia="宋体" w:cs="宋体"/>
                <w:b/>
                <w:bCs/>
                <w:sz w:val="21"/>
                <w:szCs w:val="21"/>
              </w:rPr>
              <w:t>：需将端到端控制器、强化学习模型等部署至硬件，PX4 支持 TensorFlow Lite 模型运行于 STM32H743 等 MCU</w:t>
            </w:r>
            <w:r>
              <w:rPr>
                <w:rFonts w:hint="eastAsia" w:cs="宋体"/>
                <w:b/>
                <w:bCs/>
                <w:sz w:val="21"/>
                <w:szCs w:val="21"/>
                <w:lang w:eastAsia="zh-CN"/>
              </w:rPr>
              <w:t>。</w:t>
            </w:r>
          </w:p>
          <w:p w14:paraId="7CE263F1">
            <w:pPr>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2"/>
                <w:szCs w:val="22"/>
              </w:rPr>
              <w:t>控制安全性兜底</w:t>
            </w:r>
            <w:r>
              <w:rPr>
                <w:rFonts w:hint="eastAsia" w:ascii="宋体" w:hAnsi="宋体" w:eastAsia="宋体" w:cs="宋体"/>
                <w:b/>
                <w:bCs/>
                <w:sz w:val="21"/>
                <w:szCs w:val="21"/>
              </w:rPr>
              <w:t>：神经网络黑箱特性易引发异常，PX4 自带姿态稳定、故障保护功能，可在算法失效时接管控制，降低实验风险。​</w:t>
            </w:r>
          </w:p>
          <w:p w14:paraId="128F8469">
            <w:pPr>
              <w:rPr>
                <w:rFonts w:hint="eastAsia" w:ascii="宋体" w:hAnsi="宋体" w:eastAsia="宋体" w:cs="宋体"/>
                <w:b/>
                <w:bCs/>
                <w:sz w:val="24"/>
                <w:szCs w:val="24"/>
              </w:rPr>
            </w:pPr>
            <w:r>
              <w:rPr>
                <w:rFonts w:hint="eastAsia" w:ascii="宋体" w:hAnsi="宋体" w:eastAsia="宋体" w:cs="宋体"/>
                <w:b/>
                <w:bCs/>
                <w:sz w:val="24"/>
                <w:szCs w:val="24"/>
                <w:lang w:val="en-US" w:eastAsia="zh-CN"/>
              </w:rPr>
              <w:t>（三）跨场景控制适应性需求​</w:t>
            </w:r>
          </w:p>
          <w:p w14:paraId="70439D4B">
            <w:pPr>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2"/>
                <w:szCs w:val="22"/>
              </w:rPr>
              <w:t>复杂环境适配</w:t>
            </w:r>
            <w:r>
              <w:rPr>
                <w:rFonts w:hint="eastAsia" w:ascii="宋体" w:hAnsi="宋体" w:eastAsia="宋体" w:cs="宋体"/>
                <w:b/>
                <w:bCs/>
                <w:sz w:val="21"/>
                <w:szCs w:val="21"/>
              </w:rPr>
              <w:t>：需在无 GPS、强风等场景验证算法鲁棒性，PX4 支持光流计、UWB 等替代模块，且固件集成抗 6 级风的自适应滤波算法，可模拟极端环境。​</w:t>
            </w:r>
          </w:p>
          <w:p w14:paraId="7030F057">
            <w:pPr>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2"/>
                <w:szCs w:val="22"/>
              </w:rPr>
              <w:t>多机型拓展</w:t>
            </w:r>
            <w:r>
              <w:rPr>
                <w:rFonts w:hint="eastAsia" w:ascii="宋体" w:hAnsi="宋体" w:eastAsia="宋体" w:cs="宋体"/>
                <w:b/>
                <w:bCs/>
                <w:sz w:val="21"/>
                <w:szCs w:val="21"/>
              </w:rPr>
              <w:t>：需在多旋翼、固定翼等载体验证算法通用性，PX4 适配从小型穿越机到大型 VTOL 无人机的全平台，满足跨机型迁移研究。</w:t>
            </w:r>
          </w:p>
          <w:p w14:paraId="492BA601">
            <w:pPr>
              <w:rPr>
                <w:rFonts w:hint="eastAsia" w:ascii="宋体" w:hAnsi="宋体" w:eastAsia="宋体" w:cs="宋体"/>
                <w:b/>
                <w:bCs/>
                <w:sz w:val="21"/>
                <w:szCs w:val="21"/>
              </w:rPr>
            </w:pPr>
          </w:p>
        </w:tc>
      </w:tr>
      <w:tr w14:paraId="64C0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980" w:type="dxa"/>
          </w:tcPr>
          <w:p w14:paraId="04C04A00">
            <w:pPr>
              <w:rPr>
                <w:rFonts w:hint="eastAsia"/>
                <w:b/>
                <w:bCs/>
                <w:sz w:val="21"/>
                <w:szCs w:val="21"/>
              </w:rPr>
            </w:pPr>
            <w:r>
              <w:rPr>
                <w:rFonts w:hint="eastAsia"/>
                <w:b/>
                <w:bCs/>
                <w:sz w:val="21"/>
                <w:szCs w:val="21"/>
              </w:rPr>
              <w:t>如何工作/</w:t>
            </w:r>
          </w:p>
          <w:p w14:paraId="652AC0D8">
            <w:pPr>
              <w:rPr>
                <w:rFonts w:hint="eastAsia"/>
                <w:b/>
                <w:bCs/>
                <w:sz w:val="21"/>
                <w:szCs w:val="21"/>
              </w:rPr>
            </w:pPr>
            <w:r>
              <w:rPr>
                <w:rFonts w:hint="eastAsia"/>
                <w:b/>
                <w:bCs/>
                <w:sz w:val="21"/>
                <w:szCs w:val="21"/>
              </w:rPr>
              <w:t>工作原理</w:t>
            </w:r>
          </w:p>
        </w:tc>
        <w:tc>
          <w:tcPr>
            <w:tcW w:w="8476" w:type="dxa"/>
            <w:gridSpan w:val="3"/>
          </w:tcPr>
          <w:p w14:paraId="1CEA54B5">
            <w:pPr>
              <w:rPr>
                <w:rFonts w:hint="eastAsia" w:ascii="宋体" w:hAnsi="宋体" w:eastAsia="宋体" w:cs="宋体"/>
                <w:b/>
                <w:bCs/>
                <w:sz w:val="21"/>
                <w:szCs w:val="21"/>
              </w:rPr>
            </w:pPr>
            <w:r>
              <w:rPr>
                <w:rFonts w:hint="eastAsia" w:ascii="宋体" w:hAnsi="宋体" w:eastAsia="宋体" w:cs="宋体"/>
                <w:i w:val="0"/>
                <w:iCs w:val="0"/>
                <w:caps w:val="0"/>
                <w:color w:val="0F1115"/>
                <w:spacing w:val="0"/>
                <w:sz w:val="21"/>
                <w:szCs w:val="21"/>
                <w:shd w:val="clear" w:fill="FFFFFF"/>
              </w:rPr>
              <w:t>1. </w:t>
            </w:r>
            <w:r>
              <w:rPr>
                <w:rStyle w:val="20"/>
                <w:rFonts w:hint="eastAsia" w:ascii="宋体" w:hAnsi="宋体" w:eastAsia="宋体" w:cs="宋体"/>
                <w:b/>
                <w:bCs/>
                <w:i w:val="0"/>
                <w:iCs w:val="0"/>
                <w:caps w:val="0"/>
                <w:color w:val="0F1115"/>
                <w:spacing w:val="0"/>
                <w:sz w:val="21"/>
                <w:szCs w:val="21"/>
                <w:shd w:val="clear" w:fill="FFFFFF"/>
              </w:rPr>
              <w:t>传感器数据处理</w:t>
            </w:r>
            <w:r>
              <w:rPr>
                <w:rFonts w:hint="eastAsia" w:ascii="宋体" w:hAnsi="宋体" w:eastAsia="宋体" w:cs="宋体"/>
                <w:i w:val="0"/>
                <w:iCs w:val="0"/>
                <w:caps w:val="0"/>
                <w:color w:val="0F1115"/>
                <w:spacing w:val="0"/>
                <w:sz w:val="21"/>
                <w:szCs w:val="21"/>
                <w:shd w:val="clear" w:fill="FFFFFF"/>
              </w:rPr>
              <w:t>: 通过IMU、GPS、磁力计、气压计等传感器获取飞行状态数据，进行数据滤波和有效性检查</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2. </w:t>
            </w:r>
            <w:r>
              <w:rPr>
                <w:rStyle w:val="20"/>
                <w:rFonts w:hint="eastAsia" w:ascii="宋体" w:hAnsi="宋体" w:eastAsia="宋体" w:cs="宋体"/>
                <w:b/>
                <w:bCs/>
                <w:i w:val="0"/>
                <w:iCs w:val="0"/>
                <w:caps w:val="0"/>
                <w:color w:val="0F1115"/>
                <w:spacing w:val="0"/>
                <w:sz w:val="21"/>
                <w:szCs w:val="21"/>
                <w:shd w:val="clear" w:fill="FFFFFF"/>
              </w:rPr>
              <w:t>状态估计</w:t>
            </w:r>
            <w:r>
              <w:rPr>
                <w:rFonts w:hint="eastAsia" w:ascii="宋体" w:hAnsi="宋体" w:eastAsia="宋体" w:cs="宋体"/>
                <w:i w:val="0"/>
                <w:iCs w:val="0"/>
                <w:caps w:val="0"/>
                <w:color w:val="0F1115"/>
                <w:spacing w:val="0"/>
                <w:sz w:val="21"/>
                <w:szCs w:val="21"/>
                <w:shd w:val="clear" w:fill="FFFFFF"/>
              </w:rPr>
              <w:t>: 使用扩展卡尔曼滤波算法融合多传感器数据，精确估计车辆姿态、位置、速度状态</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3. </w:t>
            </w:r>
            <w:r>
              <w:rPr>
                <w:rStyle w:val="20"/>
                <w:rFonts w:hint="eastAsia" w:ascii="宋体" w:hAnsi="宋体" w:eastAsia="宋体" w:cs="宋体"/>
                <w:b/>
                <w:bCs/>
                <w:i w:val="0"/>
                <w:iCs w:val="0"/>
                <w:caps w:val="0"/>
                <w:color w:val="0F1115"/>
                <w:spacing w:val="0"/>
                <w:sz w:val="21"/>
                <w:szCs w:val="21"/>
                <w:shd w:val="clear" w:fill="FFFFFF"/>
              </w:rPr>
              <w:t>控制回路</w:t>
            </w:r>
            <w:r>
              <w:rPr>
                <w:rFonts w:hint="eastAsia" w:ascii="宋体" w:hAnsi="宋体" w:eastAsia="宋体" w:cs="宋体"/>
                <w:i w:val="0"/>
                <w:iCs w:val="0"/>
                <w:caps w:val="0"/>
                <w:color w:val="0F1115"/>
                <w:spacing w:val="0"/>
                <w:sz w:val="21"/>
                <w:szCs w:val="21"/>
                <w:shd w:val="clear" w:fill="FFFFFF"/>
              </w:rPr>
              <w:t>: 采用级联PID控制结构，内环控制角速率，外环控制姿态角，最外层控制位置</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4. </w:t>
            </w:r>
            <w:r>
              <w:rPr>
                <w:rStyle w:val="20"/>
                <w:rFonts w:hint="eastAsia" w:ascii="宋体" w:hAnsi="宋体" w:eastAsia="宋体" w:cs="宋体"/>
                <w:b/>
                <w:bCs/>
                <w:i w:val="0"/>
                <w:iCs w:val="0"/>
                <w:caps w:val="0"/>
                <w:color w:val="0F1115"/>
                <w:spacing w:val="0"/>
                <w:sz w:val="21"/>
                <w:szCs w:val="21"/>
                <w:shd w:val="clear" w:fill="FFFFFF"/>
              </w:rPr>
              <w:t>执行器输出</w:t>
            </w:r>
            <w:r>
              <w:rPr>
                <w:rFonts w:hint="eastAsia" w:ascii="宋体" w:hAnsi="宋体" w:eastAsia="宋体" w:cs="宋体"/>
                <w:i w:val="0"/>
                <w:iCs w:val="0"/>
                <w:caps w:val="0"/>
                <w:color w:val="0F1115"/>
                <w:spacing w:val="0"/>
                <w:sz w:val="21"/>
                <w:szCs w:val="21"/>
                <w:shd w:val="clear" w:fill="FFFFFF"/>
              </w:rPr>
              <w:t>: 将控制指令转换为PWM信号驱动电机和舵机，支持混控器和故障保护机制</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5. </w:t>
            </w:r>
            <w:r>
              <w:rPr>
                <w:rStyle w:val="20"/>
                <w:rFonts w:hint="eastAsia" w:ascii="宋体" w:hAnsi="宋体" w:eastAsia="宋体" w:cs="宋体"/>
                <w:b/>
                <w:bCs/>
                <w:i w:val="0"/>
                <w:iCs w:val="0"/>
                <w:caps w:val="0"/>
                <w:color w:val="0F1115"/>
                <w:spacing w:val="0"/>
                <w:sz w:val="21"/>
                <w:szCs w:val="21"/>
                <w:shd w:val="clear" w:fill="FFFFFF"/>
              </w:rPr>
              <w:t>任务执行</w:t>
            </w:r>
            <w:r>
              <w:rPr>
                <w:rFonts w:hint="eastAsia" w:ascii="宋体" w:hAnsi="宋体" w:eastAsia="宋体" w:cs="宋体"/>
                <w:i w:val="0"/>
                <w:iCs w:val="0"/>
                <w:caps w:val="0"/>
                <w:color w:val="0F1115"/>
                <w:spacing w:val="0"/>
                <w:sz w:val="21"/>
                <w:szCs w:val="21"/>
                <w:shd w:val="clear" w:fill="FFFFFF"/>
              </w:rPr>
              <w:t>: 按照预设航点或实时指令执行自主飞行任务，具备中断恢复和应急处理能力</w:t>
            </w:r>
          </w:p>
        </w:tc>
      </w:tr>
      <w:tr w14:paraId="7FEB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1F9E5BD7">
            <w:pPr>
              <w:rPr>
                <w:rFonts w:hint="eastAsia"/>
                <w:b/>
                <w:bCs/>
                <w:sz w:val="21"/>
                <w:szCs w:val="21"/>
              </w:rPr>
            </w:pPr>
            <w:r>
              <w:rPr>
                <w:rFonts w:hint="eastAsia"/>
                <w:b/>
                <w:bCs/>
                <w:sz w:val="21"/>
                <w:szCs w:val="21"/>
              </w:rPr>
              <w:t>技术/应用局限</w:t>
            </w:r>
          </w:p>
        </w:tc>
        <w:tc>
          <w:tcPr>
            <w:tcW w:w="8476" w:type="dxa"/>
            <w:gridSpan w:val="3"/>
          </w:tcPr>
          <w:p w14:paraId="7AD7FCB7">
            <w:pPr>
              <w:numPr>
                <w:ilvl w:val="0"/>
                <w:numId w:val="2"/>
              </w:numPr>
              <w:rPr>
                <w:rFonts w:hint="eastAsia" w:ascii="宋体" w:hAnsi="宋体" w:eastAsia="宋体" w:cs="宋体"/>
                <w:b/>
                <w:bCs/>
                <w:sz w:val="21"/>
                <w:szCs w:val="21"/>
              </w:rPr>
            </w:pPr>
            <w:r>
              <w:rPr>
                <w:rFonts w:hint="eastAsia" w:ascii="宋体" w:hAnsi="宋体" w:eastAsia="宋体" w:cs="宋体"/>
                <w:b/>
                <w:bCs/>
                <w:sz w:val="21"/>
                <w:szCs w:val="21"/>
              </w:rPr>
              <w:t>算力有限：默认飞控板运算性能较弱，复杂神经网络模型运行易卡顿。</w:t>
            </w:r>
          </w:p>
          <w:p w14:paraId="6CA39261">
            <w:pPr>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1"/>
                <w:szCs w:val="21"/>
              </w:rPr>
              <w:t>实时性挑战：多模态数据传输与融合处理可能导致控制指令延迟，影响动态响应。</w:t>
            </w:r>
          </w:p>
          <w:p w14:paraId="76DF2E7D">
            <w:pPr>
              <w:rPr>
                <w:rFonts w:hint="eastAsia" w:ascii="宋体" w:hAnsi="宋体" w:eastAsia="宋体" w:cs="宋体"/>
                <w:b/>
                <w:bCs/>
                <w:sz w:val="21"/>
                <w:szCs w:val="21"/>
              </w:rPr>
            </w:pPr>
            <w:r>
              <w:rPr>
                <w:rFonts w:hint="eastAsia" w:cs="宋体"/>
                <w:b/>
                <w:bCs/>
                <w:sz w:val="21"/>
                <w:szCs w:val="21"/>
                <w:lang w:val="en-US" w:eastAsia="zh-CN"/>
              </w:rPr>
              <w:t>3.</w:t>
            </w:r>
            <w:r>
              <w:rPr>
                <w:rFonts w:hint="eastAsia" w:ascii="宋体" w:hAnsi="宋体" w:eastAsia="宋体" w:cs="宋体"/>
                <w:b/>
                <w:bCs/>
                <w:sz w:val="21"/>
                <w:szCs w:val="21"/>
              </w:rPr>
              <w:t>生态适配不足：针对神经网络多模态控制的专用工具链和案例较少，开发成本较高。</w:t>
            </w:r>
          </w:p>
          <w:p w14:paraId="745F1D13">
            <w:pPr>
              <w:rPr>
                <w:rFonts w:hint="eastAsia" w:ascii="宋体" w:hAnsi="宋体" w:eastAsia="宋体" w:cs="宋体"/>
                <w:b/>
                <w:bCs/>
                <w:sz w:val="21"/>
                <w:szCs w:val="21"/>
              </w:rPr>
            </w:pPr>
          </w:p>
        </w:tc>
      </w:tr>
      <w:tr w14:paraId="2A2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1980" w:type="dxa"/>
          </w:tcPr>
          <w:p w14:paraId="4CE16F8C">
            <w:pPr>
              <w:rPr>
                <w:rFonts w:hint="eastAsia"/>
                <w:b/>
                <w:bCs/>
                <w:sz w:val="21"/>
                <w:szCs w:val="21"/>
              </w:rPr>
            </w:pPr>
            <w:r>
              <w:rPr>
                <w:rFonts w:hint="eastAsia"/>
                <w:b/>
                <w:bCs/>
                <w:sz w:val="21"/>
                <w:szCs w:val="21"/>
              </w:rPr>
              <w:t>核心优势/差异化亮点</w:t>
            </w:r>
          </w:p>
        </w:tc>
        <w:tc>
          <w:tcPr>
            <w:tcW w:w="8476" w:type="dxa"/>
            <w:gridSpan w:val="3"/>
          </w:tcPr>
          <w:p w14:paraId="347822E6">
            <w:pPr>
              <w:rPr>
                <w:rFonts w:hint="eastAsia" w:ascii="宋体" w:hAnsi="宋体" w:eastAsia="宋体" w:cs="宋体"/>
                <w:b/>
                <w:bCs/>
                <w:sz w:val="24"/>
                <w:szCs w:val="24"/>
              </w:rPr>
            </w:pPr>
            <w:r>
              <w:rPr>
                <w:rFonts w:hint="eastAsia" w:ascii="宋体" w:hAnsi="宋体" w:eastAsia="宋体" w:cs="宋体"/>
                <w:b/>
                <w:bCs/>
                <w:sz w:val="24"/>
                <w:szCs w:val="24"/>
              </w:rPr>
              <w:t>PX4 用于该研究的优势</w:t>
            </w:r>
          </w:p>
          <w:p w14:paraId="671BBD55">
            <w:pPr>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1"/>
                <w:szCs w:val="21"/>
              </w:rPr>
              <w:t>开源灵活：硬件接口丰富且软件可深度定制，支持神经网络算法的移植与调试。</w:t>
            </w:r>
          </w:p>
          <w:p w14:paraId="08B4A62E">
            <w:pPr>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1"/>
                <w:szCs w:val="21"/>
              </w:rPr>
              <w:t>多传感器兼容：可便捷接入视觉、惯性、声学等多模态传感器，满足数据采集需求。</w:t>
            </w:r>
          </w:p>
          <w:p w14:paraId="4A6B80A5">
            <w:pPr>
              <w:rPr>
                <w:rFonts w:hint="eastAsia" w:ascii="宋体" w:hAnsi="宋体" w:eastAsia="宋体" w:cs="宋体"/>
                <w:b/>
                <w:bCs/>
                <w:sz w:val="21"/>
                <w:szCs w:val="21"/>
              </w:rPr>
            </w:pPr>
            <w:r>
              <w:rPr>
                <w:rFonts w:hint="eastAsia" w:cs="宋体"/>
                <w:b/>
                <w:bCs/>
                <w:sz w:val="21"/>
                <w:szCs w:val="21"/>
                <w:lang w:val="en-US" w:eastAsia="zh-CN"/>
              </w:rPr>
              <w:t>3.</w:t>
            </w:r>
            <w:r>
              <w:rPr>
                <w:rFonts w:hint="eastAsia" w:ascii="宋体" w:hAnsi="宋体" w:eastAsia="宋体" w:cs="宋体"/>
                <w:b/>
                <w:bCs/>
                <w:sz w:val="21"/>
                <w:szCs w:val="21"/>
              </w:rPr>
              <w:t>成熟控制框架：自带稳定的底层控制逻辑，可聚焦神经网络上层多模态融合策略研究。</w:t>
            </w:r>
          </w:p>
          <w:p w14:paraId="0D0F9736">
            <w:pPr>
              <w:rPr>
                <w:rFonts w:hint="eastAsia" w:ascii="宋体" w:hAnsi="宋体" w:eastAsia="宋体" w:cs="宋体"/>
                <w:b/>
                <w:bCs/>
                <w:sz w:val="21"/>
                <w:szCs w:val="21"/>
              </w:rPr>
            </w:pPr>
          </w:p>
        </w:tc>
      </w:tr>
      <w:tr w14:paraId="2B0D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980" w:type="dxa"/>
          </w:tcPr>
          <w:p w14:paraId="64B1368C">
            <w:pPr>
              <w:rPr>
                <w:rFonts w:hint="eastAsia"/>
                <w:b/>
                <w:bCs/>
                <w:sz w:val="21"/>
                <w:szCs w:val="21"/>
              </w:rPr>
            </w:pPr>
            <w:r>
              <w:rPr>
                <w:rFonts w:hint="eastAsia"/>
                <w:b/>
                <w:bCs/>
                <w:sz w:val="21"/>
                <w:szCs w:val="21"/>
              </w:rPr>
              <w:t>核心调研结论/关键发现</w:t>
            </w:r>
          </w:p>
        </w:tc>
        <w:tc>
          <w:tcPr>
            <w:tcW w:w="8476" w:type="dxa"/>
            <w:gridSpan w:val="3"/>
          </w:tcPr>
          <w:p w14:paraId="53826CFA">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Style w:val="20"/>
                <w:rFonts w:hint="eastAsia" w:ascii="宋体" w:hAnsi="宋体" w:eastAsia="宋体" w:cs="宋体"/>
                <w:b/>
                <w:bCs/>
                <w:i w:val="0"/>
                <w:iCs w:val="0"/>
                <w:caps w:val="0"/>
                <w:color w:val="0F1115"/>
                <w:spacing w:val="0"/>
                <w:sz w:val="24"/>
                <w:szCs w:val="24"/>
                <w:shd w:val="clear" w:fill="FFFFFF"/>
              </w:rPr>
              <w:t>仿真环节是项目进度的关键保障</w:t>
            </w:r>
            <w:r>
              <w:rPr>
                <w:rFonts w:hint="eastAsia" w:ascii="宋体" w:hAnsi="宋体" w:eastAsia="宋体" w:cs="宋体"/>
                <w:i w:val="0"/>
                <w:iCs w:val="0"/>
                <w:caps w:val="0"/>
                <w:color w:val="0F1115"/>
                <w:spacing w:val="0"/>
                <w:sz w:val="24"/>
                <w:szCs w:val="24"/>
                <w:shd w:val="clear" w:fill="FFFFFF"/>
              </w:rPr>
              <w:t>：PX4与Gazebo/Isaac Sim的深度融合，为"仿真到现实"提供了成熟路径。这能极大降低初期实物测试的硬件损坏风险和调试时间，是控制项目风险的核心环节。</w:t>
            </w:r>
          </w:p>
          <w:p w14:paraId="7D867A43">
            <w:pPr>
              <w:pStyle w:val="15"/>
              <w:keepNext w:val="0"/>
              <w:keepLines w:val="0"/>
              <w:widowControl/>
              <w:suppressLineNumbers w:val="0"/>
              <w:spacing w:before="0" w:beforeAutospacing="0" w:after="0" w:afterAutospacing="0"/>
              <w:ind w:left="0" w:right="0"/>
              <w:rPr>
                <w:rFonts w:hint="eastAsia"/>
                <w:b/>
                <w:bCs/>
                <w:sz w:val="21"/>
                <w:szCs w:val="21"/>
              </w:rPr>
            </w:pPr>
            <w:r>
              <w:rPr>
                <w:rStyle w:val="20"/>
                <w:rFonts w:hint="eastAsia" w:ascii="宋体" w:hAnsi="宋体" w:eastAsia="宋体" w:cs="宋体"/>
                <w:b/>
                <w:bCs/>
                <w:i w:val="0"/>
                <w:iCs w:val="0"/>
                <w:caps w:val="0"/>
                <w:color w:val="0F1115"/>
                <w:spacing w:val="0"/>
                <w:sz w:val="24"/>
                <w:szCs w:val="24"/>
                <w:shd w:val="clear" w:fill="FFFFFF"/>
              </w:rPr>
              <w:t>开源生态存在技术门槛</w:t>
            </w:r>
            <w:r>
              <w:rPr>
                <w:rFonts w:hint="eastAsia" w:ascii="宋体" w:hAnsi="宋体" w:eastAsia="宋体" w:cs="宋体"/>
                <w:i w:val="0"/>
                <w:iCs w:val="0"/>
                <w:caps w:val="0"/>
                <w:color w:val="0F1115"/>
                <w:spacing w:val="0"/>
                <w:sz w:val="24"/>
                <w:szCs w:val="24"/>
                <w:shd w:val="clear" w:fill="FFFFFF"/>
              </w:rPr>
              <w:t>：PX4社区资源丰富，但软硬件配置、参数整定依赖深度知识，新手直接上手复杂应用（如Offboard模式与控制）易遇瓶颈，团队需规划明确的学习路径</w:t>
            </w:r>
            <w:r>
              <w:rPr>
                <w:rFonts w:hint="eastAsia" w:ascii="宋体" w:hAnsi="宋体" w:eastAsia="宋体" w:cs="宋体"/>
                <w:i w:val="0"/>
                <w:iCs w:val="0"/>
                <w:caps w:val="0"/>
                <w:color w:val="0F1115"/>
                <w:spacing w:val="0"/>
                <w:sz w:val="21"/>
                <w:szCs w:val="21"/>
                <w:shd w:val="clear" w:fill="FFFFFF"/>
              </w:rPr>
              <w:t>。</w:t>
            </w:r>
          </w:p>
        </w:tc>
      </w:tr>
      <w:tr w14:paraId="5B09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980" w:type="dxa"/>
          </w:tcPr>
          <w:p w14:paraId="6BFF96CD">
            <w:pPr>
              <w:rPr>
                <w:rFonts w:hint="eastAsia"/>
                <w:b/>
                <w:bCs/>
                <w:sz w:val="21"/>
                <w:szCs w:val="21"/>
              </w:rPr>
            </w:pPr>
            <w:r>
              <w:rPr>
                <w:rFonts w:hint="eastAsia"/>
                <w:b/>
                <w:bCs/>
                <w:sz w:val="21"/>
                <w:szCs w:val="21"/>
              </w:rPr>
              <w:t>需组会讨论/支持的问题</w:t>
            </w:r>
          </w:p>
        </w:tc>
        <w:tc>
          <w:tcPr>
            <w:tcW w:w="8476" w:type="dxa"/>
            <w:gridSpan w:val="3"/>
          </w:tcPr>
          <w:p w14:paraId="47491DCC">
            <w:pPr>
              <w:rPr>
                <w:rFonts w:hint="eastAsia" w:eastAsia="宋体"/>
                <w:b/>
                <w:bCs/>
                <w:sz w:val="21"/>
                <w:szCs w:val="21"/>
                <w:lang w:val="en-US" w:eastAsia="zh-CN"/>
              </w:rPr>
            </w:pPr>
            <w:r>
              <w:rPr>
                <w:rFonts w:hint="eastAsia"/>
                <w:b/>
                <w:bCs/>
                <w:sz w:val="21"/>
                <w:szCs w:val="21"/>
                <w:lang w:val="en-US" w:eastAsia="zh-CN"/>
              </w:rPr>
              <w:t>暂无</w:t>
            </w:r>
          </w:p>
        </w:tc>
      </w:tr>
      <w:tr w14:paraId="37B7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980" w:type="dxa"/>
          </w:tcPr>
          <w:p w14:paraId="5AE6675B">
            <w:pPr>
              <w:rPr>
                <w:rFonts w:hint="eastAsia"/>
                <w:b/>
                <w:bCs/>
                <w:sz w:val="21"/>
                <w:szCs w:val="21"/>
              </w:rPr>
            </w:pPr>
            <w:r>
              <w:rPr>
                <w:rFonts w:hint="eastAsia"/>
                <w:b/>
                <w:bCs/>
                <w:sz w:val="21"/>
                <w:szCs w:val="21"/>
              </w:rPr>
              <w:t>后续行动计划</w:t>
            </w:r>
          </w:p>
        </w:tc>
        <w:tc>
          <w:tcPr>
            <w:tcW w:w="8476" w:type="dxa"/>
            <w:gridSpan w:val="3"/>
          </w:tcPr>
          <w:p w14:paraId="5417FFA6">
            <w:pPr>
              <w:rPr>
                <w:rFonts w:hint="eastAsia" w:eastAsia="宋体"/>
                <w:b/>
                <w:bCs/>
                <w:sz w:val="21"/>
                <w:szCs w:val="21"/>
                <w:lang w:val="en-US" w:eastAsia="zh-CN"/>
              </w:rPr>
            </w:pPr>
            <w:r>
              <w:rPr>
                <w:rFonts w:hint="eastAsia"/>
                <w:b/>
                <w:bCs/>
                <w:sz w:val="21"/>
                <w:szCs w:val="21"/>
                <w:lang w:val="en-US" w:eastAsia="zh-CN"/>
              </w:rPr>
              <w:t>待议</w:t>
            </w:r>
          </w:p>
        </w:tc>
      </w:tr>
      <w:tr w14:paraId="516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80" w:type="dxa"/>
          </w:tcPr>
          <w:p w14:paraId="61F7D212">
            <w:pPr>
              <w:rPr>
                <w:rFonts w:hint="eastAsia"/>
                <w:b/>
                <w:bCs/>
                <w:sz w:val="21"/>
                <w:szCs w:val="21"/>
              </w:rPr>
            </w:pPr>
            <w:r>
              <w:rPr>
                <w:rFonts w:hint="eastAsia"/>
                <w:b/>
                <w:bCs/>
                <w:sz w:val="21"/>
                <w:szCs w:val="21"/>
              </w:rPr>
              <w:t>参考资料</w:t>
            </w:r>
          </w:p>
        </w:tc>
        <w:tc>
          <w:tcPr>
            <w:tcW w:w="8476" w:type="dxa"/>
            <w:gridSpan w:val="3"/>
          </w:tcPr>
          <w:p w14:paraId="7B42EBF4">
            <w:pPr>
              <w:rPr>
                <w:rFonts w:hint="eastAsia"/>
                <w:b/>
                <w:bCs/>
                <w:sz w:val="21"/>
                <w:szCs w:val="21"/>
              </w:rPr>
            </w:pPr>
          </w:p>
        </w:tc>
      </w:tr>
    </w:tbl>
    <w:p w14:paraId="619259C8">
      <w:pPr>
        <w:rPr>
          <w:rFonts w:hint="eastAsia"/>
          <w:b/>
          <w:bCs/>
          <w:sz w:val="21"/>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3"/>
        <w:gridCol w:w="1743"/>
        <w:gridCol w:w="1743"/>
        <w:gridCol w:w="1743"/>
      </w:tblGrid>
      <w:tr w14:paraId="6A53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742" w:type="dxa"/>
            <w:vMerge w:val="restart"/>
          </w:tcPr>
          <w:p w14:paraId="73D45BCA">
            <w:pPr>
              <w:rPr>
                <w:rFonts w:hint="eastAsia"/>
                <w:b/>
                <w:bCs/>
                <w:sz w:val="21"/>
                <w:szCs w:val="21"/>
              </w:rPr>
            </w:pPr>
            <w:r>
              <w:rPr>
                <w:rFonts w:hint="eastAsia"/>
                <w:b/>
                <w:bCs/>
                <w:sz w:val="21"/>
                <w:szCs w:val="21"/>
              </w:rPr>
              <w:t>填写人</w:t>
            </w:r>
          </w:p>
        </w:tc>
        <w:tc>
          <w:tcPr>
            <w:tcW w:w="1742" w:type="dxa"/>
            <w:vMerge w:val="restart"/>
          </w:tcPr>
          <w:p w14:paraId="34D25BA1">
            <w:pPr>
              <w:pStyle w:val="36"/>
              <w:numPr>
                <w:ilvl w:val="0"/>
                <w:numId w:val="3"/>
              </w:numPr>
              <w:rPr>
                <w:rFonts w:hint="eastAsia"/>
                <w:b/>
                <w:bCs/>
                <w:sz w:val="21"/>
                <w:szCs w:val="21"/>
              </w:rPr>
            </w:pPr>
            <w:r>
              <w:rPr>
                <w:rFonts w:hint="eastAsia"/>
                <w:b/>
                <w:bCs/>
                <w:sz w:val="21"/>
                <w:szCs w:val="21"/>
                <w:lang w:val="en-US" w:eastAsia="zh-CN"/>
              </w:rPr>
              <w:t>胡子涵</w:t>
            </w:r>
          </w:p>
          <w:p w14:paraId="5BDA178E">
            <w:pPr>
              <w:pStyle w:val="36"/>
              <w:numPr>
                <w:ilvl w:val="0"/>
                <w:numId w:val="3"/>
              </w:numPr>
              <w:rPr>
                <w:rFonts w:hint="eastAsia"/>
                <w:b/>
                <w:bCs/>
                <w:sz w:val="21"/>
                <w:szCs w:val="21"/>
              </w:rPr>
            </w:pPr>
            <w:r>
              <w:rPr>
                <w:rFonts w:hint="eastAsia"/>
                <w:b/>
                <w:bCs/>
                <w:sz w:val="21"/>
                <w:szCs w:val="21"/>
                <w:lang w:val="en-US" w:eastAsia="zh-CN"/>
              </w:rPr>
              <w:t>宫贤博</w:t>
            </w:r>
          </w:p>
        </w:tc>
        <w:tc>
          <w:tcPr>
            <w:tcW w:w="1743" w:type="dxa"/>
          </w:tcPr>
          <w:p w14:paraId="05120416">
            <w:pPr>
              <w:rPr>
                <w:rFonts w:hint="eastAsia"/>
                <w:b/>
                <w:bCs/>
                <w:sz w:val="21"/>
                <w:szCs w:val="21"/>
              </w:rPr>
            </w:pPr>
            <w:r>
              <w:rPr>
                <w:rFonts w:hint="eastAsia"/>
                <w:b/>
                <w:bCs/>
                <w:sz w:val="21"/>
                <w:szCs w:val="21"/>
              </w:rPr>
              <w:t>填写日期</w:t>
            </w:r>
          </w:p>
        </w:tc>
        <w:tc>
          <w:tcPr>
            <w:tcW w:w="1743" w:type="dxa"/>
          </w:tcPr>
          <w:p w14:paraId="1F33763E">
            <w:pPr>
              <w:rPr>
                <w:rFonts w:hint="default" w:eastAsia="宋体"/>
                <w:b/>
                <w:bCs/>
                <w:sz w:val="21"/>
                <w:szCs w:val="21"/>
                <w:lang w:val="en-US" w:eastAsia="zh-CN"/>
              </w:rPr>
            </w:pPr>
            <w:r>
              <w:rPr>
                <w:rFonts w:hint="eastAsia"/>
                <w:b/>
                <w:bCs/>
                <w:sz w:val="21"/>
                <w:szCs w:val="21"/>
                <w:lang w:val="en-US" w:eastAsia="zh-CN"/>
              </w:rPr>
              <w:t>2025.11.1</w:t>
            </w:r>
          </w:p>
        </w:tc>
        <w:tc>
          <w:tcPr>
            <w:tcW w:w="1743" w:type="dxa"/>
            <w:vMerge w:val="restart"/>
          </w:tcPr>
          <w:p w14:paraId="144BEF7C">
            <w:pPr>
              <w:rPr>
                <w:rFonts w:hint="eastAsia"/>
                <w:b/>
                <w:bCs/>
                <w:sz w:val="21"/>
                <w:szCs w:val="21"/>
              </w:rPr>
            </w:pPr>
            <w:r>
              <w:rPr>
                <w:rFonts w:hint="eastAsia"/>
                <w:b/>
                <w:bCs/>
                <w:sz w:val="21"/>
                <w:szCs w:val="21"/>
              </w:rPr>
              <w:t>周序号</w:t>
            </w:r>
          </w:p>
        </w:tc>
        <w:tc>
          <w:tcPr>
            <w:tcW w:w="1743" w:type="dxa"/>
            <w:vMerge w:val="restart"/>
          </w:tcPr>
          <w:p w14:paraId="402F1C0C">
            <w:pPr>
              <w:rPr>
                <w:rFonts w:hint="eastAsia" w:eastAsia="宋体"/>
                <w:b/>
                <w:bCs/>
                <w:sz w:val="21"/>
                <w:szCs w:val="21"/>
                <w:lang w:val="en-US" w:eastAsia="zh-CN"/>
              </w:rPr>
            </w:pPr>
            <w:r>
              <w:rPr>
                <w:rFonts w:hint="eastAsia"/>
                <w:b/>
                <w:bCs/>
                <w:sz w:val="21"/>
                <w:szCs w:val="21"/>
                <w:lang w:val="en-US" w:eastAsia="zh-CN"/>
              </w:rPr>
              <w:t>1</w:t>
            </w:r>
          </w:p>
        </w:tc>
      </w:tr>
      <w:tr w14:paraId="3C58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42" w:type="dxa"/>
            <w:vMerge w:val="continue"/>
          </w:tcPr>
          <w:p w14:paraId="6030D2A3">
            <w:pPr>
              <w:rPr>
                <w:rFonts w:hint="eastAsia"/>
                <w:b/>
                <w:bCs/>
                <w:sz w:val="21"/>
                <w:szCs w:val="21"/>
              </w:rPr>
            </w:pPr>
          </w:p>
        </w:tc>
        <w:tc>
          <w:tcPr>
            <w:tcW w:w="1742" w:type="dxa"/>
            <w:vMerge w:val="continue"/>
          </w:tcPr>
          <w:p w14:paraId="4C0D9300">
            <w:pPr>
              <w:rPr>
                <w:rFonts w:hint="eastAsia"/>
                <w:b/>
                <w:bCs/>
                <w:sz w:val="21"/>
                <w:szCs w:val="21"/>
              </w:rPr>
            </w:pPr>
          </w:p>
        </w:tc>
        <w:tc>
          <w:tcPr>
            <w:tcW w:w="1743" w:type="dxa"/>
          </w:tcPr>
          <w:p w14:paraId="3FCD5465">
            <w:pPr>
              <w:rPr>
                <w:rFonts w:hint="eastAsia"/>
                <w:b/>
                <w:bCs/>
                <w:sz w:val="21"/>
                <w:szCs w:val="21"/>
              </w:rPr>
            </w:pPr>
            <w:r>
              <w:rPr>
                <w:rFonts w:hint="eastAsia"/>
                <w:b/>
                <w:bCs/>
                <w:sz w:val="21"/>
                <w:szCs w:val="21"/>
              </w:rPr>
              <w:t>组会日期</w:t>
            </w:r>
          </w:p>
        </w:tc>
        <w:tc>
          <w:tcPr>
            <w:tcW w:w="1743" w:type="dxa"/>
          </w:tcPr>
          <w:p w14:paraId="432B8806">
            <w:pPr>
              <w:rPr>
                <w:rFonts w:hint="default" w:eastAsia="宋体"/>
                <w:b/>
                <w:bCs/>
                <w:sz w:val="21"/>
                <w:szCs w:val="21"/>
                <w:lang w:val="en-US" w:eastAsia="zh-CN"/>
              </w:rPr>
            </w:pPr>
            <w:r>
              <w:rPr>
                <w:rFonts w:hint="eastAsia"/>
                <w:b/>
                <w:bCs/>
                <w:sz w:val="21"/>
                <w:szCs w:val="21"/>
                <w:lang w:val="en-US" w:eastAsia="zh-CN"/>
              </w:rPr>
              <w:t>2025.11.2</w:t>
            </w:r>
          </w:p>
        </w:tc>
        <w:tc>
          <w:tcPr>
            <w:tcW w:w="1743" w:type="dxa"/>
            <w:vMerge w:val="continue"/>
          </w:tcPr>
          <w:p w14:paraId="780E2624">
            <w:pPr>
              <w:rPr>
                <w:rFonts w:hint="eastAsia"/>
                <w:b/>
                <w:bCs/>
                <w:sz w:val="21"/>
                <w:szCs w:val="21"/>
              </w:rPr>
            </w:pPr>
          </w:p>
        </w:tc>
        <w:tc>
          <w:tcPr>
            <w:tcW w:w="1743" w:type="dxa"/>
            <w:vMerge w:val="continue"/>
          </w:tcPr>
          <w:p w14:paraId="51DA3CB8">
            <w:pPr>
              <w:rPr>
                <w:rFonts w:hint="eastAsia"/>
                <w:b/>
                <w:bCs/>
                <w:sz w:val="21"/>
                <w:szCs w:val="21"/>
              </w:rPr>
            </w:pPr>
          </w:p>
        </w:tc>
      </w:tr>
    </w:tbl>
    <w:p w14:paraId="4C7359F6">
      <w:pPr>
        <w:rPr>
          <w:rFonts w:hint="eastAsia"/>
          <w:b/>
          <w:bCs/>
          <w:sz w:val="21"/>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6BE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75CDA92">
            <w:pPr>
              <w:rPr>
                <w:rFonts w:hint="eastAsia"/>
                <w:b/>
                <w:bCs/>
                <w:sz w:val="21"/>
                <w:szCs w:val="21"/>
              </w:rPr>
            </w:pPr>
            <w:r>
              <w:rPr>
                <w:rFonts w:hint="eastAsia"/>
                <w:b/>
                <w:bCs/>
                <w:sz w:val="21"/>
                <w:szCs w:val="21"/>
              </w:rPr>
              <w:t>Issue 状态</w:t>
            </w:r>
          </w:p>
        </w:tc>
        <w:tc>
          <w:tcPr>
            <w:tcW w:w="8901" w:type="dxa"/>
          </w:tcPr>
          <w:p w14:paraId="2039FE7D">
            <w:pPr>
              <w:jc w:val="right"/>
              <w:rPr>
                <w:rFonts w:hint="eastAsia"/>
                <w:b/>
                <w:bCs/>
                <w:sz w:val="21"/>
                <w:szCs w:val="21"/>
              </w:rPr>
            </w:pPr>
            <w:r>
              <w:rPr>
                <w:rFonts w:hint="eastAsia"/>
                <w:b/>
                <w:bCs/>
                <w:color w:val="FFC000"/>
                <w:sz w:val="21"/>
                <w:szCs w:val="21"/>
              </w:rPr>
              <w:t>待讨论</w:t>
            </w:r>
          </w:p>
        </w:tc>
      </w:tr>
    </w:tbl>
    <w:p w14:paraId="7A6A0FC3">
      <w:pPr>
        <w:rPr>
          <w:b/>
          <w:bCs/>
          <w:sz w:val="21"/>
          <w:szCs w:val="21"/>
        </w:rPr>
      </w:pPr>
    </w:p>
    <w:p w14:paraId="187105DD">
      <w:pPr>
        <w:jc w:val="center"/>
        <w:rPr>
          <w:rFonts w:hint="eastAsia"/>
          <w:b/>
          <w:bCs/>
          <w:sz w:val="16"/>
          <w:szCs w:val="16"/>
        </w:rPr>
      </w:pPr>
      <w:r>
        <w:rPr>
          <w:rFonts w:hint="eastAsia"/>
          <w:b/>
          <w:bCs/>
          <w:sz w:val="16"/>
          <w:szCs w:val="16"/>
        </w:rPr>
        <w:t>NEUMCL代表Northeastern University Multimodal Control Laboratory，意为东北大学多模态控制实验室，是一个由东北大学未来技术学院本科生组成的科研团队，NEUMCL发表的任何观点均与东北大学无关，不代表东北大学官方观点。</w:t>
      </w:r>
      <w:r>
        <w:fldChar w:fldCharType="begin"/>
      </w:r>
      <w:r>
        <w:instrText xml:space="preserve"> HYPERLINK "https://github.com/NEUMCL" </w:instrText>
      </w:r>
      <w:r>
        <w:fldChar w:fldCharType="separate"/>
      </w:r>
      <w:r>
        <w:rPr>
          <w:rStyle w:val="22"/>
          <w:rFonts w:hint="eastAsia"/>
          <w:b/>
          <w:bCs/>
          <w:sz w:val="16"/>
          <w:szCs w:val="16"/>
        </w:rPr>
        <w:t>https://github.com/NEUMCL</w:t>
      </w:r>
      <w:r>
        <w:rPr>
          <w:rStyle w:val="22"/>
          <w:rFonts w:hint="eastAsia"/>
          <w:b/>
          <w:bCs/>
          <w:sz w:val="16"/>
          <w:szCs w:val="16"/>
        </w:rPr>
        <w:fldChar w:fldCharType="end"/>
      </w:r>
      <w:r>
        <w:rPr>
          <w:rFonts w:hint="eastAsia"/>
          <w:b/>
          <w:bCs/>
          <w:sz w:val="16"/>
          <w:szCs w:val="16"/>
        </w:rPr>
        <w:t xml:space="preserve"> </w:t>
      </w:r>
    </w:p>
    <w:p w14:paraId="16D882BC">
      <w:pPr>
        <w:rPr>
          <w:rFonts w:hint="eastAsia"/>
          <w:b/>
          <w:bCs/>
          <w:sz w:val="21"/>
          <w:szCs w:val="21"/>
        </w:rPr>
      </w:pPr>
    </w:p>
    <w:sectPr>
      <w:headerReference r:id="rId5" w:type="default"/>
      <w:footerReference r:id="rId6" w:type="default"/>
      <w:pgSz w:w="11906" w:h="16838"/>
      <w:pgMar w:top="1134"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41E8">
    <w:pPr>
      <w:pStyle w:val="12"/>
      <w:rPr>
        <w:rFonts w:hint="eastAsia"/>
      </w:rPr>
    </w:pPr>
    <w:r>
      <w:drawing>
        <wp:anchor distT="0" distB="0" distL="114300" distR="114300" simplePos="0" relativeHeight="251660288" behindDoc="0" locked="0" layoutInCell="1" allowOverlap="1">
          <wp:simplePos x="0" y="0"/>
          <wp:positionH relativeFrom="margin">
            <wp:align>right</wp:align>
          </wp:positionH>
          <wp:positionV relativeFrom="paragraph">
            <wp:posOffset>106680</wp:posOffset>
          </wp:positionV>
          <wp:extent cx="1156335" cy="311785"/>
          <wp:effectExtent l="0" t="0" r="6350" b="0"/>
          <wp:wrapNone/>
          <wp:docPr id="18329102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0238" name="图片 6"/>
                  <pic:cNvPicPr>
                    <a:picLocks noChangeAspect="1" noChangeArrowheads="1"/>
                  </pic:cNvPicPr>
                </pic:nvPicPr>
                <pic:blipFill>
                  <a:blip r:embed="rId1">
                    <a:extLst>
                      <a:ext uri="{28A0092B-C50C-407E-A947-70E740481C1C}">
                        <a14:useLocalDpi xmlns:a14="http://schemas.microsoft.com/office/drawing/2010/main" val="0"/>
                      </a:ext>
                    </a:extLst>
                  </a:blip>
                  <a:srcRect t="46659" b="3568"/>
                  <a:stretch>
                    <a:fillRect/>
                  </a:stretch>
                </pic:blipFill>
                <pic:spPr>
                  <a:xfrm>
                    <a:off x="0" y="0"/>
                    <a:ext cx="1156087" cy="311856"/>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C1E8C">
    <w:pPr>
      <w:pStyle w:val="13"/>
      <w:rPr>
        <w:rFonts w:hint="eastAsia"/>
      </w:rPr>
    </w:pPr>
    <w:r>
      <w:rPr>
        <w:rFonts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margin">
                <wp:posOffset>-159385</wp:posOffset>
              </wp:positionH>
              <wp:positionV relativeFrom="paragraph">
                <wp:posOffset>-306070</wp:posOffset>
              </wp:positionV>
              <wp:extent cx="6927850" cy="355600"/>
              <wp:effectExtent l="0" t="0" r="6350" b="6350"/>
              <wp:wrapNone/>
              <wp:docPr id="202164403" name="文本框 2"/>
              <wp:cNvGraphicFramePr/>
              <a:graphic xmlns:a="http://schemas.openxmlformats.org/drawingml/2006/main">
                <a:graphicData uri="http://schemas.microsoft.com/office/word/2010/wordprocessingShape">
                  <wps:wsp>
                    <wps:cNvSpPr txBox="1"/>
                    <wps:spPr>
                      <a:xfrm>
                        <a:off x="0" y="0"/>
                        <a:ext cx="6927850" cy="355600"/>
                      </a:xfrm>
                      <a:prstGeom prst="rect">
                        <a:avLst/>
                      </a:prstGeom>
                      <a:solidFill>
                        <a:schemeClr val="lt1"/>
                      </a:solidFill>
                      <a:ln w="6350">
                        <a:noFill/>
                      </a:ln>
                    </wps:spPr>
                    <wps:txb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2"/>
                              <w:rFonts w:hint="eastAsia"/>
                            </w:rPr>
                            <w:t>https://github.com/NEUMCL</w:t>
                          </w:r>
                          <w:r>
                            <w:rPr>
                              <w:rStyle w:val="22"/>
                              <w:rFonts w:hint="eastAsia"/>
                            </w:rPr>
                            <w:fldChar w:fldCharType="end"/>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12.55pt;margin-top:-24.1pt;height:28pt;width:545.5pt;mso-position-horizontal-relative:margin;z-index:251659264;mso-width-relative:page;mso-height-relative:page;" fillcolor="#FFFFFF [3201]" filled="t" stroked="f" coordsize="21600,21600" o:gfxdata="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U9N0tYAAAAK&#10;AQAADwAAAAAAAAABACAAAAAiAAAAZHJzL2Rvd25yZXYueG1sUEsBAhQAFAAAAAgAh07iQBv1qzpX&#10;AgAAjwQAAA4AAAAAAAAAAQAgAAAAJQEAAGRycy9lMm9Eb2MueG1sUEsFBgAAAAAGAAYAWQEAAO4F&#10;AAAAAA==&#10;">
              <v:fill on="t" focussize="0,0"/>
              <v:stroke on="f" weight="0.5pt"/>
              <v:imagedata o:title=""/>
              <o:lock v:ext="edit" aspectratio="f"/>
              <v:textbo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2"/>
                        <w:rFonts w:hint="eastAsia"/>
                      </w:rPr>
                      <w:t>https://github.com/NEUMCL</w:t>
                    </w:r>
                    <w:r>
                      <w:rPr>
                        <w:rStyle w:val="22"/>
                        <w:rFonts w:hint="eastAsia"/>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576CDF"/>
    <w:multiLevelType w:val="singleLevel"/>
    <w:tmpl w:val="BA576CDF"/>
    <w:lvl w:ilvl="0" w:tentative="0">
      <w:start w:val="1"/>
      <w:numFmt w:val="decimal"/>
      <w:lvlText w:val="%1."/>
      <w:lvlJc w:val="left"/>
      <w:pPr>
        <w:tabs>
          <w:tab w:val="left" w:pos="312"/>
        </w:tabs>
      </w:pPr>
    </w:lvl>
  </w:abstractNum>
  <w:abstractNum w:abstractNumId="1">
    <w:nsid w:val="352B7DF6"/>
    <w:multiLevelType w:val="multilevel"/>
    <w:tmpl w:val="352B7D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7E2D4736"/>
    <w:multiLevelType w:val="multilevel"/>
    <w:tmpl w:val="7E2D473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C3B"/>
    <w:rsid w:val="00242702"/>
    <w:rsid w:val="00247CDE"/>
    <w:rsid w:val="00256C3B"/>
    <w:rsid w:val="00352770"/>
    <w:rsid w:val="00432447"/>
    <w:rsid w:val="004E2940"/>
    <w:rsid w:val="00511639"/>
    <w:rsid w:val="00553ADB"/>
    <w:rsid w:val="00966229"/>
    <w:rsid w:val="00D10A4E"/>
    <w:rsid w:val="00E41B82"/>
    <w:rsid w:val="00EC339B"/>
    <w:rsid w:val="00F17323"/>
    <w:rsid w:val="07D12E52"/>
    <w:rsid w:val="11CB2C2B"/>
    <w:rsid w:val="3B7B50A8"/>
    <w:rsid w:val="628059AD"/>
    <w:rsid w:val="65AE4BFA"/>
    <w:rsid w:val="72815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宋体" w:hAnsi="宋体" w:eastAsia="宋体" w:cs="宋体"/>
      <w:kern w:val="0"/>
      <w:sz w:val="22"/>
      <w:szCs w:val="22"/>
      <w:lang w:val="en-US" w:eastAsia="zh-CN" w:bidi="ar-SA"/>
      <w14:ligatures w14:val="none"/>
    </w:rPr>
  </w:style>
  <w:style w:type="paragraph" w:styleId="2">
    <w:name w:val="heading 1"/>
    <w:basedOn w:val="1"/>
    <w:next w:val="1"/>
    <w:link w:val="23"/>
    <w:qFormat/>
    <w:uiPriority w:val="9"/>
    <w:pPr>
      <w:keepNext/>
      <w:keepLines/>
      <w:autoSpaceDE/>
      <w:autoSpaceDN/>
      <w:spacing w:before="480" w:after="80" w:line="278" w:lineRule="auto"/>
      <w:outlineLvl w:val="0"/>
    </w:pPr>
    <w:rPr>
      <w:rFonts w:asciiTheme="majorHAnsi" w:hAnsiTheme="majorHAnsi" w:eastAsiaTheme="majorEastAsia" w:cstheme="majorBidi"/>
      <w:color w:val="104862" w:themeColor="accent1" w:themeShade="BF"/>
      <w:kern w:val="2"/>
      <w:sz w:val="48"/>
      <w:szCs w:val="48"/>
      <w14:ligatures w14:val="standardContextual"/>
    </w:rPr>
  </w:style>
  <w:style w:type="paragraph" w:styleId="3">
    <w:name w:val="heading 2"/>
    <w:basedOn w:val="1"/>
    <w:next w:val="1"/>
    <w:link w:val="24"/>
    <w:semiHidden/>
    <w:unhideWhenUsed/>
    <w:qFormat/>
    <w:uiPriority w:val="9"/>
    <w:pPr>
      <w:keepNext/>
      <w:keepLines/>
      <w:autoSpaceDE/>
      <w:autoSpaceDN/>
      <w:spacing w:before="160" w:after="80" w:line="278" w:lineRule="auto"/>
      <w:outlineLvl w:val="1"/>
    </w:pPr>
    <w:rPr>
      <w:rFonts w:asciiTheme="majorHAnsi" w:hAnsiTheme="majorHAnsi" w:eastAsiaTheme="majorEastAsia" w:cstheme="majorBidi"/>
      <w:color w:val="104862" w:themeColor="accent1" w:themeShade="BF"/>
      <w:kern w:val="2"/>
      <w:sz w:val="40"/>
      <w:szCs w:val="40"/>
      <w14:ligatures w14:val="standardContextual"/>
    </w:rPr>
  </w:style>
  <w:style w:type="paragraph" w:styleId="4">
    <w:name w:val="heading 3"/>
    <w:basedOn w:val="1"/>
    <w:next w:val="1"/>
    <w:link w:val="25"/>
    <w:semiHidden/>
    <w:unhideWhenUsed/>
    <w:qFormat/>
    <w:uiPriority w:val="9"/>
    <w:pPr>
      <w:keepNext/>
      <w:keepLines/>
      <w:autoSpaceDE/>
      <w:autoSpaceDN/>
      <w:spacing w:before="160" w:after="80" w:line="278" w:lineRule="auto"/>
      <w:outlineLvl w:val="2"/>
    </w:pPr>
    <w:rPr>
      <w:rFonts w:asciiTheme="majorHAnsi" w:hAnsiTheme="majorHAnsi" w:eastAsiaTheme="majorEastAsia" w:cstheme="majorBidi"/>
      <w:color w:val="104862" w:themeColor="accent1" w:themeShade="BF"/>
      <w:kern w:val="2"/>
      <w:sz w:val="32"/>
      <w:szCs w:val="32"/>
      <w14:ligatures w14:val="standardContextual"/>
    </w:rPr>
  </w:style>
  <w:style w:type="paragraph" w:styleId="5">
    <w:name w:val="heading 4"/>
    <w:basedOn w:val="1"/>
    <w:next w:val="1"/>
    <w:link w:val="26"/>
    <w:semiHidden/>
    <w:unhideWhenUsed/>
    <w:qFormat/>
    <w:uiPriority w:val="9"/>
    <w:pPr>
      <w:keepNext/>
      <w:keepLines/>
      <w:autoSpaceDE/>
      <w:autoSpaceDN/>
      <w:spacing w:before="80" w:after="40" w:line="278" w:lineRule="auto"/>
      <w:outlineLvl w:val="3"/>
    </w:pPr>
    <w:rPr>
      <w:rFonts w:asciiTheme="minorHAnsi" w:hAnsiTheme="minorHAnsi" w:eastAsiaTheme="minorEastAsia" w:cstheme="majorBidi"/>
      <w:color w:val="104862" w:themeColor="accent1" w:themeShade="BF"/>
      <w:kern w:val="2"/>
      <w:sz w:val="28"/>
      <w:szCs w:val="28"/>
      <w14:ligatures w14:val="standardContextual"/>
    </w:rPr>
  </w:style>
  <w:style w:type="paragraph" w:styleId="6">
    <w:name w:val="heading 5"/>
    <w:basedOn w:val="1"/>
    <w:next w:val="1"/>
    <w:link w:val="27"/>
    <w:semiHidden/>
    <w:unhideWhenUsed/>
    <w:qFormat/>
    <w:uiPriority w:val="9"/>
    <w:pPr>
      <w:keepNext/>
      <w:keepLines/>
      <w:autoSpaceDE/>
      <w:autoSpaceDN/>
      <w:spacing w:before="80" w:after="40" w:line="278" w:lineRule="auto"/>
      <w:outlineLvl w:val="4"/>
    </w:pPr>
    <w:rPr>
      <w:rFonts w:asciiTheme="minorHAnsi" w:hAnsiTheme="minorHAnsi" w:eastAsiaTheme="minorEastAsia" w:cstheme="majorBidi"/>
      <w:color w:val="104862" w:themeColor="accent1" w:themeShade="BF"/>
      <w:kern w:val="2"/>
      <w:sz w:val="24"/>
      <w:szCs w:val="24"/>
      <w14:ligatures w14:val="standardContextual"/>
    </w:rPr>
  </w:style>
  <w:style w:type="paragraph" w:styleId="7">
    <w:name w:val="heading 6"/>
    <w:basedOn w:val="1"/>
    <w:next w:val="1"/>
    <w:link w:val="28"/>
    <w:semiHidden/>
    <w:unhideWhenUsed/>
    <w:qFormat/>
    <w:uiPriority w:val="9"/>
    <w:pPr>
      <w:keepNext/>
      <w:keepLines/>
      <w:autoSpaceDE/>
      <w:autoSpaceDN/>
      <w:spacing w:before="40" w:line="278" w:lineRule="auto"/>
      <w:outlineLvl w:val="5"/>
    </w:pPr>
    <w:rPr>
      <w:rFonts w:asciiTheme="minorHAnsi" w:hAnsiTheme="minorHAnsi" w:eastAsiaTheme="minorEastAsia" w:cstheme="majorBidi"/>
      <w:b/>
      <w:bCs/>
      <w:color w:val="104862" w:themeColor="accent1" w:themeShade="BF"/>
      <w:kern w:val="2"/>
      <w:szCs w:val="24"/>
      <w14:ligatures w14:val="standardContextual"/>
    </w:rPr>
  </w:style>
  <w:style w:type="paragraph" w:styleId="8">
    <w:name w:val="heading 7"/>
    <w:basedOn w:val="1"/>
    <w:next w:val="1"/>
    <w:link w:val="29"/>
    <w:semiHidden/>
    <w:unhideWhenUsed/>
    <w:qFormat/>
    <w:uiPriority w:val="9"/>
    <w:pPr>
      <w:keepNext/>
      <w:keepLines/>
      <w:autoSpaceDE/>
      <w:autoSpaceDN/>
      <w:spacing w:before="40" w:line="278" w:lineRule="auto"/>
      <w:outlineLvl w:val="6"/>
    </w:pPr>
    <w:rPr>
      <w:rFonts w:asciiTheme="minorHAnsi" w:hAnsiTheme="minorHAnsi" w:eastAsiaTheme="minorEastAsia" w:cstheme="majorBidi"/>
      <w:b/>
      <w:bCs/>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30"/>
    <w:semiHidden/>
    <w:unhideWhenUsed/>
    <w:qFormat/>
    <w:uiPriority w:val="9"/>
    <w:pPr>
      <w:keepNext/>
      <w:keepLines/>
      <w:autoSpaceDE/>
      <w:autoSpaceDN/>
      <w:spacing w:line="278" w:lineRule="auto"/>
      <w:outlineLvl w:val="7"/>
    </w:pPr>
    <w:rPr>
      <w:rFonts w:asciiTheme="minorHAnsi" w:hAnsiTheme="minorHAnsi" w:eastAsiaTheme="min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31"/>
    <w:semiHidden/>
    <w:unhideWhenUsed/>
    <w:qFormat/>
    <w:uiPriority w:val="9"/>
    <w:pPr>
      <w:keepNext/>
      <w:keepLines/>
      <w:autoSpaceDE/>
      <w:autoSpaceDN/>
      <w:spacing w:line="278" w:lineRule="auto"/>
      <w:outlineLvl w:val="8"/>
    </w:pPr>
    <w:rPr>
      <w:rFonts w:asciiTheme="minorHAnsi" w:hAnsiTheme="minorHAnsi" w:eastAsiaTheme="maj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endnote text"/>
    <w:basedOn w:val="1"/>
    <w:link w:val="43"/>
    <w:semiHidden/>
    <w:unhideWhenUsed/>
    <w:qFormat/>
    <w:uiPriority w:val="99"/>
    <w:pPr>
      <w:snapToGrid w:val="0"/>
    </w:pPr>
  </w:style>
  <w:style w:type="paragraph" w:styleId="12">
    <w:name w:val="footer"/>
    <w:basedOn w:val="1"/>
    <w:link w:val="42"/>
    <w:unhideWhenUsed/>
    <w:qFormat/>
    <w:uiPriority w:val="99"/>
    <w:pPr>
      <w:tabs>
        <w:tab w:val="center" w:pos="4153"/>
        <w:tab w:val="right" w:pos="8306"/>
      </w:tabs>
      <w:autoSpaceDE/>
      <w:autoSpaceDN/>
      <w:snapToGrid w:val="0"/>
      <w:spacing w:after="160"/>
    </w:pPr>
    <w:rPr>
      <w:rFonts w:asciiTheme="minorHAnsi" w:hAnsiTheme="minorHAnsi" w:eastAsiaTheme="minorEastAsia" w:cstheme="minorBidi"/>
      <w:kern w:val="2"/>
      <w:sz w:val="18"/>
      <w:szCs w:val="18"/>
      <w14:ligatures w14:val="standardContextual"/>
    </w:rPr>
  </w:style>
  <w:style w:type="paragraph" w:styleId="13">
    <w:name w:val="header"/>
    <w:basedOn w:val="1"/>
    <w:link w:val="41"/>
    <w:unhideWhenUsed/>
    <w:qFormat/>
    <w:uiPriority w:val="99"/>
    <w:pPr>
      <w:tabs>
        <w:tab w:val="center" w:pos="4153"/>
        <w:tab w:val="right" w:pos="8306"/>
      </w:tabs>
      <w:autoSpaceDE/>
      <w:autoSpaceDN/>
      <w:snapToGrid w:val="0"/>
      <w:spacing w:after="160"/>
      <w:jc w:val="center"/>
    </w:pPr>
    <w:rPr>
      <w:rFonts w:asciiTheme="minorHAnsi" w:hAnsiTheme="minorHAnsi" w:eastAsiaTheme="minorEastAsia" w:cstheme="minorBidi"/>
      <w:kern w:val="2"/>
      <w:sz w:val="18"/>
      <w:szCs w:val="18"/>
      <w14:ligatures w14:val="standardContextual"/>
    </w:rPr>
  </w:style>
  <w:style w:type="paragraph" w:styleId="14">
    <w:name w:val="Subtitle"/>
    <w:basedOn w:val="1"/>
    <w:next w:val="1"/>
    <w:link w:val="33"/>
    <w:qFormat/>
    <w:uiPriority w:val="11"/>
    <w:pPr>
      <w:autoSpaceDE/>
      <w:autoSpaceDN/>
      <w:spacing w:after="160" w:line="278" w:lineRule="auto"/>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Normal (Web)"/>
    <w:basedOn w:val="1"/>
    <w:semiHidden/>
    <w:unhideWhenUsed/>
    <w:qFormat/>
    <w:uiPriority w:val="99"/>
    <w:rPr>
      <w:sz w:val="24"/>
    </w:rPr>
  </w:style>
  <w:style w:type="paragraph" w:styleId="16">
    <w:name w:val="Title"/>
    <w:basedOn w:val="1"/>
    <w:next w:val="1"/>
    <w:link w:val="32"/>
    <w:qFormat/>
    <w:uiPriority w:val="10"/>
    <w:pPr>
      <w:autoSpaceDE/>
      <w:autoSpaceDN/>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8">
    <w:name w:val="Table Grid"/>
    <w:basedOn w:val="1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endnote reference"/>
    <w:basedOn w:val="19"/>
    <w:semiHidden/>
    <w:unhideWhenUsed/>
    <w:qFormat/>
    <w:uiPriority w:val="99"/>
    <w:rPr>
      <w:vertAlign w:val="superscript"/>
    </w:rPr>
  </w:style>
  <w:style w:type="character" w:styleId="22">
    <w:name w:val="Hyperlink"/>
    <w:basedOn w:val="19"/>
    <w:unhideWhenUsed/>
    <w:qFormat/>
    <w:uiPriority w:val="99"/>
    <w:rPr>
      <w:color w:val="467886" w:themeColor="hyperlink"/>
      <w:u w:val="single"/>
      <w14:textFill>
        <w14:solidFill>
          <w14:schemeClr w14:val="hlink"/>
        </w14:solidFill>
      </w14:textFill>
    </w:rPr>
  </w:style>
  <w:style w:type="character" w:customStyle="1" w:styleId="23">
    <w:name w:val="标题 1 字符"/>
    <w:basedOn w:val="19"/>
    <w:link w:val="2"/>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19"/>
    <w:link w:val="5"/>
    <w:semiHidden/>
    <w:qFormat/>
    <w:uiPriority w:val="9"/>
    <w:rPr>
      <w:rFonts w:cstheme="majorBidi"/>
      <w:color w:val="104862" w:themeColor="accent1" w:themeShade="BF"/>
      <w:sz w:val="28"/>
      <w:szCs w:val="28"/>
    </w:rPr>
  </w:style>
  <w:style w:type="character" w:customStyle="1" w:styleId="27">
    <w:name w:val="标题 5 字符"/>
    <w:basedOn w:val="19"/>
    <w:link w:val="6"/>
    <w:semiHidden/>
    <w:qFormat/>
    <w:uiPriority w:val="9"/>
    <w:rPr>
      <w:rFonts w:cstheme="majorBidi"/>
      <w:color w:val="104862" w:themeColor="accent1" w:themeShade="BF"/>
      <w:sz w:val="24"/>
    </w:rPr>
  </w:style>
  <w:style w:type="character" w:customStyle="1" w:styleId="28">
    <w:name w:val="标题 6 字符"/>
    <w:basedOn w:val="19"/>
    <w:link w:val="7"/>
    <w:semiHidden/>
    <w:qFormat/>
    <w:uiPriority w:val="9"/>
    <w:rPr>
      <w:rFonts w:cstheme="majorBidi"/>
      <w:b/>
      <w:bCs/>
      <w:color w:val="104862" w:themeColor="accent1" w:themeShade="BF"/>
    </w:rPr>
  </w:style>
  <w:style w:type="character" w:customStyle="1" w:styleId="29">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autoSpaceDE/>
      <w:autoSpaceDN/>
      <w:spacing w:before="160" w:after="160" w:line="278" w:lineRule="auto"/>
      <w:jc w:val="center"/>
    </w:pPr>
    <w:rPr>
      <w:rFonts w:asciiTheme="minorHAnsi" w:hAnsiTheme="minorHAnsi" w:eastAsiaTheme="minorEastAsia" w:cstheme="minorBidi"/>
      <w:i/>
      <w:iCs/>
      <w:color w:val="404040" w:themeColor="text1" w:themeTint="BF"/>
      <w:kern w:val="2"/>
      <w:szCs w:val="24"/>
      <w14:textFill>
        <w14:solidFill>
          <w14:schemeClr w14:val="tx1">
            <w14:lumMod w14:val="75000"/>
            <w14:lumOff w14:val="25000"/>
          </w14:schemeClr>
        </w14:solidFill>
      </w14:textFill>
      <w14:ligatures w14:val="standardContextual"/>
    </w:rPr>
  </w:style>
  <w:style w:type="character" w:customStyle="1" w:styleId="35">
    <w:name w:val="引用 字符"/>
    <w:basedOn w:val="19"/>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autoSpaceDE/>
      <w:autoSpaceDN/>
      <w:spacing w:after="160" w:line="278" w:lineRule="auto"/>
      <w:ind w:left="720"/>
      <w:contextualSpacing/>
    </w:pPr>
    <w:rPr>
      <w:rFonts w:asciiTheme="minorHAnsi" w:hAnsiTheme="minorHAnsi" w:eastAsiaTheme="minorEastAsia" w:cstheme="minorBidi"/>
      <w:kern w:val="2"/>
      <w:szCs w:val="24"/>
      <w14:ligatures w14:val="standardContextual"/>
    </w:rPr>
  </w:style>
  <w:style w:type="character" w:customStyle="1" w:styleId="37">
    <w:name w:val="Intense Emphasis"/>
    <w:basedOn w:val="19"/>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autoSpaceDE/>
      <w:autoSpaceDN/>
      <w:spacing w:before="360" w:after="360" w:line="278" w:lineRule="auto"/>
      <w:ind w:left="864" w:right="864"/>
      <w:jc w:val="center"/>
    </w:pPr>
    <w:rPr>
      <w:rFonts w:asciiTheme="minorHAnsi" w:hAnsiTheme="minorHAnsi" w:eastAsiaTheme="minorEastAsia" w:cstheme="minorBidi"/>
      <w:i/>
      <w:iCs/>
      <w:color w:val="104862" w:themeColor="accent1" w:themeShade="BF"/>
      <w:kern w:val="2"/>
      <w:szCs w:val="24"/>
      <w14:ligatures w14:val="standardContextual"/>
    </w:rPr>
  </w:style>
  <w:style w:type="character" w:customStyle="1" w:styleId="39">
    <w:name w:val="明显引用 字符"/>
    <w:basedOn w:val="19"/>
    <w:link w:val="38"/>
    <w:qFormat/>
    <w:uiPriority w:val="30"/>
    <w:rPr>
      <w:i/>
      <w:iCs/>
      <w:color w:val="104862" w:themeColor="accent1" w:themeShade="BF"/>
    </w:rPr>
  </w:style>
  <w:style w:type="character" w:customStyle="1" w:styleId="40">
    <w:name w:val="Intense Reference"/>
    <w:basedOn w:val="19"/>
    <w:qFormat/>
    <w:uiPriority w:val="32"/>
    <w:rPr>
      <w:b/>
      <w:bCs/>
      <w:smallCaps/>
      <w:color w:val="104862" w:themeColor="accent1" w:themeShade="BF"/>
      <w:spacing w:val="5"/>
    </w:rPr>
  </w:style>
  <w:style w:type="character" w:customStyle="1" w:styleId="41">
    <w:name w:val="页眉 字符"/>
    <w:basedOn w:val="19"/>
    <w:link w:val="13"/>
    <w:qFormat/>
    <w:uiPriority w:val="99"/>
    <w:rPr>
      <w:sz w:val="18"/>
      <w:szCs w:val="18"/>
    </w:rPr>
  </w:style>
  <w:style w:type="character" w:customStyle="1" w:styleId="42">
    <w:name w:val="页脚 字符"/>
    <w:basedOn w:val="19"/>
    <w:link w:val="12"/>
    <w:qFormat/>
    <w:uiPriority w:val="99"/>
    <w:rPr>
      <w:sz w:val="18"/>
      <w:szCs w:val="18"/>
    </w:rPr>
  </w:style>
  <w:style w:type="character" w:customStyle="1" w:styleId="43">
    <w:name w:val="尾注文本 字符"/>
    <w:basedOn w:val="19"/>
    <w:link w:val="11"/>
    <w:semiHidden/>
    <w:qFormat/>
    <w:uiPriority w:val="99"/>
    <w:rPr>
      <w:rFonts w:ascii="宋体" w:hAnsi="宋体" w:eastAsia="宋体" w:cs="宋体"/>
      <w:kern w:val="0"/>
      <w:szCs w:val="22"/>
      <w14:ligatures w14:val="none"/>
    </w:rPr>
  </w:style>
  <w:style w:type="character" w:customStyle="1" w:styleId="44">
    <w:name w:val="Unresolved Mention"/>
    <w:basedOn w:val="19"/>
    <w:semiHidden/>
    <w:unhideWhenUsed/>
    <w:qFormat/>
    <w:uiPriority w:val="99"/>
    <w:rPr>
      <w:color w:val="605E5C"/>
      <w:shd w:val="clear" w:color="auto" w:fill="E1DFDD"/>
    </w:rPr>
  </w:style>
  <w:style w:type="paragraph" w:customStyle="1" w:styleId="4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8D5F55-02E0-43ED-A600-D0268A57F42F}">
  <ds:schemaRefs/>
</ds:datastoreItem>
</file>

<file path=docProps/app.xml><?xml version="1.0" encoding="utf-8"?>
<Properties xmlns="http://schemas.openxmlformats.org/officeDocument/2006/extended-properties" xmlns:vt="http://schemas.openxmlformats.org/officeDocument/2006/docPropsVTypes">
  <Template>Normal.dotm</Template>
  <Pages>4</Pages>
  <Words>3035</Words>
  <Characters>3296</Characters>
  <Lines>3</Lines>
  <Paragraphs>1</Paragraphs>
  <TotalTime>4</TotalTime>
  <ScaleCrop>false</ScaleCrop>
  <LinksUpToDate>false</LinksUpToDate>
  <CharactersWithSpaces>3381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2025-10-31T06:59:00Z</dcterms:created>
  <dc:creator>Haoze Li</dc:creator>
  <cp:lastModifiedBy>WPS_1752238828</cp:lastModifiedBy>
  <dcterms:modified xsi:type="dcterms:W3CDTF">2025-11-02T01:20:08Z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eyJoZGlkIjoiNjkxYTNmM2IwYjY4MjA2MjlhMTQ0YWU5YjVjZDk0NmQiLCJ1c2VySWQiOiIxNzE5MDExMjk2In0=</vt:lpwstr>
  </property>
  <property fmtid="{D5CDD505-2E9C-101B-9397-08002B2CF9AE}" pid="3" name="KSOProductBuildVer">
    <vt:lpwstr>2052-12.1.0.23542</vt:lpwstr>
  </property>
  <property fmtid="{D5CDD505-2E9C-101B-9397-08002B2CF9AE}" pid="4" name="ICV">
    <vt:lpwstr>2C393640DC7E49C7BAC4BBF9D4522FA9_13</vt:lpwstr>
  </property>
</Properties>
</file>