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Arial" w:eastAsia="黑体" w:hAnsi="Arial"/>
          <w:b/>
          <w:bCs/>
          <w:sz w:val="40"/>
          <w:szCs w:val="40"/>
        </w:rPr>
        <w:t xml:space="preserve">最小差异法位置参数估计中的 offset-root 无解现象</w:t>
      </w:r>
    </w:p>
    <w:p>
      <w:pPr>
        <w:spacing w:after="200"/>
        <w:jc w:val="center"/>
      </w:pPr>
      <w:r>
        <w:rPr>
          <w:rFonts w:ascii="Arial" w:eastAsia="黑体" w:hAnsi="Arial"/>
          <w:b/>
          <w:bCs/>
          <w:sz w:val="30"/>
          <w:szCs w:val="30"/>
        </w:rPr>
        <w:t xml:space="preserve">成因辨析、机理证明与搜索策略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三参数威布尔分布 · 严格 offset-root 判据 · 蒙特卡洛复核与解析机理</w:t>
      </w:r>
    </w:p>
    <w:p>
      <w:pPr>
        <w:spacing w:after="240"/>
        <w:jc w:val="center"/>
      </w:pPr>
      <w:r>
        <w:rPr>
          <w:color w:val="888888"/>
          <w:sz w:val="18"/>
          <w:szCs w:val="18"/>
        </w:rPr>
        <w:t xml:space="preserve">（数值结果经独立重实现复核；图表均为中文重制）</w:t>
      </w:r>
    </w:p>
    <w:p>
      <w:pPr>
        <w:pBdr>
          <w:bottom w:val="single" w:color="2E5E8C" w:sz="6" w:space="2"/>
        </w:pBdr>
        <w:spacing w:after="100" w:before="80"/>
      </w:pPr>
      <w:r>
        <w:rPr>
          <w:rFonts w:ascii="Arial" w:eastAsia="黑体" w:hAnsi="Arial"/>
          <w:b/>
          <w:bCs/>
          <w:sz w:val="24"/>
          <w:szCs w:val="24"/>
        </w:rPr>
        <w:t xml:space="preserve">摘　要</w:t>
      </w:r>
    </w:p>
    <w:p>
      <w:pPr>
        <w:spacing w:after="120" w:line="312" w:lineRule="auto"/>
        <w:jc w:val="both"/>
      </w:pPr>
      <w:r>
        <w:rPr>
          <w:b/>
          <w:bCs/>
        </w:rPr>
        <w:t xml:space="preserve">背景与动机。</w:t>
      </w:r>
      <w:r>
        <w:t xml:space="preserve">三参数威布尔分布的位置参数 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 难以稳健估计：极大似然在 </w:t>
      </w:r>
      <w:r>
        <w:rPr>
          <w:i/>
          <w:iCs/>
        </w:rPr>
        <w:t xml:space="preserve">γ</w:t>
      </w:r>
      <w:r>
        <w:t xml:space="preserve">→</w:t>
      </w:r>
      <w:r>
        <w:rPr>
          <w:i/>
          <w:iCs/>
        </w:rPr>
        <w:t xml:space="preserve">t</w:t>
      </w:r>
      <w:r>
        <w:rPr>
          <w:vertAlign w:val="subscript"/>
        </w:rPr>
        <w:t xml:space="preserve">(1)</w:t>
      </w:r>
      <w:r>
        <w:t xml:space="preserve"> 处似然无界，常出现发散或退化。谢里阳等提出的最小差异法（MDM）以伪尺度估计量的离散程度为目标，并用带偏置 offset=0.1 的极值判据定位 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，以回避边界退化。本报告记录了我们尝试采用该方法时遇到的一个现象及其追因过程。</w:t>
      </w:r>
    </w:p>
    <w:p>
      <w:pPr>
        <w:spacing w:after="120" w:line="312" w:lineRule="auto"/>
        <w:jc w:val="both"/>
      </w:pPr>
      <w:r>
        <w:rPr>
          <w:b/>
          <w:bCs/>
        </w:rPr>
        <w:t xml:space="preserve">发现。</w:t>
      </w:r>
      <w:r>
        <w:t xml:space="preserve">我们按原文实现 MDM，为简便起见采用 Bernard 中位秩与两段均匀网格搜索，并做蒙特卡洛评估。结果发现：在部分样本上，程序在定义域内</w:t>
      </w:r>
      <w:r>
        <w:rPr>
          <w:b/>
          <w:bCs/>
        </w:rPr>
        <w:t xml:space="preserve">找不到 offset-root 交点</w:t>
      </w:r>
      <w:r>
        <w:t xml:space="preserve">。这与原文“不需要求解方程、不会出现无解”的表述初看矛盾，促使我们逐一排查：是程序缺陷、网格过粗、Bernard 替换，还是判据在有界域上的固有性质？</w:t>
      </w:r>
    </w:p>
    <w:p>
      <w:pPr>
        <w:spacing w:after="120" w:line="312" w:lineRule="auto"/>
        <w:jc w:val="both"/>
      </w:pPr>
      <w:r>
        <w:rPr>
          <w:b/>
          <w:bCs/>
        </w:rPr>
        <w:t xml:space="preserve">结论。</w:t>
      </w:r>
      <w:r>
        <w:t xml:space="preserve">无解分两类。其一为</w:t>
      </w:r>
      <w:r>
        <w:rPr>
          <w:b/>
          <w:bCs/>
        </w:rPr>
        <w:t xml:space="preserve">数值漏检</w:t>
      </w:r>
      <w:r>
        <w:t xml:space="preserve">：真实交点贴近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、梯度陡峭，粗均匀网格未能分辨，随步长加密而消失。其二为</w:t>
      </w:r>
      <w:r>
        <w:rPr>
          <w:b/>
          <w:bCs/>
        </w:rPr>
        <w:t xml:space="preserve">真无解</w:t>
      </w:r>
      <w:r>
        <w:t xml:space="preserve">：高分辨率基准在域内亦无交点。我们用一个真实样本给出完整反例，并证明其机理——伪尺度方差 </w:t>
      </w:r>
      <w:r>
        <w:rPr>
          <w:i/>
          <w:iCs/>
        </w:rPr>
        <w:t xml:space="preserve">σ</w:t>
      </w:r>
      <w:r>
        <w:rPr>
          <w:vertAlign w:val="superscript"/>
        </w:rPr>
        <w:t xml:space="preserve">2</w:t>
      </w:r>
      <w:r>
        <w:t xml:space="preserve"> 是 </w:t>
      </w:r>
      <w:r>
        <w:rPr>
          <w:i/>
          <w:iCs/>
        </w:rPr>
        <w:t xml:space="preserve">γ</w:t>
      </w:r>
      <w:r>
        <w:t xml:space="preserve"> 的上开口二次函数，当其顶点落在定义域 [0,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) 之外（位移比 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/</w:t>
      </w:r>
      <w:r>
        <w:rPr>
          <w:i/>
          <w:iCs/>
        </w:rPr>
        <w:t xml:space="preserve">η</w:t>
      </w:r>
      <w:r>
        <w:t xml:space="preserve"> 偏小时尤甚），域内仅余“上升臂”，廓线梯度 </w:t>
      </w:r>
      <w:r>
        <w:rPr>
          <w:i/>
          <w:iCs/>
        </w:rPr>
        <w:t xml:space="preserve">g</w:t>
      </w:r>
      <w:r>
        <w:t xml:space="preserve">(</w:t>
      </w:r>
      <w:r>
        <w:rPr>
          <w:i/>
          <w:iCs/>
        </w:rPr>
        <w:t xml:space="preserve">γ</w:t>
      </w:r>
      <w:r>
        <w:t xml:space="preserve">)</w:t>
      </w:r>
      <w:r>
        <w:t xml:space="preserve"> 全程贴近判别量 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t xml:space="preserve"> 而远高于 offset，于是不存在内部 offset-root。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t xml:space="preserve"> 在所考察的 </w:t>
      </w:r>
      <w:r>
        <w:rPr>
          <w:i/>
          <w:iCs/>
        </w:rPr>
        <w:t xml:space="preserve">β</w:t>
      </w:r>
      <w:r>
        <w:t xml:space="preserve">、</w:t>
      </w:r>
      <w:r>
        <w:rPr>
          <w:i/>
          <w:iCs/>
        </w:rPr>
        <w:t xml:space="preserve">n</w:t>
      </w:r>
      <w:r>
        <w:t xml:space="preserve"> 全范围内均 ≫ 0.1，这从机理上解释了真无解的产生。</w:t>
      </w:r>
    </w:p>
    <w:p>
      <w:pPr>
        <w:spacing w:after="120" w:line="312" w:lineRule="auto"/>
        <w:jc w:val="both"/>
      </w:pPr>
      <w:r>
        <w:rPr>
          <w:b/>
          <w:bCs/>
        </w:rPr>
        <w:t xml:space="preserve">实践要点。</w:t>
      </w:r>
      <w:r>
        <w:t xml:space="preserve">向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 几何加密的网格只需约 30 次函数评估即可恢复几乎全部可解样本（单段均匀网格 2000 点仅约 59%）。真无解应触发</w:t>
      </w:r>
      <w:r>
        <w:rPr>
          <w:b/>
          <w:bCs/>
        </w:rPr>
        <w:t xml:space="preserve">结构化诊断与回退规则</w:t>
      </w:r>
      <w:r>
        <w:t xml:space="preserve">，而非简单判为“估计失败”。需强调：真无解指该样本不存在严格 offset-root 内点解，</w:t>
      </w:r>
      <w:r>
        <w:rPr>
          <w:b/>
          <w:bCs/>
        </w:rPr>
        <w:t xml:space="preserve">并不意味着 MDM 无法估计 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；它与原文“无需解方程”的论断并行不悖——后者指方法不依赖方程求解、不会发散，前者指有界域上偏置判据的一个可精确刻画的几何性质。</w:t>
      </w:r>
    </w:p>
    <w:p>
      <w:pPr>
        <w:spacing w:after="120" w:line="312" w:lineRule="auto"/>
        <w:jc w:val="both"/>
      </w:pPr>
      <w:r>
        <w:rPr>
          <w:b/>
          <w:bCs/>
        </w:rPr>
        <w:t xml:space="preserve">关键词：</w:t>
      </w:r>
      <w:r>
        <w:t xml:space="preserve">三参数威布尔分布；位置参数估计；最小差异法；offset-root 判据；无解机理；蒙特卡洛；网格搜索</w:t>
      </w:r>
    </w:p>
    <w:p>
      <w:r>
        <w:br w:type="page"/>
      </w:r>
    </w:p>
    <w:p>
      <w:pPr>
        <w:spacing w:after="80"/>
      </w:pPr>
      <w:r>
        <w:rPr>
          <w:rFonts w:ascii="Arial" w:eastAsia="黑体" w:hAnsi="Arial"/>
          <w:b/>
          <w:bCs/>
          <w:sz w:val="26"/>
          <w:szCs w:val="26"/>
        </w:rPr>
        <w:t xml:space="preserve">目　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260"/>
      </w:pPr>
      <w:r>
        <w:t xml:space="preserve">1　引言：一次方法尝试中的意外</w:t>
      </w:r>
    </w:p>
    <w:p>
      <w:pPr>
        <w:spacing w:after="120" w:line="312" w:lineRule="auto"/>
        <w:ind w:firstLine="420"/>
        <w:jc w:val="both"/>
      </w:pPr>
      <w:r>
        <w:t xml:space="preserve">三参数威布尔分布的累积分布函数为 </w:t>
      </w:r>
      <w:r>
        <w:rPr>
          <w:i/>
          <w:iCs/>
        </w:rPr>
        <w:t xml:space="preserve">F</w:t>
      </w:r>
      <w:r>
        <w:t xml:space="preserve">(</w:t>
      </w:r>
      <w:r>
        <w:rPr>
          <w:i/>
          <w:iCs/>
        </w:rPr>
        <w:t xml:space="preserve">t</w:t>
      </w:r>
      <w:r>
        <w:t xml:space="preserve">)=1−exp{−[(</w:t>
      </w:r>
      <w:r>
        <w:rPr>
          <w:i/>
          <w:iCs/>
        </w:rPr>
        <w:t xml:space="preserve">t</w:t>
      </w:r>
      <w:r>
        <w:t xml:space="preserve">−</w:t>
      </w:r>
      <w:r>
        <w:rPr>
          <w:i/>
          <w:iCs/>
        </w:rPr>
        <w:t xml:space="preserve">γ</w:t>
      </w:r>
      <w:r>
        <w:t xml:space="preserve">)/</w:t>
      </w:r>
      <w:r>
        <w:rPr>
          <w:i/>
          <w:iCs/>
        </w:rPr>
        <w:t xml:space="preserve">η</w:t>
      </w:r>
      <w:r>
        <w:t xml:space="preserve">]</w:t>
      </w:r>
      <w:r>
        <w:rPr>
          <w:vertAlign w:val="superscript"/>
        </w:rPr>
        <w:t xml:space="preserve">β</w:t>
      </w:r>
      <w:r>
        <w:t xml:space="preserve">}</w:t>
      </w:r>
      <w:r>
        <w:t xml:space="preserve">（</w:t>
      </w:r>
      <w:r>
        <w:rPr>
          <w:i/>
          <w:iCs/>
        </w:rPr>
        <w:t xml:space="preserve">t</w:t>
      </w:r>
      <w:r>
        <w:t xml:space="preserve">≥</w:t>
      </w:r>
      <w:r>
        <w:rPr>
          <w:i/>
          <w:iCs/>
        </w:rPr>
        <w:t xml:space="preserve">γ</w:t>
      </w:r>
      <w:r>
        <w:t xml:space="preserve">），其中 </w:t>
      </w:r>
      <w:r>
        <w:rPr>
          <w:i/>
          <w:iCs/>
        </w:rPr>
        <w:t xml:space="preserve">γ</w:t>
      </w:r>
      <w:r>
        <w:t xml:space="preserve"> 为位置（阈值）参数，</w:t>
      </w:r>
      <w:r>
        <w:rPr>
          <w:i/>
          <w:iCs/>
        </w:rPr>
        <w:t xml:space="preserve">η</w:t>
      </w:r>
      <w:r>
        <w:t xml:space="preserve"> 为尺度，</w:t>
      </w:r>
      <w:r>
        <w:rPr>
          <w:i/>
          <w:iCs/>
        </w:rPr>
        <w:t xml:space="preserve">β</w:t>
      </w:r>
      <w:r>
        <w:t xml:space="preserve"> 为形状。位置参数的估计历来困难：当 </w:t>
      </w:r>
      <w:r>
        <w:rPr>
          <w:i/>
          <w:iCs/>
        </w:rPr>
        <w:t xml:space="preserve">γ</w:t>
      </w:r>
      <w:r>
        <w:t xml:space="preserve">→</w:t>
      </w:r>
      <w:r>
        <w:rPr>
          <w:i/>
          <w:iCs/>
        </w:rPr>
        <w:t xml:space="preserve">t</w:t>
      </w:r>
      <w:r>
        <w:rPr>
          <w:vertAlign w:val="subscript"/>
        </w:rPr>
        <w:t xml:space="preserve">(1)</w:t>
      </w:r>
      <w:r>
        <w:t xml:space="preserve"> 时极大似然函数趋于无界，数值上常表现为发散、对初值敏感或落入退化解，这是该模型长期被研究的痛点之一。</w:t>
      </w:r>
    </w:p>
    <w:p>
      <w:pPr>
        <w:spacing w:after="120" w:line="312" w:lineRule="auto"/>
        <w:ind w:firstLine="420"/>
        <w:jc w:val="both"/>
      </w:pPr>
      <w:r>
        <w:t xml:space="preserve">谢里阳等提出的最小差异法（Minimum Discrepancy Method, MDM）给出了一条不同的路径。其核心是构造一个</w:t>
      </w:r>
      <w:r>
        <w:rPr>
          <w:b/>
          <w:bCs/>
        </w:rPr>
        <w:t xml:space="preserve">伪尺度估计量</w:t>
      </w:r>
      <w:r>
        <w:t xml:space="preserve">：在给定 </w:t>
      </w:r>
      <w:r>
        <w:rPr>
          <w:i/>
          <w:iCs/>
        </w:rPr>
        <w:t xml:space="preserve">β</w:t>
      </w:r>
      <w:r>
        <w:t xml:space="preserve">、</w:t>
      </w:r>
      <w:r>
        <w:rPr>
          <w:i/>
          <w:iCs/>
        </w:rPr>
        <w:t xml:space="preserve">γ</w:t>
      </w:r>
      <w:r>
        <w:t xml:space="preserve"> 下，由每个次序统计量反解出一个尺度量 </w:t>
      </w:r>
      <w:r>
        <w:rPr>
          <w:i/>
          <w:iCs/>
        </w:rPr>
        <w:t xml:space="preserve">η̂</w:t>
      </w:r>
      <w:r>
        <w:rPr>
          <w:vertAlign w:val="subscript"/>
        </w:rPr>
        <w:t xml:space="preserve">i</w:t>
      </w:r>
      <w:r>
        <w:t xml:space="preserve">=(</w:t>
      </w:r>
      <w:r>
        <w:rPr>
          <w:i/>
          <w:iCs/>
        </w:rPr>
        <w:t xml:space="preserve">t</w:t>
      </w:r>
      <w:r>
        <w:rPr>
          <w:vertAlign w:val="subscript"/>
        </w:rPr>
        <w:t xml:space="preserve">(i)</w:t>
      </w:r>
      <w:r>
        <w:t xml:space="preserve">−</w:t>
      </w:r>
      <w:r>
        <w:rPr>
          <w:i/>
          <w:iCs/>
        </w:rPr>
        <w:t xml:space="preserve">γ</w:t>
      </w:r>
      <w:r>
        <w:t xml:space="preserve">)/[−ln(1−</w:t>
      </w:r>
      <w:r>
        <w:rPr>
          <w:i/>
          <w:iCs/>
        </w:rPr>
        <w:t xml:space="preserve">F̂</w:t>
      </w:r>
      <w:r>
        <w:t xml:space="preserve">(</w:t>
      </w:r>
      <w:r>
        <w:rPr>
          <w:i/>
          <w:iCs/>
        </w:rPr>
        <w:t xml:space="preserve">t</w:t>
      </w:r>
      <w:r>
        <w:rPr>
          <w:vertAlign w:val="subscript"/>
        </w:rPr>
        <w:t xml:space="preserve">(i)</w:t>
      </w:r>
      <w:r>
        <w:t xml:space="preserve">))]</w:t>
      </w:r>
      <w:r>
        <w:rPr>
          <w:vertAlign w:val="superscript"/>
        </w:rPr>
        <w:t xml:space="preserve">1/β</w:t>
      </w:r>
      <w:r>
        <w:t xml:space="preserve">。当 </w:t>
      </w:r>
      <w:r>
        <w:rPr>
          <w:i/>
          <w:iCs/>
        </w:rPr>
        <w:t xml:space="preserve">β</w:t>
      </w:r>
      <w:r>
        <w:t xml:space="preserve">、</w:t>
      </w:r>
      <w:r>
        <w:rPr>
          <w:i/>
          <w:iCs/>
        </w:rPr>
        <w:t xml:space="preserve">γ</w:t>
      </w:r>
      <w:r>
        <w:t xml:space="preserve"> 取真值时，这些 </w:t>
      </w:r>
      <w:r>
        <w:rPr>
          <w:i/>
          <w:iCs/>
        </w:rPr>
        <w:t xml:space="preserve">η̂</w:t>
      </w:r>
      <w:r>
        <w:rPr>
          <w:vertAlign w:val="subscript"/>
        </w:rPr>
        <w:t xml:space="preserve">i</w:t>
      </w:r>
      <w:r>
        <w:t xml:space="preserve"> 应彼此一致；因而可用其离散程度（标准差）作为目标，越小越好。原文进一步采用带</w:t>
      </w:r>
      <w:r>
        <w:rPr>
          <w:b/>
          <w:bCs/>
        </w:rPr>
        <w:t xml:space="preserve">偏置（offset）</w:t>
      </w:r>
      <w:r>
        <w:t xml:space="preserve"> 的极值判据：不在梯度为零处、而在梯度等于一个小正数 offset（取 0.1）处定位 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，以避开 </w:t>
      </w:r>
      <w:r>
        <w:rPr>
          <w:i/>
          <w:iCs/>
        </w:rPr>
        <w:t xml:space="preserve">γ</w:t>
      </w:r>
      <w:r>
        <w:t xml:space="preserve">→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 附近的退化。原文明确指出该“搜索—判断”方式</w:t>
      </w:r>
      <w:r>
        <w:rPr>
          <w:b/>
          <w:bCs/>
        </w:rPr>
        <w:t xml:space="preserve">不需要求解方程、不会出现无解</w:t>
      </w:r>
      <w:r>
        <w:t xml:space="preserve">，对样本波动稳健。</w:t>
      </w:r>
    </w:p>
    <w:p>
      <w:pPr>
        <w:spacing w:after="120" w:line="312" w:lineRule="auto"/>
        <w:ind w:firstLine="420"/>
        <w:jc w:val="both"/>
      </w:pPr>
      <w:r>
        <w:t xml:space="preserve">出于在自身场景中评估 MDM 的目的，我们按原文实现了该方法。为实现简便，做了两处工程化处理：其一，秩位置采用 </w:t>
      </w:r>
      <w:r>
        <w:rPr>
          <w:b/>
          <w:bCs/>
        </w:rPr>
        <w:t xml:space="preserve">Bernard 中位秩</w:t>
      </w:r>
      <w:r>
        <w:t xml:space="preserve"> </w:t>
      </w:r>
      <w:r>
        <w:rPr>
          <w:i/>
          <w:iCs/>
        </w:rPr>
        <w:t xml:space="preserve">F</w:t>
      </w:r>
      <w:r>
        <w:rPr>
          <w:vertAlign w:val="subscript"/>
        </w:rPr>
        <w:t xml:space="preserve">i</w:t>
      </w:r>
      <w:r>
        <w:t xml:space="preserve">=(</w:t>
      </w:r>
      <w:r>
        <w:rPr>
          <w:i/>
          <w:iCs/>
        </w:rPr>
        <w:t xml:space="preserve">i</w:t>
      </w:r>
      <w:r>
        <w:t xml:space="preserve">−0.3)/(</w:t>
      </w:r>
      <w:r>
        <w:rPr>
          <w:i/>
          <w:iCs/>
        </w:rPr>
        <w:t xml:space="preserve">n</w:t>
      </w:r>
      <w:r>
        <w:t xml:space="preserve">+0.4)</w:t>
      </w:r>
      <w:r>
        <w:t xml:space="preserve">（原文用 F 分布中位秩）；其二，</w:t>
      </w:r>
      <w:r>
        <w:rPr>
          <w:i/>
          <w:iCs/>
        </w:rPr>
        <w:t xml:space="preserve">γ</w:t>
      </w:r>
      <w:r>
        <w:t xml:space="preserve"> 的搜索采用 </w:t>
      </w:r>
      <w:r>
        <w:rPr>
          <w:b/>
          <w:bCs/>
        </w:rPr>
        <w:t xml:space="preserve">两段均匀网格</w:t>
      </w:r>
      <w:r>
        <w:t xml:space="preserve">（每段约 20 步）加离散梯度过零检测。随后在 (</w:t>
      </w:r>
      <w:r>
        <w:rPr>
          <w:i/>
          <w:iCs/>
        </w:rPr>
        <w:t xml:space="preserve">β</w:t>
      </w:r>
      <w:r>
        <w:t xml:space="preserve">, 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/</w:t>
      </w:r>
      <w:r>
        <w:rPr>
          <w:i/>
          <w:iCs/>
        </w:rPr>
        <w:t xml:space="preserve">η</w:t>
      </w:r>
      <w:r>
        <w:t xml:space="preserve">, </w:t>
      </w:r>
      <w:r>
        <w:rPr>
          <w:i/>
          <w:iCs/>
        </w:rPr>
        <w:t xml:space="preserve">n</w:t>
      </w:r>
      <w:r>
        <w:t xml:space="preserve">) 的多组设置下做蒙特卡洛。</w:t>
      </w:r>
    </w:p>
    <w:p>
      <w:pPr>
        <w:spacing w:after="120" w:line="312" w:lineRule="auto"/>
        <w:ind w:firstLine="420"/>
        <w:jc w:val="both"/>
      </w:pPr>
      <w:r>
        <w:t xml:space="preserve">意外随之出现：在相当比例的样本上，程序在定义域内</w:t>
      </w:r>
      <w:r>
        <w:rPr>
          <w:b/>
          <w:bCs/>
        </w:rPr>
        <w:t xml:space="preserve">没有找到 offset-root 交点</w:t>
      </w:r>
      <w:r>
        <w:t xml:space="preserve">。这与“不会出现无解”的印象相抵触，于是我们围绕四个疑问展开排查——（a）是否程序缺陷？（b）是否网格过粗导致漏检？（c）是否 Bernard 替换改变了判据行为？（d）是否偏置判据在有界域 [0,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) 上本就可能无内部解？本报告即是对这四问的回答。</w:t>
      </w:r>
    </w:p>
    <w:p>
      <w:pPr>
        <w:spacing w:after="120" w:line="312" w:lineRule="auto"/>
        <w:ind w:firstLine="420"/>
        <w:jc w:val="both"/>
      </w:pPr>
      <w:r>
        <w:t xml:space="preserve">我们的处理路线是：先以一个高分辨率网格作为“真值（基准）”，把</w:t>
      </w:r>
      <w:r>
        <w:rPr>
          <w:b/>
          <w:bCs/>
        </w:rPr>
        <w:t xml:space="preserve">数值漏检</w:t>
      </w:r>
      <w:r>
        <w:t xml:space="preserve">与</w:t>
      </w:r>
      <w:r>
        <w:rPr>
          <w:b/>
          <w:bCs/>
        </w:rPr>
        <w:t xml:space="preserve">真无解</w:t>
      </w:r>
      <w:r>
        <w:t xml:space="preserve">两类现象分离；再用一个真实抽样样本给出可复算的反例，解析地证明真无解的成因；进而刻画其控制量 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t xml:space="preserve">，定量考察步长与网格策略的影响，最后给出工程上的搜索与诊断建议。文中所有数值均来自一次</w:t>
      </w:r>
      <w:r>
        <w:rPr>
          <w:b/>
          <w:bCs/>
        </w:rPr>
        <w:t xml:space="preserve">独立的重实现与重跑</w:t>
      </w:r>
      <w:r>
        <w:t xml:space="preserve">，与原报告结论一致（因随机种子不同，个别数字有小幅差异，不影响定性结论）。第 2.4 节给出本实现与原文在记号与细节上的对照。</w:t>
      </w:r>
    </w:p>
    <w:p>
      <w:pPr>
        <w:pStyle w:val="Heading1"/>
        <w:spacing w:after="140" w:before="260"/>
      </w:pPr>
      <w:r>
        <w:t xml:space="preserve">2　方法与 offset-root 判据</w:t>
      </w:r>
    </w:p>
    <w:p>
      <w:pPr>
        <w:pStyle w:val="Heading2"/>
        <w:spacing w:after="100" w:before="180"/>
      </w:pPr>
      <w:r>
        <w:t xml:space="preserve">2.1　伪尺度估计量与内层子问题</w:t>
      </w:r>
    </w:p>
    <w:p>
      <w:pPr>
        <w:spacing w:after="120" w:line="312" w:lineRule="auto"/>
        <w:ind w:firstLine="420"/>
        <w:jc w:val="both"/>
      </w:pPr>
      <w:r>
        <w:t xml:space="preserve">记升序样本为 </w:t>
      </w:r>
      <w:r>
        <w:rPr>
          <w:i/>
          <w:iCs/>
        </w:rPr>
        <w:t xml:space="preserve">t</w:t>
      </w:r>
      <w:r>
        <w:rPr>
          <w:vertAlign w:val="subscript"/>
        </w:rPr>
        <w:t xml:space="preserve">(i)</w:t>
      </w:r>
      <w:r>
        <w:t xml:space="preserve">，由 Bernard 中位秩得约化变量 </w:t>
      </w:r>
      <w:r>
        <w:rPr>
          <w:i/>
          <w:iCs/>
        </w:rPr>
        <w:t xml:space="preserve">x</w:t>
      </w:r>
      <w:r>
        <w:rPr>
          <w:vertAlign w:val="subscript"/>
        </w:rPr>
        <w:t xml:space="preserve">i</w:t>
      </w:r>
      <w:r>
        <w:t xml:space="preserve">=−ln(1−</w:t>
      </w:r>
      <w:r>
        <w:rPr>
          <w:i/>
          <w:iCs/>
        </w:rPr>
        <w:t xml:space="preserve">F</w:t>
      </w:r>
      <w:r>
        <w:rPr>
          <w:vertAlign w:val="subscript"/>
        </w:rPr>
        <w:t xml:space="preserve">i</w:t>
      </w:r>
      <w:r>
        <w:t xml:space="preserve">)</w:t>
      </w:r>
      <w:r>
        <w:t xml:space="preserve">。对给定 </w:t>
      </w:r>
      <w:r>
        <w:rPr>
          <w:i/>
          <w:iCs/>
        </w:rPr>
        <w:t xml:space="preserve">β</w:t>
      </w:r>
      <w:r>
        <w:t xml:space="preserve">、</w:t>
      </w:r>
      <w:r>
        <w:rPr>
          <w:i/>
          <w:iCs/>
        </w:rPr>
        <w:t xml:space="preserve">γ</w:t>
      </w:r>
      <w:r>
        <w:t xml:space="preserve">，定义伪尺度 </w:t>
      </w:r>
      <w:r>
        <w:rPr>
          <w:i/>
          <w:iCs/>
        </w:rPr>
        <w:t xml:space="preserve">η̂</w:t>
      </w:r>
      <w:r>
        <w:rPr>
          <w:vertAlign w:val="subscript"/>
        </w:rPr>
        <w:t xml:space="preserve">i</w:t>
      </w:r>
      <w:r>
        <w:t xml:space="preserve">(</w:t>
      </w:r>
      <w:r>
        <w:rPr>
          <w:i/>
          <w:iCs/>
        </w:rPr>
        <w:t xml:space="preserve">β</w:t>
      </w:r>
      <w:r>
        <w:t xml:space="preserve">,</w:t>
      </w:r>
      <w:r>
        <w:rPr>
          <w:i/>
          <w:iCs/>
        </w:rPr>
        <w:t xml:space="preserve">γ</w:t>
      </w:r>
      <w:r>
        <w:t xml:space="preserve">)=(</w:t>
      </w:r>
      <w:r>
        <w:rPr>
          <w:i/>
          <w:iCs/>
        </w:rPr>
        <w:t xml:space="preserve">t</w:t>
      </w:r>
      <w:r>
        <w:rPr>
          <w:vertAlign w:val="subscript"/>
        </w:rPr>
        <w:t xml:space="preserve">(i)</w:t>
      </w:r>
      <w:r>
        <w:t xml:space="preserve">−</w:t>
      </w:r>
      <w:r>
        <w:rPr>
          <w:i/>
          <w:iCs/>
        </w:rPr>
        <w:t xml:space="preserve">γ</w:t>
      </w:r>
      <w:r>
        <w:t xml:space="preserve">)/</w:t>
      </w:r>
      <w:r>
        <w:rPr>
          <w:i/>
          <w:iCs/>
        </w:rPr>
        <w:t xml:space="preserve">x</w:t>
      </w:r>
      <w:r>
        <w:rPr>
          <w:vertAlign w:val="subscript"/>
        </w:rPr>
        <w:t xml:space="preserve">i</w:t>
      </w:r>
      <w:r>
        <w:rPr>
          <w:vertAlign w:val="superscript"/>
        </w:rPr>
        <w:t xml:space="preserve">1/β</w:t>
      </w:r>
      <w:r>
        <w:t xml:space="preserve">，并以其样本标准差 </w:t>
      </w:r>
      <w:r>
        <w:rPr>
          <w:i/>
          <w:iCs/>
        </w:rPr>
        <w:t xml:space="preserve">σ</w:t>
      </w:r>
      <w:r>
        <w:t xml:space="preserve">(</w:t>
      </w:r>
      <w:r>
        <w:rPr>
          <w:i/>
          <w:iCs/>
        </w:rPr>
        <w:t xml:space="preserve">β</w:t>
      </w:r>
      <w:r>
        <w:t xml:space="preserve">|</w:t>
      </w:r>
      <w:r>
        <w:rPr>
          <w:i/>
          <w:iCs/>
        </w:rPr>
        <w:t xml:space="preserve">γ</w:t>
      </w:r>
      <w:r>
        <w:t xml:space="preserve">)</w:t>
      </w:r>
      <w:r>
        <w:t xml:space="preserve">（无偏，自由度 </w:t>
      </w:r>
      <w:r>
        <w:rPr>
          <w:i/>
          <w:iCs/>
        </w:rPr>
        <w:t xml:space="preserve">n</w:t>
      </w:r>
      <w:r>
        <w:t xml:space="preserve">−1</w:t>
      </w:r>
      <w:r>
        <w:t xml:space="preserve">）为离散度量。固定 </w:t>
      </w:r>
      <w:r>
        <w:rPr>
          <w:i/>
          <w:iCs/>
        </w:rPr>
        <w:t xml:space="preserve">γ</w:t>
      </w:r>
      <w:r>
        <w:t xml:space="preserve"> 对 </w:t>
      </w:r>
      <w:r>
        <w:rPr>
          <w:i/>
          <w:iCs/>
        </w:rPr>
        <w:t xml:space="preserve">β</w:t>
      </w:r>
      <w:r>
        <w:t xml:space="preserve"> 极小化，得最优形状 </w:t>
      </w:r>
      <w:r>
        <w:rPr>
          <w:i/>
          <w:iCs/>
        </w:rPr>
        <w:t xml:space="preserve">β</w:t>
      </w:r>
      <w:r>
        <w:t xml:space="preserve">*</w:t>
      </w:r>
      <w:r>
        <w:t xml:space="preserve">(</w:t>
      </w:r>
      <w:r>
        <w:rPr>
          <w:i/>
          <w:iCs/>
        </w:rPr>
        <w:t xml:space="preserve">γ</w:t>
      </w:r>
      <w:r>
        <w:t xml:space="preserve">) 与</w:t>
      </w:r>
    </w:p>
    <w:p>
      <w:pPr>
        <w:spacing w:after="120" w:before="80" w:line="312" w:lineRule="auto"/>
        <w:jc w:val="center"/>
      </w:pPr>
      <w:r>
        <w:rPr>
          <w:i/>
          <w:iCs/>
        </w:rPr>
        <w:t xml:space="preserve">S</w:t>
      </w:r>
      <w:r>
        <w:t xml:space="preserve">(</w:t>
      </w:r>
      <w:r>
        <w:rPr>
          <w:i/>
          <w:iCs/>
        </w:rPr>
        <w:t xml:space="preserve">γ</w:t>
      </w:r>
      <w:r>
        <w:t xml:space="preserve">)=min</w:t>
      </w:r>
      <w:r>
        <w:rPr>
          <w:vertAlign w:val="subscript"/>
        </w:rPr>
        <w:t xml:space="preserve">β</w:t>
      </w:r>
      <w:r>
        <w:t xml:space="preserve"> </w:t>
      </w:r>
      <w:r>
        <w:rPr>
          <w:i/>
          <w:iCs/>
        </w:rPr>
        <w:t xml:space="preserve">σ</w:t>
      </w:r>
      <w:r>
        <w:t xml:space="preserve">(</w:t>
      </w:r>
      <w:r>
        <w:rPr>
          <w:i/>
          <w:iCs/>
        </w:rPr>
        <w:t xml:space="preserve">β</w:t>
      </w:r>
      <w:r>
        <w:t xml:space="preserve">|</w:t>
      </w:r>
      <w:r>
        <w:rPr>
          <w:i/>
          <w:iCs/>
        </w:rPr>
        <w:t xml:space="preserve">γ</w:t>
      </w:r>
      <w:r>
        <w:t xml:space="preserve">)</w:t>
      </w:r>
    </w:p>
    <w:p>
      <w:pPr>
        <w:spacing w:after="120" w:line="312" w:lineRule="auto"/>
        <w:ind w:firstLine="420"/>
        <w:jc w:val="both"/>
      </w:pPr>
      <w:r>
        <w:t xml:space="preserve">我们称 </w:t>
      </w:r>
      <w:r>
        <w:rPr>
          <w:i/>
          <w:iCs/>
        </w:rPr>
        <w:t xml:space="preserve">S</w:t>
      </w:r>
      <w:r>
        <w:t xml:space="preserve">(</w:t>
      </w:r>
      <w:r>
        <w:rPr>
          <w:i/>
          <w:iCs/>
        </w:rPr>
        <w:t xml:space="preserve">γ</w:t>
      </w:r>
      <w:r>
        <w:t xml:space="preserve">)</w:t>
      </w:r>
      <w:r>
        <w:t xml:space="preserve"> 为</w:t>
      </w:r>
      <w:r>
        <w:rPr>
          <w:b/>
          <w:bCs/>
        </w:rPr>
        <w:t xml:space="preserve">廓线</w:t>
      </w:r>
      <w:r>
        <w:t xml:space="preserve">。数值实验表明，内层关于 </w:t>
      </w:r>
      <w:r>
        <w:rPr>
          <w:i/>
          <w:iCs/>
        </w:rPr>
        <w:t xml:space="preserve">β</w:t>
      </w:r>
      <w:r>
        <w:t xml:space="preserve"> 的目标在所考察范围内呈单谷、最优点落在区间内部（图 1），故内层极小化稳定可靠；本文对 </w:t>
      </w:r>
      <w:r>
        <w:rPr>
          <w:i/>
          <w:iCs/>
        </w:rPr>
        <w:t xml:space="preserve">β</w:t>
      </w:r>
      <w:r>
        <w:t xml:space="preserve"> 采用 500 点对数网格加抛物线顶点细化求 </w:t>
      </w:r>
      <w:r>
        <w:rPr>
          <w:i/>
          <w:iCs/>
        </w:rPr>
        <w:t xml:space="preserve">β</w:t>
      </w:r>
      <w:r>
        <w:t xml:space="preserve">*</w:t>
      </w:r>
      <w:r>
        <w:t xml:space="preserve">。</w:t>
      </w:r>
    </w:p>
    <w:p>
      <w:pPr>
        <w:spacing w:after="60" w:before="80"/>
        <w:jc w:val="center"/>
      </w:pPr>
      <w:r>
        <w:drawing>
          <wp:inline distT="0" distB="0" distL="0" distR="0">
            <wp:extent cx="3429000" cy="2619375"/>
            <wp:effectExtent t="0" r="0" b="0" l="0"/>
            <wp:docPr id="1" name="fig01_inner_beta" descr="fig01_inner_beta" title="fig01_inner_b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</w:rPr>
        <w:t xml:space="preserve">图 1　</w:t>
      </w:r>
      <w:r>
        <w:t xml:space="preserve">内层目标 </w:t>
      </w:r>
      <w:r>
        <w:rPr>
          <w:i/>
          <w:iCs/>
        </w:rPr>
        <w:t xml:space="preserve">σ</w:t>
      </w:r>
      <w:r>
        <w:t xml:space="preserve">(</w:t>
      </w:r>
      <w:r>
        <w:rPr>
          <w:i/>
          <w:iCs/>
        </w:rPr>
        <w:t xml:space="preserve">β</w:t>
      </w:r>
      <w:r>
        <w:t xml:space="preserve">|</w:t>
      </w:r>
      <w:r>
        <w:rPr>
          <w:i/>
          <w:iCs/>
        </w:rPr>
        <w:t xml:space="preserve">γ</w:t>
      </w:r>
      <w:r>
        <w:t xml:space="preserve">)</w:t>
      </w:r>
      <w:r>
        <w:t xml:space="preserve"> 关于形状参数单谷，最优 </w:t>
      </w:r>
      <w:r>
        <w:rPr>
          <w:i/>
          <w:iCs/>
        </w:rPr>
        <w:t xml:space="preserve">β</w:t>
      </w:r>
      <w:r>
        <w:t xml:space="preserve">*</w:t>
      </w:r>
      <w:r>
        <w:t xml:space="preserve"> 落在区间内部。</w:t>
      </w:r>
    </w:p>
    <w:p>
      <w:pPr>
        <w:spacing w:after="60" w:before="80"/>
        <w:jc w:val="center"/>
      </w:pPr>
      <w:r>
        <w:drawing>
          <wp:inline distT="0" distB="0" distL="0" distR="0">
            <wp:extent cx="5334000" cy="2428875"/>
            <wp:effectExtent t="0" r="0" b="0" l="0"/>
            <wp:docPr id="1" name="fig02_profile" descr="fig02_profile" title="fig02_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</w:rPr>
        <w:t xml:space="preserve">图 2　</w:t>
      </w:r>
      <w:r>
        <w:t xml:space="preserve">廓线 </w:t>
      </w:r>
      <w:r>
        <w:rPr>
          <w:i/>
          <w:iCs/>
        </w:rPr>
        <w:t xml:space="preserve">S</w:t>
      </w:r>
      <w:r>
        <w:t xml:space="preserve">(</w:t>
      </w:r>
      <w:r>
        <w:rPr>
          <w:i/>
          <w:iCs/>
        </w:rPr>
        <w:t xml:space="preserve">γ</w:t>
      </w:r>
      <w:r>
        <w:t xml:space="preserve">)</w:t>
      </w:r>
      <w:r>
        <w:t xml:space="preserve">（左）先降后于近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 处急升；对应的最优形状 </w:t>
      </w:r>
      <w:r>
        <w:rPr>
          <w:i/>
          <w:iCs/>
        </w:rPr>
        <w:t xml:space="preserve">β</w:t>
      </w:r>
      <w:r>
        <w:t xml:space="preserve">*</w:t>
      </w:r>
      <w:r>
        <w:t xml:space="preserve">(</w:t>
      </w:r>
      <w:r>
        <w:rPr>
          <w:i/>
          <w:iCs/>
        </w:rPr>
        <w:t xml:space="preserve">γ</w:t>
      </w:r>
      <w:r>
        <w:t xml:space="preserve">)（右）。</w:t>
      </w:r>
    </w:p>
    <w:p>
      <w:pPr>
        <w:pStyle w:val="Heading2"/>
        <w:spacing w:after="100" w:before="180"/>
      </w:pPr>
      <w:r>
        <w:t xml:space="preserve">2.2　带偏置的极值（offset-root）判据</w:t>
      </w:r>
    </w:p>
    <w:p>
      <w:pPr>
        <w:spacing w:after="120" w:line="312" w:lineRule="auto"/>
        <w:ind w:firstLine="420"/>
        <w:jc w:val="both"/>
      </w:pPr>
      <w:r>
        <w:t xml:space="preserve">定义廓线梯度 </w:t>
      </w:r>
      <w:r>
        <w:rPr>
          <w:i/>
          <w:iCs/>
        </w:rPr>
        <w:t xml:space="preserve">g</w:t>
      </w:r>
      <w:r>
        <w:t xml:space="preserve">(</w:t>
      </w:r>
      <w:r>
        <w:rPr>
          <w:i/>
          <w:iCs/>
        </w:rPr>
        <w:t xml:space="preserve">γ</w:t>
      </w:r>
      <w:r>
        <w:t xml:space="preserve">)=</w:t>
      </w:r>
      <w:r>
        <w:rPr>
          <w:i/>
          <w:iCs/>
        </w:rPr>
        <w:t xml:space="preserve">S</w:t>
      </w:r>
      <w:r>
        <w:t xml:space="preserve">′</w:t>
      </w:r>
      <w:r>
        <w:t xml:space="preserve">(</w:t>
      </w:r>
      <w:r>
        <w:rPr>
          <w:i/>
          <w:iCs/>
        </w:rPr>
        <w:t xml:space="preserve">γ</w:t>
      </w:r>
      <w:r>
        <w:t xml:space="preserve">)</w:t>
      </w:r>
      <w:r>
        <w:t xml:space="preserve">。原文判据并非令 </w:t>
      </w:r>
      <w:r>
        <w:rPr>
          <w:i/>
          <w:iCs/>
        </w:rPr>
        <w:t xml:space="preserve">g</w:t>
      </w:r>
      <w:r>
        <w:t xml:space="preserve">=0</w:t>
      </w:r>
      <w:r>
        <w:t xml:space="preserve">，而是在</w:t>
      </w:r>
      <w:r>
        <w:rPr>
          <w:b/>
          <w:bCs/>
        </w:rPr>
        <w:t xml:space="preserve">梯度等于偏置</w:t>
      </w:r>
      <w:r>
        <w:t xml:space="preserve"> 的位置定位估计：</w:t>
      </w:r>
    </w:p>
    <w:p>
      <w:pPr>
        <w:spacing w:after="120" w:before="80" w:line="312" w:lineRule="auto"/>
        <w:jc w:val="center"/>
      </w:pPr>
      <w:r>
        <w:rPr>
          <w:i/>
          <w:iCs/>
        </w:rPr>
        <w:t xml:space="preserve">g</w:t>
      </w:r>
      <w:r>
        <w:t xml:space="preserve">(</w:t>
      </w:r>
      <w:r>
        <w:rPr>
          <w:i/>
          <w:iCs/>
        </w:rPr>
        <w:t xml:space="preserve">γ</w:t>
      </w:r>
      <w:r>
        <w:t xml:space="preserve">)=offset=0.1</w:t>
      </w:r>
    </w:p>
    <w:p>
      <w:pPr>
        <w:spacing w:after="120" w:line="312" w:lineRule="auto"/>
        <w:ind w:firstLine="420"/>
        <w:jc w:val="both"/>
      </w:pPr>
      <w:r>
        <w:t xml:space="preserve">并取</w:t>
      </w:r>
      <w:r>
        <w:rPr>
          <w:b/>
          <w:bCs/>
        </w:rPr>
        <w:t xml:space="preserve">最靠近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rPr>
          <w:b/>
          <w:bCs/>
        </w:rPr>
        <w:t xml:space="preserve"> 的那个根</w:t>
      </w:r>
      <w:r>
        <w:t xml:space="preserve"> 作为 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 的估计 </w:t>
      </w:r>
      <w:r>
        <w:rPr>
          <w:i/>
          <w:iCs/>
        </w:rPr>
        <w:t xml:space="preserve">γ</w:t>
      </w:r>
      <w:r>
        <w:t xml:space="preserve">*</w:t>
      </w:r>
      <w:r>
        <w:t xml:space="preserve">。偏置的作用是把目标从“极小点”移到其右侧一个斜率确定的位置，从而绕开 </w:t>
      </w:r>
      <w:r>
        <w:rPr>
          <w:i/>
          <w:iCs/>
        </w:rPr>
        <w:t xml:space="preserve">γ</w:t>
      </w:r>
      <w:r>
        <w:t xml:space="preserve">→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 处廓线急升、梯度发散的退化区。搜索定义域取 [0, 0.999999·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)。</w:t>
      </w:r>
    </w:p>
    <w:p>
      <w:pPr>
        <w:spacing w:after="120" w:line="312" w:lineRule="auto"/>
        <w:ind w:firstLine="420"/>
        <w:jc w:val="both"/>
      </w:pPr>
      <w:r>
        <w:t xml:space="preserve">一旦确定 </w:t>
      </w:r>
      <w:r>
        <w:rPr>
          <w:i/>
          <w:iCs/>
        </w:rPr>
        <w:t xml:space="preserve">γ</w:t>
      </w:r>
      <w:r>
        <w:t xml:space="preserve">*</w:t>
      </w:r>
      <w:r>
        <w:t xml:space="preserve">，即可回代得 </w:t>
      </w:r>
      <w:r>
        <w:rPr>
          <w:i/>
          <w:iCs/>
        </w:rPr>
        <w:t xml:space="preserve">β</w:t>
      </w:r>
      <w:r>
        <w:t xml:space="preserve">*</w:t>
      </w:r>
      <w:r>
        <w:t xml:space="preserve"> 与尺度估计 </w:t>
      </w:r>
      <w:r>
        <w:rPr>
          <w:i/>
          <w:iCs/>
        </w:rPr>
        <w:t xml:space="preserve">η̂</w:t>
      </w:r>
      <w:r>
        <w:t xml:space="preserve">=mean</w:t>
      </w:r>
      <w:r>
        <w:rPr>
          <w:vertAlign w:val="subscript"/>
        </w:rPr>
        <w:t xml:space="preserve">i</w:t>
      </w:r>
      <w:r>
        <w:t xml:space="preserve"> </w:t>
      </w:r>
      <w:r>
        <w:rPr>
          <w:i/>
          <w:iCs/>
        </w:rPr>
        <w:t xml:space="preserve">η̂</w:t>
      </w:r>
      <w:r>
        <w:rPr>
          <w:vertAlign w:val="subscript"/>
        </w:rPr>
        <w:t xml:space="preserve">i</w:t>
      </w:r>
      <w:r>
        <w:t xml:space="preserve">(</w:t>
      </w:r>
      <w:r>
        <w:rPr>
          <w:i/>
          <w:iCs/>
        </w:rPr>
        <w:t xml:space="preserve">β</w:t>
      </w:r>
      <w:r>
        <w:t xml:space="preserve">*</w:t>
      </w:r>
      <w:r>
        <w:t xml:space="preserve">,</w:t>
      </w:r>
      <w:r>
        <w:rPr>
          <w:i/>
          <w:iCs/>
        </w:rPr>
        <w:t xml:space="preserve">γ</w:t>
      </w:r>
      <w:r>
        <w:t xml:space="preserve">*)</w:t>
      </w:r>
      <w:r>
        <w:t xml:space="preserve">，完成三参数估计。</w:t>
      </w:r>
    </w:p>
    <w:p>
      <w:pPr>
        <w:pStyle w:val="Heading2"/>
        <w:spacing w:after="100" w:before="180"/>
      </w:pPr>
      <w:r>
        <w:t xml:space="preserve">2.3　与原文的记号与实现对照</w:t>
      </w:r>
    </w:p>
    <w:p>
      <w:pPr>
        <w:spacing w:after="120" w:line="312" w:lineRule="auto"/>
        <w:ind w:firstLine="420"/>
        <w:jc w:val="both"/>
      </w:pPr>
      <w:r>
        <w:t xml:space="preserve">为避免混淆，并明确本实现相对原文的偏离，表 1 给出记号对照，表 2 列出三处实质性差异及其影响判断。其中第二、三项与本报告主题（无解现象）直接相关。</w:t>
      </w:r>
    </w:p>
    <w:p>
      <w:pPr>
        <w:spacing w:after="80" w:before="60"/>
        <w:jc w:val="center"/>
      </w:pPr>
      <w:r>
        <w:rPr>
          <w:b/>
          <w:bCs/>
        </w:rPr>
        <w:t xml:space="preserve">表 1　</w:t>
      </w:r>
      <w:r>
        <w:t xml:space="preserve">本报告与原文的记号对照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/>
                <w:bCs/>
                <w:color w:val="FFFFFF"/>
              </w:rPr>
              <w:t xml:space="preserve">含义</w:t>
            </w:r>
          </w:p>
        </w:tc>
        <w:tc>
          <w:tcPr>
            <w:tcW w:type="dxa" w:w="31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</w:rPr>
              <w:t xml:space="preserve">本报告记号</w:t>
            </w:r>
          </w:p>
        </w:tc>
        <w:tc>
          <w:tcPr>
            <w:tcW w:type="dxa" w:w="31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</w:rPr>
              <w:t xml:space="preserve">原文记号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 w:val="false"/>
                <w:bCs w:val="false"/>
              </w:rPr>
              <w:t xml:space="preserve">位置 / 形状真值</w:t>
            </w:r>
          </w:p>
        </w:tc>
        <w:tc>
          <w:tcPr>
            <w:tcW w:type="dxa" w:w="31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i/>
                <w:iCs/>
              </w:rPr>
              <w:t xml:space="preserve">γ</w:t>
            </w:r>
            <w:r>
              <w:rPr>
                <w:vertAlign w:val="subscript"/>
              </w:rPr>
              <w:t xml:space="preserve">0</w:t>
            </w:r>
            <w:r>
              <w:t xml:space="preserve"> / </w:t>
            </w:r>
            <w:r>
              <w:rPr>
                <w:i/>
                <w:iCs/>
              </w:rPr>
              <w:t xml:space="preserve">β</w:t>
            </w:r>
            <w:r>
              <w:rPr>
                <w:vertAlign w:val="subscript"/>
              </w:rPr>
              <w:t xml:space="preserve">0</w:t>
            </w:r>
          </w:p>
        </w:tc>
        <w:tc>
          <w:tcPr>
            <w:tcW w:type="dxa" w:w="31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i/>
                <w:iCs/>
              </w:rPr>
              <w:t xml:space="preserve">γ</w:t>
            </w:r>
            <w:r>
              <w:t xml:space="preserve"> / </w:t>
            </w:r>
            <w:r>
              <w:rPr>
                <w:i/>
                <w:iCs/>
              </w:rPr>
              <w:t xml:space="preserve">β</w:t>
            </w:r>
            <w:r>
              <w:t xml:space="preserve">（无下标）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 w:val="false"/>
                <w:bCs w:val="false"/>
              </w:rPr>
              <w:t xml:space="preserve">伪尺度标准差</w:t>
            </w:r>
          </w:p>
        </w:tc>
        <w:tc>
          <w:tcPr>
            <w:tcW w:type="dxa" w:w="31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i/>
                <w:iCs/>
              </w:rPr>
              <w:t xml:space="preserve">σ</w:t>
            </w:r>
            <w:r>
              <w:t xml:space="preserve">(</w:t>
            </w:r>
            <w:r>
              <w:rPr>
                <w:i/>
                <w:iCs/>
              </w:rPr>
              <w:t xml:space="preserve">β</w:t>
            </w:r>
            <w:r>
              <w:t xml:space="preserve">|</w:t>
            </w:r>
            <w:r>
              <w:rPr>
                <w:i/>
                <w:iCs/>
              </w:rPr>
              <w:t xml:space="preserve">γ</w:t>
            </w:r>
            <w:r>
              <w:t xml:space="preserve">)</w:t>
            </w:r>
          </w:p>
        </w:tc>
        <w:tc>
          <w:tcPr>
            <w:tcW w:type="dxa" w:w="31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i/>
                <w:iCs/>
              </w:rPr>
              <w:t xml:space="preserve">σ</w:t>
            </w:r>
            <w:r>
              <w:rPr>
                <w:vertAlign w:val="subscript"/>
              </w:rPr>
              <w:t xml:space="preserve">η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 w:val="false"/>
                <w:bCs w:val="false"/>
              </w:rPr>
              <w:t xml:space="preserve">廓线（对 β 取极小）</w:t>
            </w:r>
          </w:p>
        </w:tc>
        <w:tc>
          <w:tcPr>
            <w:tcW w:type="dxa" w:w="31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i/>
                <w:iCs/>
              </w:rPr>
              <w:t xml:space="preserve">S</w:t>
            </w:r>
            <w:r>
              <w:t xml:space="preserve">(</w:t>
            </w:r>
            <w:r>
              <w:rPr>
                <w:i/>
                <w:iCs/>
              </w:rPr>
              <w:t xml:space="preserve">γ</w:t>
            </w:r>
            <w:r>
              <w:t xml:space="preserve">)</w:t>
            </w:r>
          </w:p>
        </w:tc>
        <w:tc>
          <w:tcPr>
            <w:tcW w:type="dxa" w:w="31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i/>
                <w:iCs/>
              </w:rPr>
              <w:t xml:space="preserve">σ</w:t>
            </w:r>
            <w:r>
              <w:rPr>
                <w:vertAlign w:val="subscript"/>
              </w:rPr>
              <w:t xml:space="preserve">η,min</w:t>
            </w:r>
            <w:r>
              <w:t xml:space="preserve">(</w:t>
            </w:r>
            <w:r>
              <w:rPr>
                <w:i/>
                <w:iCs/>
              </w:rPr>
              <w:t xml:space="preserve">γ</w:t>
            </w:r>
            <w:r>
              <w:rPr>
                <w:vertAlign w:val="subscript"/>
              </w:rPr>
              <w:t xml:space="preserve">j</w:t>
            </w:r>
            <w:r>
              <w:t xml:space="preserve">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 w:val="false"/>
                <w:bCs w:val="false"/>
              </w:rPr>
              <w:t xml:space="preserve">廓线梯度</w:t>
            </w:r>
          </w:p>
        </w:tc>
        <w:tc>
          <w:tcPr>
            <w:tcW w:type="dxa" w:w="31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i/>
                <w:iCs/>
              </w:rPr>
              <w:t xml:space="preserve">g</w:t>
            </w:r>
            <w:r>
              <w:t xml:space="preserve">(</w:t>
            </w:r>
            <w:r>
              <w:rPr>
                <w:i/>
                <w:iCs/>
              </w:rPr>
              <w:t xml:space="preserve">γ</w:t>
            </w:r>
            <w:r>
              <w:t xml:space="preserve">)=</w:t>
            </w:r>
            <w:r>
              <w:rPr>
                <w:i/>
                <w:iCs/>
              </w:rPr>
              <w:t xml:space="preserve">S</w:t>
            </w:r>
            <w:r>
              <w:t xml:space="preserve">′</w:t>
            </w:r>
          </w:p>
        </w:tc>
        <w:tc>
          <w:tcPr>
            <w:tcW w:type="dxa" w:w="31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∇</w:t>
            </w:r>
            <w:r>
              <w:rPr>
                <w:i/>
                <w:iCs/>
              </w:rPr>
              <w:t xml:space="preserve">γ</w:t>
            </w:r>
            <w:r>
              <w:t xml:space="preserve">（原文式 7）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 w:val="false"/>
                <w:bCs w:val="false"/>
              </w:rPr>
              <w:t xml:space="preserve">秩 / 中位秩</w:t>
            </w:r>
          </w:p>
        </w:tc>
        <w:tc>
          <w:tcPr>
            <w:tcW w:type="dxa" w:w="31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Bernard：(</w:t>
            </w:r>
            <w:r>
              <w:rPr>
                <w:i/>
                <w:iCs/>
              </w:rPr>
              <w:t xml:space="preserve">i</w:t>
            </w:r>
            <w:r>
              <w:t xml:space="preserve">−0.3)/(</w:t>
            </w:r>
            <w:r>
              <w:rPr>
                <w:i/>
                <w:iCs/>
              </w:rPr>
              <w:t xml:space="preserve">n</w:t>
            </w:r>
            <w:r>
              <w:t xml:space="preserve">+0.4)</w:t>
            </w:r>
          </w:p>
        </w:tc>
        <w:tc>
          <w:tcPr>
            <w:tcW w:type="dxa" w:w="31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F 分布中位秩（原文式 3）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 w:val="false"/>
                <w:bCs w:val="false"/>
              </w:rPr>
              <w:t xml:space="preserve">偏置阈值</w:t>
            </w:r>
          </w:p>
        </w:tc>
        <w:tc>
          <w:tcPr>
            <w:tcW w:type="dxa" w:w="31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offset = 0.1</w:t>
            </w:r>
          </w:p>
        </w:tc>
        <w:tc>
          <w:tcPr>
            <w:tcW w:type="dxa" w:w="31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0.1（一致）</w:t>
            </w:r>
          </w:p>
        </w:tc>
      </w:tr>
    </w:tbl>
    <w:p>
      <w:pPr>
        <w:spacing w:after="80" w:before="60"/>
        <w:jc w:val="center"/>
      </w:pPr>
      <w:r>
        <w:rPr>
          <w:b/>
          <w:bCs/>
        </w:rPr>
        <w:t xml:space="preserve">表 2　</w:t>
      </w:r>
      <w:r>
        <w:t xml:space="preserve">本实现相对原文的三处差异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/>
                <w:bCs/>
                <w:color w:val="FFFFFF"/>
              </w:rPr>
              <w:t xml:space="preserve">差异项</w:t>
            </w:r>
          </w:p>
        </w:tc>
        <w:tc>
          <w:tcPr>
            <w:tcW w:type="dxa" w:w="3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</w:rPr>
              <w:t xml:space="preserve">本实现 / 原文</w:t>
            </w:r>
          </w:p>
        </w:tc>
        <w:tc>
          <w:tcPr>
            <w:tcW w:type="dxa" w:w="3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</w:rPr>
              <w:t xml:space="preserve">影响判断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 w:val="false"/>
                <w:bCs w:val="false"/>
              </w:rPr>
              <w:t xml:space="preserve">中位秩</w:t>
            </w:r>
          </w:p>
        </w:tc>
        <w:tc>
          <w:tcPr>
            <w:tcW w:type="dxa" w:w="3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Bernard 公式 / F 分布中位秩</w:t>
            </w:r>
          </w:p>
        </w:tc>
        <w:tc>
          <w:tcPr>
            <w:tcW w:type="dxa" w:w="3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有意简化；对有解率影响小（量级数个百分点），不改变两类无解的定性结论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 w:val="false"/>
                <w:bCs w:val="false"/>
              </w:rPr>
              <w:t xml:space="preserve">搜索下界与域</w:t>
            </w:r>
          </w:p>
        </w:tc>
        <w:tc>
          <w:tcPr>
            <w:tcW w:type="dxa" w:w="3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显式设下界 0、闭域定根 / 原文自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(1)</w:t>
            </w:r>
            <w:r>
              <w:t xml:space="preserve"> 起向下搜索、未显式给 0 下界</w:t>
            </w:r>
          </w:p>
        </w:tc>
        <w:tc>
          <w:tcPr>
            <w:tcW w:type="dxa" w:w="3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把问题表述为有界域上的定根；正是“域内是否存在交点”这一提法使真无解成为可被刻画的性质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 w:val="false"/>
                <w:bCs w:val="false"/>
              </w:rPr>
              <w:t xml:space="preserve">“无解”语义</w:t>
            </w:r>
          </w:p>
        </w:tc>
        <w:tc>
          <w:tcPr>
            <w:tcW w:type="dxa" w:w="3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域内无 offset-root 内点解 / 原文称不必解方程、不会无解</w:t>
            </w:r>
          </w:p>
        </w:tc>
        <w:tc>
          <w:tcPr>
            <w:tcW w:type="dxa" w:w="3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二者并行不悖：原文指方法不发散、不依赖解方程；本文指偏置判据在有界域上的几何性质（见 §6、§9）</w:t>
            </w:r>
          </w:p>
        </w:tc>
      </w:tr>
    </w:tbl>
    <w:p>
      <w:pPr>
        <w:pStyle w:val="Heading1"/>
        <w:spacing w:after="140" w:before="260"/>
      </w:pPr>
      <w:r>
        <w:t xml:space="preserve">3　程序实现</w:t>
      </w:r>
    </w:p>
    <w:p>
      <w:pPr>
        <w:pStyle w:val="Heading2"/>
        <w:spacing w:after="100" w:before="180"/>
      </w:pPr>
      <w:r>
        <w:t xml:space="preserve">3.1　两段均匀网格求解器（被检对象）</w:t>
      </w:r>
    </w:p>
    <w:p>
      <w:pPr>
        <w:spacing w:after="120" w:line="312" w:lineRule="auto"/>
        <w:ind w:firstLine="420"/>
        <w:jc w:val="both"/>
      </w:pPr>
      <w:r>
        <w:t xml:space="preserve">被评估的程序按如下方式定位 offset-root。第一段在 [0, 0.99·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) 取 </w:t>
      </w:r>
      <w:r>
        <w:rPr>
          <w:i/>
          <w:iCs/>
        </w:rPr>
        <w:t xml:space="preserve">k</w:t>
      </w:r>
      <w:r>
        <w:t xml:space="preserve"> 个等距节点，于各节点算廓线 </w:t>
      </w:r>
      <w:r>
        <w:rPr>
          <w:i/>
          <w:iCs/>
        </w:rPr>
        <w:t xml:space="preserve">S</w:t>
      </w:r>
      <w:r>
        <w:t xml:space="preserve">(</w:t>
      </w:r>
      <w:r>
        <w:rPr>
          <w:i/>
          <w:iCs/>
        </w:rPr>
        <w:t xml:space="preserve">γ</w:t>
      </w:r>
      <w:r>
        <w:t xml:space="preserve">)</w:t>
      </w:r>
      <w:r>
        <w:t xml:space="preserve">，以 np.gradient 估计离散梯度 </w:t>
      </w:r>
      <w:r>
        <w:rPr>
          <w:i/>
          <w:iCs/>
        </w:rPr>
        <w:t xml:space="preserve">g</w:t>
      </w:r>
      <w:r>
        <w:t xml:space="preserve">(</w:t>
      </w:r>
      <w:r>
        <w:rPr>
          <w:i/>
          <w:iCs/>
        </w:rPr>
        <w:t xml:space="preserve">γ</w:t>
      </w:r>
      <w:r>
        <w:t xml:space="preserve">)</w:t>
      </w:r>
      <w:r>
        <w:t xml:space="preserve">，检测 </w:t>
      </w:r>
      <w:r>
        <w:rPr>
          <w:i/>
          <w:iCs/>
        </w:rPr>
        <w:t xml:space="preserve">g</w:t>
      </w:r>
      <w:r>
        <w:t xml:space="preserve">−offset</w:t>
      </w:r>
      <w:r>
        <w:t xml:space="preserve"> 的变号区间并线性插值定根；若存在多个交点，取最靠近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 者。第二段仅在首段未检出时启用，于 [0.99·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, 0.999999·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) 再取 </w:t>
      </w:r>
      <w:r>
        <w:rPr>
          <w:i/>
          <w:iCs/>
        </w:rPr>
        <w:t xml:space="preserve">k</w:t>
      </w:r>
      <w:r>
        <w:t xml:space="preserve"> 个等距节点，与首段合并去重后重新检测。两段均无变号则判为“无交点”。</w:t>
      </w:r>
    </w:p>
    <w:p>
      <w:pPr>
        <w:pStyle w:val="Heading2"/>
        <w:spacing w:after="100" w:before="180"/>
      </w:pPr>
      <w:r>
        <w:t xml:space="preserve">3.2　高分辨率基准（真值）</w:t>
      </w:r>
    </w:p>
    <w:p>
      <w:pPr>
        <w:spacing w:after="120" w:line="312" w:lineRule="auto"/>
        <w:ind w:firstLine="420"/>
        <w:jc w:val="both"/>
      </w:pPr>
      <w:r>
        <w:t xml:space="preserve">为判定“某样本是否真的存在内部 offset-root”，我们构造一个高分辨率基准网格：1200 个均匀节点覆盖 [0, 0.99·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)，叠加 1800 个</w:t>
      </w:r>
      <w:r>
        <w:rPr>
          <w:b/>
          <w:bCs/>
        </w:rPr>
        <w:t xml:space="preserve">向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rPr>
          <w:b/>
          <w:bCs/>
        </w:rPr>
        <w:t xml:space="preserve"> 几何加密</w:t>
      </w:r>
      <w:r>
        <w:t xml:space="preserve"> 的节点（最近处距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 达 </w:t>
      </w:r>
      <w:r>
        <w:rPr>
          <w:i/>
          <w:iCs/>
        </w:rPr>
        <w:t xml:space="preserve">1−γ/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=10</w:t>
      </w:r>
      <w:r>
        <w:rPr>
          <w:vertAlign w:val="superscript"/>
        </w:rPr>
        <w:t xml:space="preserve">−8</w:t>
      </w:r>
      <w:r>
        <w:t xml:space="preserve">）。以该网格上的变号检测结果为“可解性真值”。凡基准判为可解、而被检程序判为无解者，即</w:t>
      </w:r>
      <w:r>
        <w:rPr>
          <w:b/>
          <w:bCs/>
        </w:rPr>
        <w:t xml:space="preserve">数值漏检</w:t>
      </w:r>
      <w:r>
        <w:t xml:space="preserve">；凡基准本身亦无交点者，即</w:t>
      </w:r>
      <w:r>
        <w:rPr>
          <w:b/>
          <w:bCs/>
        </w:rPr>
        <w:t xml:space="preserve">真无解</w:t>
      </w:r>
      <w:r>
        <w:t xml:space="preserve">。</w:t>
      </w:r>
    </w:p>
    <w:p>
      <w:pPr>
        <w:spacing w:after="120" w:line="312" w:lineRule="auto"/>
        <w:ind w:firstLine="420"/>
        <w:jc w:val="both"/>
      </w:pPr>
      <w:r>
        <w:t xml:space="preserve">全部数值由固定随机种子生成，可完整复现。需说明：本文数字来自一次</w:t>
      </w:r>
      <w:r>
        <w:rPr>
          <w:b/>
          <w:bCs/>
        </w:rPr>
        <w:t xml:space="preserve">独立重实现</w:t>
      </w:r>
      <w:r>
        <w:t xml:space="preserve">，与原报告在方法与结论上一致，个别数值因种子不同有小幅差异。下文均报告本次重跑的结果。</w:t>
      </w:r>
    </w:p>
    <w:p>
      <w:pPr>
        <w:pStyle w:val="Heading1"/>
        <w:spacing w:after="140" w:before="260"/>
      </w:pPr>
      <w:r>
        <w:t xml:space="preserve">4　蒙特卡洛设计</w:t>
      </w:r>
    </w:p>
    <w:p>
      <w:pPr>
        <w:spacing w:after="120" w:line="312" w:lineRule="auto"/>
        <w:ind w:firstLine="420"/>
        <w:jc w:val="both"/>
      </w:pPr>
      <w:r>
        <w:t xml:space="preserve">主实验固定尺度 </w:t>
      </w:r>
      <w:r>
        <w:rPr>
          <w:i/>
          <w:iCs/>
        </w:rPr>
        <w:t xml:space="preserve">η</w:t>
      </w:r>
      <w:r>
        <w:t xml:space="preserve">=100</w:t>
      </w:r>
      <w:r>
        <w:t xml:space="preserve">，形状 </w:t>
      </w:r>
      <w:r>
        <w:rPr>
          <w:i/>
          <w:iCs/>
        </w:rPr>
        <w:t xml:space="preserve">β</w:t>
      </w:r>
      <w:r>
        <w:t xml:space="preserve">∈{0.5, 1, 1.5, 2, 3}</w:t>
      </w:r>
      <w:r>
        <w:t xml:space="preserve">，位移比 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/</w:t>
      </w:r>
      <w:r>
        <w:rPr>
          <w:i/>
          <w:iCs/>
        </w:rPr>
        <w:t xml:space="preserve">η</w:t>
      </w:r>
      <w:r>
        <w:t xml:space="preserve"> ∈ {0, 0.1, 0.5, 1}，样本量 </w:t>
      </w:r>
      <w:r>
        <w:rPr>
          <w:i/>
          <w:iCs/>
        </w:rPr>
        <w:t xml:space="preserve">n</w:t>
      </w:r>
      <w:r>
        <w:t xml:space="preserve">∈{7, 10, 30}</w:t>
      </w:r>
      <w:r>
        <w:t xml:space="preserve">，每组 40 次重复，共 </w:t>
      </w:r>
      <w:r>
        <w:rPr>
          <w:b/>
          <w:bCs/>
        </w:rPr>
        <w:t xml:space="preserve">2400</w:t>
      </w:r>
      <w:r>
        <w:t xml:space="preserve"> 个样本。样本由 </w:t>
      </w:r>
      <w:r>
        <w:rPr>
          <w:i/>
          <w:iCs/>
        </w:rPr>
        <w:t xml:space="preserve">t</w:t>
      </w:r>
      <w:r>
        <w:rPr>
          <w:vertAlign w:val="subscript"/>
        </w:rPr>
        <w:t xml:space="preserve">(i)</w:t>
      </w:r>
      <w:r>
        <w:t xml:space="preserve">=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+</w:t>
      </w:r>
      <w:r>
        <w:rPr>
          <w:i/>
          <w:iCs/>
        </w:rPr>
        <w:t xml:space="preserve">η</w:t>
      </w:r>
      <w:r>
        <w:t xml:space="preserve">·</w:t>
      </w:r>
      <w:r>
        <w:rPr>
          <w:i/>
          <w:iCs/>
        </w:rPr>
        <w:t xml:space="preserve">r</w:t>
      </w:r>
      <w:r>
        <w:rPr>
          <w:vertAlign w:val="subscript"/>
        </w:rPr>
        <w:t xml:space="preserve">i</w:t>
      </w:r>
      <w:r>
        <w:rPr>
          <w:vertAlign w:val="superscript"/>
        </w:rPr>
        <w:t xml:space="preserve">1/</w:t>
      </w:r>
      <w:r>
        <w:rPr>
          <w:i/>
          <w:iCs/>
        </w:rPr>
        <w:t xml:space="preserve">β</w:t>
      </w:r>
      <w:r>
        <w:rPr>
          <w:vertAlign w:val="subscript"/>
        </w:rPr>
        <w:t xml:space="preserve">0</w:t>
      </w:r>
      <w:r>
        <w:t xml:space="preserve"> 生成（</w:t>
      </w:r>
      <w:r>
        <w:rPr>
          <w:i/>
          <w:iCs/>
        </w:rPr>
        <w:t xml:space="preserve">r</w:t>
      </w:r>
      <w:r>
        <w:rPr>
          <w:vertAlign w:val="subscript"/>
        </w:rPr>
        <w:t xml:space="preserve">i</w:t>
      </w:r>
      <w:r>
        <w:t xml:space="preserve"> 为实现的约化次序统计量）。围绕主实验另设三项专题：（i）</w:t>
      </w:r>
      <w:r>
        <w:rPr>
          <w:i/>
          <w:iCs/>
        </w:rPr>
        <w:t xml:space="preserve">β</w:t>
      </w:r>
      <w:r>
        <w:t xml:space="preserve">=0.5、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/</w:t>
      </w:r>
      <w:r>
        <w:rPr>
          <w:i/>
          <w:iCs/>
        </w:rPr>
        <w:t xml:space="preserve">η</w:t>
      </w:r>
      <w:r>
        <w:t xml:space="preserve">=0.3</w:t>
      </w:r>
      <w:r>
        <w:t xml:space="preserve"> 时 </w:t>
      </w:r>
      <w:r>
        <w:rPr>
          <w:i/>
          <w:iCs/>
        </w:rPr>
        <w:t xml:space="preserve">n</w:t>
      </w:r>
      <w:r>
        <w:t xml:space="preserve"> 由 10 增至 200</w:t>
      </w:r>
      <w:r>
        <w:t xml:space="preserve"> 的步长—样本量研究；（ii）精度随步长的收敛；（iii）三种网格策略在同一“硬回归”设置下的成本—有解率比较。</w:t>
      </w:r>
    </w:p>
    <w:p>
      <w:pPr>
        <w:pStyle w:val="Heading1"/>
        <w:spacing w:after="140" w:before="260"/>
      </w:pPr>
      <w:r>
        <w:t xml:space="preserve">5　有解率与两类无解</w:t>
      </w:r>
    </w:p>
    <w:p>
      <w:pPr>
        <w:spacing w:after="120" w:line="312" w:lineRule="auto"/>
        <w:ind w:firstLine="420"/>
        <w:jc w:val="both"/>
      </w:pPr>
      <w:r>
        <w:t xml:space="preserve">基准网格给出的总体有解率为 </w:t>
      </w:r>
      <w:r>
        <w:rPr>
          <w:b/>
          <w:bCs/>
        </w:rPr>
        <w:t xml:space="preserve">84.0%</w:t>
      </w:r>
      <w:r>
        <w:t xml:space="preserve">。按位移比与形状分层见表 3。可解性对位移比 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/</w:t>
      </w:r>
      <w:r>
        <w:rPr>
          <w:i/>
          <w:iCs/>
        </w:rPr>
        <w:t xml:space="preserve">η</w:t>
      </w:r>
      <w:r>
        <w:t xml:space="preserve"> 极为敏感：从 </w:t>
      </w:r>
      <w:r>
        <w:rPr>
          <w:i/>
          <w:iCs/>
        </w:rPr>
        <w:t xml:space="preserve">γ</w:t>
      </w:r>
      <w:r>
        <w:t xml:space="preserve">→0</w:t>
      </w:r>
      <w:r>
        <w:t xml:space="preserve"> 的约一半，单调升至 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/</w:t>
      </w:r>
      <w:r>
        <w:rPr>
          <w:i/>
          <w:iCs/>
        </w:rPr>
        <w:t xml:space="preserve">η</w:t>
      </w:r>
      <w:r>
        <w:t xml:space="preserve">=1</w:t>
      </w:r>
      <w:r>
        <w:t xml:space="preserve"> 的近乎必有解；对形状 </w:t>
      </w:r>
      <w:r>
        <w:rPr>
          <w:i/>
          <w:iCs/>
        </w:rPr>
        <w:t xml:space="preserve">β</w:t>
      </w:r>
      <w:r>
        <w:t xml:space="preserve"> 的依赖则平缓（81%–88%）。</w:t>
      </w:r>
    </w:p>
    <w:p>
      <w:pPr>
        <w:spacing w:after="80" w:before="60"/>
        <w:jc w:val="center"/>
      </w:pPr>
      <w:r>
        <w:rPr>
          <w:b/>
          <w:bCs/>
        </w:rPr>
        <w:t xml:space="preserve">表 3　</w:t>
      </w:r>
      <w:r>
        <w:t xml:space="preserve">基准有解率（按 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/</w:t>
      </w:r>
      <w:r>
        <w:rPr>
          <w:i/>
          <w:iCs/>
        </w:rPr>
        <w:t xml:space="preserve">η</w:t>
      </w:r>
      <w:r>
        <w:t xml:space="preserve"> 与 </w:t>
      </w:r>
      <w:r>
        <w:rPr>
          <w:i/>
          <w:iCs/>
        </w:rPr>
        <w:t xml:space="preserve">β</w:t>
      </w:r>
      <w:r>
        <w:t xml:space="preserve"> 分层）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位移比 </w:t>
            </w:r>
            <w:r>
              <w:rPr>
                <w:i/>
                <w:iCs/>
              </w:rPr>
              <w:t xml:space="preserve">γ</w:t>
            </w:r>
            <w:r>
              <w:rPr>
                <w:vertAlign w:val="subscript"/>
              </w:rPr>
              <w:t xml:space="preserve">0</w:t>
            </w:r>
            <w:r>
              <w:t xml:space="preserve">/</w:t>
            </w:r>
            <w:r>
              <w:rPr>
                <w:i/>
                <w:iCs/>
              </w:rPr>
              <w:t xml:space="preserve">η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</w:rPr>
              <w:t xml:space="preserve">基准有解率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形状 </w:t>
            </w:r>
            <w:r>
              <w:rPr>
                <w:i/>
                <w:iCs/>
              </w:rPr>
              <w:t xml:space="preserve">β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</w:rPr>
              <w:t xml:space="preserve">基准有解率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0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52.7%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0.5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86.2%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0.1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84.5%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1.0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81.0%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0.5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98.7%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1.5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81.0%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1.0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100.0%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2.0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83.5%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总体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</w:rPr>
              <w:t xml:space="preserve">84.0%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3.0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87.9%</w:t>
            </w:r>
          </w:p>
        </w:tc>
      </w:tr>
    </w:tbl>
    <w:p>
      <w:pPr>
        <w:pStyle w:val="Heading2"/>
        <w:spacing w:after="100" w:before="180"/>
      </w:pPr>
      <w:r>
        <w:t xml:space="preserve">5.1　第一类：数值漏检</w:t>
      </w:r>
    </w:p>
    <w:p>
      <w:pPr>
        <w:spacing w:after="120" w:line="312" w:lineRule="auto"/>
        <w:ind w:firstLine="420"/>
        <w:jc w:val="both"/>
      </w:pPr>
      <w:r>
        <w:t xml:space="preserve">将被检程序（每段 </w:t>
      </w:r>
      <w:r>
        <w:rPr>
          <w:i/>
          <w:iCs/>
        </w:rPr>
        <w:t xml:space="preserve">k</w:t>
      </w:r>
      <w:r>
        <w:t xml:space="preserve"> 步）与基准对照可见：随 </w:t>
      </w:r>
      <w:r>
        <w:rPr>
          <w:i/>
          <w:iCs/>
        </w:rPr>
        <w:t xml:space="preserve">k</w:t>
      </w:r>
      <w:r>
        <w:t xml:space="preserve"> 增大，总体有解率由 81.3% 单调升至 83.7%，逼近基准 84.0%（图 3 左、第 7 节表 6）；与此同时，</w:t>
      </w:r>
      <w:r>
        <w:rPr>
          <w:b/>
          <w:bCs/>
        </w:rPr>
        <w:t xml:space="preserve">漏检计数</w:t>
      </w:r>
      <w:r>
        <w:t xml:space="preserve">（基准可解而程序判无解）由 </w:t>
      </w:r>
      <w:r>
        <w:rPr>
          <w:i/>
          <w:iCs/>
        </w:rPr>
        <w:t xml:space="preserve">k</w:t>
      </w:r>
      <w:r>
        <w:t xml:space="preserve">=10 时的 64 降至 </w:t>
      </w:r>
      <w:r>
        <w:rPr>
          <w:i/>
          <w:iCs/>
        </w:rPr>
        <w:t xml:space="preserve">k</w:t>
      </w:r>
      <w:r>
        <w:t xml:space="preserve">=200 时的 6。</w:t>
      </w:r>
      <w:r>
        <w:t xml:space="preserve">可见此类无解并非固有，而是网格分辨率不足所致，加密即可大幅消除。其机理（根贴近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、末节点斜率符号随加密翻转）将在第 7 节展开。</w:t>
      </w:r>
    </w:p>
    <w:p>
      <w:pPr>
        <w:pStyle w:val="Heading2"/>
        <w:spacing w:after="100" w:before="180"/>
      </w:pPr>
      <w:r>
        <w:t xml:space="preserve">5.2　第二类：真无解</w:t>
      </w:r>
    </w:p>
    <w:p>
      <w:pPr>
        <w:spacing w:after="120" w:line="312" w:lineRule="auto"/>
        <w:ind w:firstLine="420"/>
        <w:jc w:val="both"/>
      </w:pPr>
      <w:r>
        <w:t xml:space="preserve">在基准网格上仍无交点的样本即真无解。一个关键的实证事实是：本次重跑中，</w:t>
      </w:r>
      <w:r>
        <w:rPr>
          <w:b/>
          <w:bCs/>
        </w:rPr>
        <w:t xml:space="preserve">100% 的真无解样本</w:t>
      </w:r>
      <w:r>
        <w:t xml:space="preserve"> 其无解原因码均为「</w:t>
      </w:r>
      <w:r>
        <w:rPr>
          <w:i/>
          <w:iCs/>
        </w:rPr>
        <w:t xml:space="preserve">g</w:t>
      </w:r>
      <w:r>
        <w:t xml:space="preserve"> 全域高于 offset</w:t>
      </w:r>
      <w:r>
        <w:t xml:space="preserve">」——即廓线梯度在整个 [0,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) 上恒大于 0.1，从不下探到判据水平。换言之，真无解不是“交点被算丢”，而是</w:t>
      </w:r>
      <w:r>
        <w:rPr>
          <w:b/>
          <w:bCs/>
        </w:rPr>
        <w:t xml:space="preserve">域内根本不存在斜率等于 offset 的点</w:t>
      </w:r>
      <w:r>
        <w:t xml:space="preserve">。图 2（正例）则给出对照：当 </w:t>
      </w:r>
      <w:r>
        <w:rPr>
          <w:i/>
          <w:iCs/>
        </w:rPr>
        <w:t xml:space="preserve">β</w:t>
      </w:r>
      <w:r>
        <w:t xml:space="preserve">=2、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/</w:t>
      </w:r>
      <w:r>
        <w:rPr>
          <w:i/>
          <w:iCs/>
        </w:rPr>
        <w:t xml:space="preserve">η</w:t>
      </w:r>
      <w:r>
        <w:t xml:space="preserve">=1、</w:t>
      </w:r>
      <w:r>
        <w:rPr>
          <w:i/>
          <w:iCs/>
        </w:rPr>
        <w:t xml:space="preserve">n</w:t>
      </w:r>
      <w:r>
        <w:t xml:space="preserve">=30</w:t>
      </w:r>
      <w:r>
        <w:t xml:space="preserve"> 时 </w:t>
      </w:r>
      <w:r>
        <w:rPr>
          <w:i/>
          <w:iCs/>
        </w:rPr>
        <w:t xml:space="preserve">g</w:t>
      </w:r>
      <w:r>
        <w:t xml:space="preserve">(</w:t>
      </w:r>
      <w:r>
        <w:rPr>
          <w:i/>
          <w:iCs/>
        </w:rPr>
        <w:t xml:space="preserve">γ</w:t>
      </w:r>
      <w:r>
        <w:t xml:space="preserve">)</w:t>
      </w:r>
      <w:r>
        <w:t xml:space="preserve"> 升过 offset，存在唯一交点。第 6 节用一个真实样本证明真无解的成因。</w:t>
      </w:r>
    </w:p>
    <w:p>
      <w:pPr>
        <w:spacing w:after="60" w:before="80"/>
        <w:jc w:val="center"/>
      </w:pPr>
      <w:r>
        <w:drawing>
          <wp:inline distT="0" distB="0" distL="0" distR="0">
            <wp:extent cx="3619500" cy="2771775"/>
            <wp:effectExtent t="0" r="0" b="0" l="0"/>
            <wp:docPr id="1" name="fig03_positive" descr="fig03_positive" title="fig03_posi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</w:rPr>
        <w:t xml:space="preserve">图 3　</w:t>
      </w:r>
      <w:r>
        <w:t xml:space="preserve">正例（有解）：梯度 </w:t>
      </w:r>
      <w:r>
        <w:rPr>
          <w:i/>
          <w:iCs/>
        </w:rPr>
        <w:t xml:space="preserve">g</w:t>
      </w:r>
      <w:r>
        <w:t xml:space="preserve">(</w:t>
      </w:r>
      <w:r>
        <w:rPr>
          <w:i/>
          <w:iCs/>
        </w:rPr>
        <w:t xml:space="preserve">γ</w:t>
      </w:r>
      <w:r>
        <w:t xml:space="preserve">)</w:t>
      </w:r>
      <w:r>
        <w:t xml:space="preserve"> 升过 offset，存在唯一交点 </w:t>
      </w:r>
      <w:r>
        <w:rPr>
          <w:i/>
          <w:iCs/>
        </w:rPr>
        <w:t xml:space="preserve">γ</w:t>
      </w:r>
      <w:r>
        <w:t xml:space="preserve">*</w:t>
      </w:r>
      <w:r>
        <w:t xml:space="preserve">（</w:t>
      </w:r>
      <w:r>
        <w:rPr>
          <w:i/>
          <w:iCs/>
        </w:rPr>
        <w:t xml:space="preserve">β</w:t>
      </w:r>
      <w:r>
        <w:t xml:space="preserve">=2，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/</w:t>
      </w:r>
      <w:r>
        <w:rPr>
          <w:i/>
          <w:iCs/>
        </w:rPr>
        <w:t xml:space="preserve">η</w:t>
      </w:r>
      <w:r>
        <w:t xml:space="preserve">=1，</w:t>
      </w:r>
      <w:r>
        <w:rPr>
          <w:i/>
          <w:iCs/>
        </w:rPr>
        <w:t xml:space="preserve">n</w:t>
      </w:r>
      <w:r>
        <w:t xml:space="preserve">=30</w:t>
      </w:r>
      <w:r>
        <w:t xml:space="preserve">）。</w:t>
      </w:r>
    </w:p>
    <w:p>
      <w:pPr>
        <w:pStyle w:val="Heading1"/>
        <w:spacing w:after="140" w:before="260"/>
      </w:pPr>
      <w:r>
        <w:t xml:space="preserve">6　真无解的机理与证明</w:t>
      </w:r>
    </w:p>
    <w:p>
      <w:pPr>
        <w:pStyle w:val="Heading2"/>
        <w:spacing w:after="100" w:before="180"/>
      </w:pPr>
      <w:r>
        <w:t xml:space="preserve">6.1　σ² 是 γ 的二次函数（而 σ 不是抛物线）</w:t>
      </w:r>
    </w:p>
    <w:p>
      <w:pPr>
        <w:spacing w:after="120" w:line="312" w:lineRule="auto"/>
        <w:ind w:firstLine="420"/>
        <w:jc w:val="both"/>
      </w:pPr>
      <w:r>
        <w:t xml:space="preserve">固定 </w:t>
      </w:r>
      <w:r>
        <w:rPr>
          <w:i/>
          <w:iCs/>
        </w:rPr>
        <w:t xml:space="preserve">β</w:t>
      </w:r>
      <w:r>
        <w:t xml:space="preserve">，令 </w:t>
      </w:r>
      <w:r>
        <w:rPr>
          <w:i/>
          <w:iCs/>
        </w:rPr>
        <w:t xml:space="preserve">a</w:t>
      </w:r>
      <w:r>
        <w:rPr>
          <w:vertAlign w:val="subscript"/>
        </w:rPr>
        <w:t xml:space="preserve">i</w:t>
      </w:r>
      <w:r>
        <w:t xml:space="preserve">=</w:t>
      </w:r>
      <w:r>
        <w:rPr>
          <w:i/>
          <w:iCs/>
        </w:rPr>
        <w:t xml:space="preserve">x</w:t>
      </w:r>
      <w:r>
        <w:rPr>
          <w:vertAlign w:val="subscript"/>
        </w:rPr>
        <w:t xml:space="preserve">i</w:t>
      </w:r>
      <w:r>
        <w:rPr>
          <w:vertAlign w:val="superscript"/>
        </w:rPr>
        <w:t xml:space="preserve">1/β</w:t>
      </w:r>
      <w:r>
        <w:t xml:space="preserve">、</w:t>
      </w:r>
      <w:r>
        <w:rPr>
          <w:i/>
          <w:iCs/>
        </w:rPr>
        <w:t xml:space="preserve">u</w:t>
      </w:r>
      <w:r>
        <w:rPr>
          <w:vertAlign w:val="subscript"/>
        </w:rPr>
        <w:t xml:space="preserve">i</w:t>
      </w:r>
      <w:r>
        <w:t xml:space="preserve">=</w:t>
      </w:r>
      <w:r>
        <w:rPr>
          <w:i/>
          <w:iCs/>
        </w:rPr>
        <w:t xml:space="preserve">t</w:t>
      </w:r>
      <w:r>
        <w:rPr>
          <w:vertAlign w:val="subscript"/>
        </w:rPr>
        <w:t xml:space="preserve">(i)</w:t>
      </w:r>
      <w:r>
        <w:t xml:space="preserve">/</w:t>
      </w:r>
      <w:r>
        <w:rPr>
          <w:i/>
          <w:iCs/>
        </w:rPr>
        <w:t xml:space="preserve">a</w:t>
      </w:r>
      <w:r>
        <w:rPr>
          <w:vertAlign w:val="subscript"/>
        </w:rPr>
        <w:t xml:space="preserve">i</w:t>
      </w:r>
      <w:r>
        <w:t xml:space="preserve">、</w:t>
      </w:r>
      <w:r>
        <w:rPr>
          <w:i/>
          <w:iCs/>
        </w:rPr>
        <w:t xml:space="preserve">v</w:t>
      </w:r>
      <w:r>
        <w:rPr>
          <w:vertAlign w:val="subscript"/>
        </w:rPr>
        <w:t xml:space="preserve">i</w:t>
      </w:r>
      <w:r>
        <w:t xml:space="preserve">=1/</w:t>
      </w:r>
      <w:r>
        <w:rPr>
          <w:i/>
          <w:iCs/>
        </w:rPr>
        <w:t xml:space="preserve">a</w:t>
      </w:r>
      <w:r>
        <w:rPr>
          <w:vertAlign w:val="subscript"/>
        </w:rPr>
        <w:t xml:space="preserve">i</w:t>
      </w:r>
      <w:r>
        <w:t xml:space="preserve">，则 </w:t>
      </w:r>
      <w:r>
        <w:rPr>
          <w:i/>
          <w:iCs/>
        </w:rPr>
        <w:t xml:space="preserve">η̂</w:t>
      </w:r>
      <w:r>
        <w:rPr>
          <w:vertAlign w:val="subscript"/>
        </w:rPr>
        <w:t xml:space="preserve">i</w:t>
      </w:r>
      <w:r>
        <w:t xml:space="preserve">=</w:t>
      </w:r>
      <w:r>
        <w:rPr>
          <w:i/>
          <w:iCs/>
        </w:rPr>
        <w:t xml:space="preserve">u</w:t>
      </w:r>
      <w:r>
        <w:rPr>
          <w:vertAlign w:val="subscript"/>
        </w:rPr>
        <w:t xml:space="preserve">i</w:t>
      </w:r>
      <w:r>
        <w:t xml:space="preserve">−</w:t>
      </w:r>
      <w:r>
        <w:rPr>
          <w:i/>
          <w:iCs/>
        </w:rPr>
        <w:t xml:space="preserve">γ</w:t>
      </w:r>
      <w:r>
        <w:rPr>
          <w:i/>
          <w:iCs/>
        </w:rPr>
        <w:t xml:space="preserve">v</w:t>
      </w:r>
      <w:r>
        <w:rPr>
          <w:vertAlign w:val="subscript"/>
        </w:rPr>
        <w:t xml:space="preserve">i</w:t>
      </w:r>
      <w:r>
        <w:t xml:space="preserve">，于是伪尺度方差关于 </w:t>
      </w:r>
      <w:r>
        <w:rPr>
          <w:i/>
          <w:iCs/>
        </w:rPr>
        <w:t xml:space="preserve">γ</w:t>
      </w:r>
      <w:r>
        <w:t xml:space="preserve"> 是一个</w:t>
      </w:r>
      <w:r>
        <w:rPr>
          <w:b/>
          <w:bCs/>
        </w:rPr>
        <w:t xml:space="preserve">上开口二次函数</w:t>
      </w:r>
      <w:r>
        <w:t xml:space="preserve">：</w:t>
      </w:r>
    </w:p>
    <w:p>
      <w:pPr>
        <w:spacing w:after="120" w:before="80" w:line="312" w:lineRule="auto"/>
        <w:jc w:val="center"/>
      </w:pPr>
      <w:r>
        <w:rPr>
          <w:i/>
          <w:iCs/>
        </w:rPr>
        <w:t xml:space="preserve">σ</w:t>
      </w:r>
      <w:r>
        <w:rPr>
          <w:vertAlign w:val="superscript"/>
        </w:rPr>
        <w:t xml:space="preserve">2</w:t>
      </w:r>
      <w:r>
        <w:t xml:space="preserve">(</w:t>
      </w:r>
      <w:r>
        <w:rPr>
          <w:i/>
          <w:iCs/>
        </w:rPr>
        <w:t xml:space="preserve">β</w:t>
      </w:r>
      <w:r>
        <w:t xml:space="preserve">|</w:t>
      </w:r>
      <w:r>
        <w:rPr>
          <w:i/>
          <w:iCs/>
        </w:rPr>
        <w:t xml:space="preserve">γ</w:t>
      </w:r>
      <w:r>
        <w:t xml:space="preserve">)=</w:t>
      </w:r>
      <w:r>
        <w:rPr>
          <w:i/>
          <w:iCs/>
        </w:rPr>
        <w:t xml:space="preserve">C</w:t>
      </w:r>
      <w:r>
        <w:rPr>
          <w:vertAlign w:val="subscript"/>
        </w:rPr>
        <w:t xml:space="preserve">uu</w:t>
      </w:r>
      <w:r>
        <w:t xml:space="preserve"> − 2</w:t>
      </w:r>
      <w:r>
        <w:rPr>
          <w:i/>
          <w:iCs/>
        </w:rPr>
        <w:t xml:space="preserve">γ</w:t>
      </w:r>
      <w:r>
        <w:rPr>
          <w:i/>
          <w:iCs/>
        </w:rPr>
        <w:t xml:space="preserve">C</w:t>
      </w:r>
      <w:r>
        <w:rPr>
          <w:vertAlign w:val="subscript"/>
        </w:rPr>
        <w:t xml:space="preserve">uv</w:t>
      </w:r>
      <w:r>
        <w:t xml:space="preserve"> + </w:t>
      </w:r>
      <w:r>
        <w:rPr>
          <w:i/>
          <w:iCs/>
        </w:rPr>
        <w:t xml:space="preserve">γ</w:t>
      </w:r>
      <w:r>
        <w:rPr>
          <w:vertAlign w:val="superscript"/>
        </w:rPr>
        <w:t xml:space="preserve">2</w:t>
      </w:r>
      <w:r>
        <w:rPr>
          <w:i/>
          <w:iCs/>
        </w:rPr>
        <w:t xml:space="preserve">C</w:t>
      </w:r>
      <w:r>
        <w:rPr>
          <w:vertAlign w:val="subscript"/>
        </w:rPr>
        <w:t xml:space="preserve">vv</w:t>
      </w:r>
    </w:p>
    <w:p>
      <w:pPr>
        <w:spacing w:after="120" w:line="312" w:lineRule="auto"/>
        <w:ind w:firstLine="420"/>
        <w:jc w:val="both"/>
      </w:pPr>
      <w:r>
        <w:t xml:space="preserve">其中 </w:t>
      </w:r>
      <w:r>
        <w:rPr>
          <w:i/>
          <w:iCs/>
        </w:rPr>
        <w:t xml:space="preserve">C</w:t>
      </w:r>
      <w:r>
        <w:rPr>
          <w:vertAlign w:val="subscript"/>
        </w:rPr>
        <w:t xml:space="preserve">uu</w:t>
      </w:r>
      <w:r>
        <w:t xml:space="preserve">、</w:t>
      </w:r>
      <w:r>
        <w:rPr>
          <w:i/>
          <w:iCs/>
        </w:rPr>
        <w:t xml:space="preserve">C</w:t>
      </w:r>
      <w:r>
        <w:rPr>
          <w:vertAlign w:val="subscript"/>
        </w:rPr>
        <w:t xml:space="preserve">uv</w:t>
      </w:r>
      <w:r>
        <w:t xml:space="preserve">、</w:t>
      </w:r>
      <w:r>
        <w:rPr>
          <w:i/>
          <w:iCs/>
        </w:rPr>
        <w:t xml:space="preserve">C</w:t>
      </w:r>
      <w:r>
        <w:rPr>
          <w:vertAlign w:val="subscript"/>
        </w:rPr>
        <w:t xml:space="preserve">vv</w:t>
      </w:r>
      <w:r>
        <w:t xml:space="preserve"> 分别为 </w:t>
      </w:r>
      <w:r>
        <w:rPr>
          <w:i/>
          <w:iCs/>
        </w:rPr>
        <w:t xml:space="preserve">u</w:t>
      </w:r>
      <w:r>
        <w:t xml:space="preserve">、</w:t>
      </w:r>
      <w:r>
        <w:t xml:space="preserve">(</w:t>
      </w:r>
      <w:r>
        <w:rPr>
          <w:i/>
          <w:iCs/>
        </w:rPr>
        <w:t xml:space="preserve">u</w:t>
      </w:r>
      <w:r>
        <w:t xml:space="preserve">,</w:t>
      </w:r>
      <w:r>
        <w:rPr>
          <w:i/>
          <w:iCs/>
        </w:rPr>
        <w:t xml:space="preserve">v</w:t>
      </w:r>
      <w:r>
        <w:t xml:space="preserve">) 与 </w:t>
      </w:r>
      <w:r>
        <w:rPr>
          <w:i/>
          <w:iCs/>
        </w:rPr>
        <w:t xml:space="preserve">v</w:t>
      </w:r>
      <w:r>
        <w:t xml:space="preserve"> 的（无偏）样本方差与协方差。需要纠正一个常见的不精确说法：</w:t>
      </w:r>
      <w:r>
        <w:rPr>
          <w:b/>
          <w:bCs/>
        </w:rPr>
        <w:t xml:space="preserve">是 </w:t>
      </w:r>
      <w:r>
        <w:rPr>
          <w:i/>
          <w:iCs/>
        </w:rPr>
        <w:t xml:space="preserve">σ</w:t>
      </w:r>
      <w:r>
        <w:rPr>
          <w:vertAlign w:val="superscript"/>
        </w:rPr>
        <w:t xml:space="preserve">2</w:t>
      </w:r>
      <w:r>
        <w:rPr>
          <w:b/>
          <w:bCs/>
        </w:rPr>
        <w:t xml:space="preserve"> 为抛物线，而非 </w:t>
      </w:r>
      <w:r>
        <w:rPr>
          <w:i/>
          <w:iCs/>
        </w:rPr>
        <w:t xml:space="preserve">σ</w:t>
      </w:r>
      <w:r>
        <w:rPr>
          <w:b/>
          <w:bCs/>
        </w:rPr>
        <w:t xml:space="preserve"> 本身</w:t>
      </w:r>
      <w:r>
        <w:t xml:space="preserve">；</w:t>
      </w:r>
      <w:r>
        <w:rPr>
          <w:i/>
          <w:iCs/>
        </w:rPr>
        <w:t xml:space="preserve">σ</w:t>
      </w:r>
      <w:r>
        <w:t xml:space="preserve"> 作为该抛物线的平方根，呈 U/V 形而非抛物线。其顶点（对固定 </w:t>
      </w:r>
      <w:r>
        <w:rPr>
          <w:i/>
          <w:iCs/>
        </w:rPr>
        <w:t xml:space="preserve">β</w:t>
      </w:r>
      <w:r>
        <w:t xml:space="preserve"> 而言）位于 </w:t>
      </w:r>
      <w:r>
        <w:rPr>
          <w:i/>
          <w:iCs/>
        </w:rPr>
        <w:t xml:space="preserve">γ</w:t>
      </w:r>
      <w:r>
        <w:rPr>
          <w:vertAlign w:val="subscript"/>
        </w:rPr>
        <w:t xml:space="preserve">v</w:t>
      </w:r>
      <w:r>
        <w:t xml:space="preserve">=</w:t>
      </w:r>
      <w:r>
        <w:rPr>
          <w:i/>
          <w:iCs/>
        </w:rPr>
        <w:t xml:space="preserve">C</w:t>
      </w:r>
      <w:r>
        <w:rPr>
          <w:vertAlign w:val="subscript"/>
        </w:rPr>
        <w:t xml:space="preserve">uv</w:t>
      </w:r>
      <w:r>
        <w:t xml:space="preserve"> / </w:t>
      </w:r>
      <w:r>
        <w:rPr>
          <w:i/>
          <w:iCs/>
        </w:rPr>
        <w:t xml:space="preserve">C</w:t>
      </w:r>
      <w:r>
        <w:rPr>
          <w:vertAlign w:val="subscript"/>
        </w:rPr>
        <w:t xml:space="preserve">vv</w:t>
      </w:r>
      <w:r>
        <w:t xml:space="preserve">。</w:t>
      </w:r>
    </w:p>
    <w:p>
      <w:pPr>
        <w:pStyle w:val="Heading2"/>
        <w:spacing w:after="100" w:before="180"/>
      </w:pPr>
      <w:r>
        <w:t xml:space="preserve">6.2　真形状下的分解与顶点位置</w:t>
      </w:r>
    </w:p>
    <w:p>
      <w:pPr>
        <w:spacing w:after="120" w:line="312" w:lineRule="auto"/>
        <w:ind w:firstLine="420"/>
        <w:jc w:val="both"/>
      </w:pPr>
      <w:r>
        <w:t xml:space="preserve">在真形状 </w:t>
      </w:r>
      <w:r>
        <w:rPr>
          <w:i/>
          <w:iCs/>
        </w:rPr>
        <w:t xml:space="preserve">β</w:t>
      </w:r>
      <w:r>
        <w:rPr>
          <w:vertAlign w:val="subscript"/>
        </w:rPr>
        <w:t xml:space="preserve">0</w:t>
      </w:r>
      <w:r>
        <w:t xml:space="preserve"> 处，把每个伪尺度写成 </w:t>
      </w:r>
      <w:r>
        <w:rPr>
          <w:i/>
          <w:iCs/>
        </w:rPr>
        <w:t xml:space="preserve">η̂</w:t>
      </w:r>
      <w:r>
        <w:rPr>
          <w:vertAlign w:val="subscript"/>
        </w:rPr>
        <w:t xml:space="preserve">i</w:t>
      </w:r>
      <w:r>
        <w:t xml:space="preserve">(</w:t>
      </w:r>
      <w:r>
        <w:rPr>
          <w:i/>
          <w:iCs/>
        </w:rPr>
        <w:t xml:space="preserve">β</w:t>
      </w:r>
      <w:r>
        <w:rPr>
          <w:vertAlign w:val="subscript"/>
        </w:rPr>
        <w:t xml:space="preserve">0</w:t>
      </w:r>
      <w:r>
        <w:t xml:space="preserve">,</w:t>
      </w:r>
      <w:r>
        <w:rPr>
          <w:i/>
          <w:iCs/>
        </w:rPr>
        <w:t xml:space="preserve">γ</w:t>
      </w:r>
      <w:r>
        <w:t xml:space="preserve">)=</w:t>
      </w:r>
      <w:r>
        <w:rPr>
          <w:i/>
          <w:iCs/>
        </w:rPr>
        <w:t xml:space="preserve">η</w:t>
      </w:r>
      <w:r>
        <w:rPr>
          <w:i/>
          <w:iCs/>
        </w:rPr>
        <w:t xml:space="preserve">ρ</w:t>
      </w:r>
      <w:r>
        <w:rPr>
          <w:vertAlign w:val="subscript"/>
        </w:rPr>
        <w:t xml:space="preserve">i</w:t>
      </w:r>
      <w:r>
        <w:t xml:space="preserve">−(</w:t>
      </w:r>
      <w:r>
        <w:rPr>
          <w:i/>
          <w:iCs/>
        </w:rPr>
        <w:t xml:space="preserve">γ</w:t>
      </w:r>
      <w:r>
        <w:t xml:space="preserve">−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)</w:t>
      </w:r>
      <w:r>
        <w:rPr>
          <w:i/>
          <w:iCs/>
        </w:rPr>
        <w:t xml:space="preserve">v</w:t>
      </w:r>
      <w:r>
        <w:rPr>
          <w:vertAlign w:val="subscript"/>
        </w:rPr>
        <w:t xml:space="preserve">i</w:t>
      </w:r>
      <w:r>
        <w:t xml:space="preserve">，其中 </w:t>
      </w:r>
      <w:r>
        <w:rPr>
          <w:i/>
          <w:iCs/>
        </w:rPr>
        <w:t xml:space="preserve">ρ</w:t>
      </w:r>
      <w:r>
        <w:rPr>
          <w:vertAlign w:val="subscript"/>
        </w:rPr>
        <w:t xml:space="preserve">i</w:t>
      </w:r>
      <w:r>
        <w:t xml:space="preserve">=(</w:t>
      </w:r>
      <w:r>
        <w:rPr>
          <w:i/>
          <w:iCs/>
        </w:rPr>
        <w:t xml:space="preserve">r</w:t>
      </w:r>
      <w:r>
        <w:rPr>
          <w:vertAlign w:val="subscript"/>
        </w:rPr>
        <w:t xml:space="preserve">i</w:t>
      </w:r>
      <w:r>
        <w:t xml:space="preserve">/</w:t>
      </w:r>
      <w:r>
        <w:rPr>
          <w:i/>
          <w:iCs/>
        </w:rPr>
        <w:t xml:space="preserve">x</w:t>
      </w:r>
      <w:r>
        <w:rPr>
          <w:vertAlign w:val="subscript"/>
        </w:rPr>
        <w:t xml:space="preserve">i</w:t>
      </w:r>
      <w:r>
        <w:t xml:space="preserve">)</w:t>
      </w:r>
      <w:r>
        <w:rPr>
          <w:vertAlign w:val="superscript"/>
        </w:rPr>
        <w:t xml:space="preserve">1/</w:t>
      </w:r>
      <w:r>
        <w:rPr>
          <w:i/>
          <w:iCs/>
        </w:rPr>
        <w:t xml:space="preserve">β</w:t>
      </w:r>
      <w:r>
        <w:rPr>
          <w:vertAlign w:val="subscript"/>
        </w:rPr>
        <w:t xml:space="preserve">0</w:t>
      </w:r>
      <w:r>
        <w:t xml:space="preserve"> 刻画“实现约化次序统计量”与“秩约化变量”之差。由此得</w:t>
      </w:r>
      <w:r>
        <w:rPr>
          <w:b/>
          <w:bCs/>
        </w:rPr>
        <w:t xml:space="preserve">可分解的二次式</w:t>
      </w:r>
      <w:r>
        <w:t xml:space="preserve">：</w:t>
      </w:r>
    </w:p>
    <w:p>
      <w:pPr>
        <w:spacing w:after="120" w:before="80" w:line="312" w:lineRule="auto"/>
        <w:jc w:val="center"/>
      </w:pPr>
      <w:r>
        <w:rPr>
          <w:i/>
          <w:iCs/>
        </w:rPr>
        <w:t xml:space="preserve">σ</w:t>
      </w:r>
      <w:r>
        <w:rPr>
          <w:vertAlign w:val="superscript"/>
        </w:rPr>
        <w:t xml:space="preserve">2</w:t>
      </w:r>
      <w:r>
        <w:t xml:space="preserve">(</w:t>
      </w:r>
      <w:r>
        <w:rPr>
          <w:i/>
          <w:iCs/>
        </w:rPr>
        <w:t xml:space="preserve">β</w:t>
      </w:r>
      <w:r>
        <w:rPr>
          <w:vertAlign w:val="subscript"/>
        </w:rPr>
        <w:t xml:space="preserve">0</w:t>
      </w:r>
      <w:r>
        <w:t xml:space="preserve">|</w:t>
      </w:r>
      <w:r>
        <w:rPr>
          <w:i/>
          <w:iCs/>
        </w:rPr>
        <w:t xml:space="preserve">γ</w:t>
      </w:r>
      <w:r>
        <w:t xml:space="preserve">)=</w:t>
      </w:r>
      <w:r>
        <w:rPr>
          <w:i/>
          <w:iCs/>
        </w:rPr>
        <w:t xml:space="preserve">η</w:t>
      </w:r>
      <w:r>
        <w:rPr>
          <w:vertAlign w:val="superscript"/>
        </w:rPr>
        <w:t xml:space="preserve">2</w:t>
      </w:r>
      <w:r>
        <w:t xml:space="preserve">Var(</w:t>
      </w:r>
      <w:r>
        <w:rPr>
          <w:i/>
          <w:iCs/>
        </w:rPr>
        <w:t xml:space="preserve">ρ</w:t>
      </w:r>
      <w:r>
        <w:t xml:space="preserve">) − 2(</w:t>
      </w:r>
      <w:r>
        <w:rPr>
          <w:i/>
          <w:iCs/>
        </w:rPr>
        <w:t xml:space="preserve">γ</w:t>
      </w:r>
      <w:r>
        <w:t xml:space="preserve">−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)</w:t>
      </w:r>
      <w:r>
        <w:rPr>
          <w:i/>
          <w:iCs/>
        </w:rPr>
        <w:t xml:space="preserve">η</w:t>
      </w:r>
      <w:r>
        <w:t xml:space="preserve">Cov(</w:t>
      </w:r>
      <w:r>
        <w:rPr>
          <w:i/>
          <w:iCs/>
        </w:rPr>
        <w:t xml:space="preserve">ρ</w:t>
      </w:r>
      <w:r>
        <w:t xml:space="preserve">,</w:t>
      </w:r>
      <w:r>
        <w:rPr>
          <w:i/>
          <w:iCs/>
        </w:rPr>
        <w:t xml:space="preserve">v</w:t>
      </w:r>
      <w:r>
        <w:t xml:space="preserve">) + (</w:t>
      </w:r>
      <w:r>
        <w:rPr>
          <w:i/>
          <w:iCs/>
        </w:rPr>
        <w:t xml:space="preserve">γ</w:t>
      </w:r>
      <w:r>
        <w:t xml:space="preserve">−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)</w:t>
      </w:r>
      <w:r>
        <w:rPr>
          <w:vertAlign w:val="superscript"/>
        </w:rPr>
        <w:t xml:space="preserve">2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rPr>
          <w:vertAlign w:val="superscript"/>
        </w:rPr>
        <w:t xml:space="preserve">2</w:t>
      </w:r>
    </w:p>
    <w:p>
      <w:pPr>
        <w:spacing w:after="120" w:line="312" w:lineRule="auto"/>
        <w:ind w:firstLine="420"/>
        <w:jc w:val="both"/>
      </w:pPr>
      <w:r>
        <w:t xml:space="preserve">其顶点位于</w:t>
      </w:r>
    </w:p>
    <w:p>
      <w:pPr>
        <w:spacing w:after="120" w:before="80" w:line="312" w:lineRule="auto"/>
        <w:jc w:val="center"/>
      </w:pPr>
      <w:r>
        <w:rPr>
          <w:i/>
          <w:iCs/>
        </w:rPr>
        <w:t xml:space="preserve">γ</w:t>
      </w:r>
      <w:r>
        <w:rPr>
          <w:vertAlign w:val="subscript"/>
        </w:rPr>
        <w:t xml:space="preserve">v</w:t>
      </w:r>
      <w:r>
        <w:t xml:space="preserve"> = 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 + </w:t>
      </w:r>
      <w:r>
        <w:rPr>
          <w:i/>
          <w:iCs/>
        </w:rPr>
        <w:t xml:space="preserve">η</w:t>
      </w:r>
      <w:r>
        <w:t xml:space="preserve">·Cov(</w:t>
      </w:r>
      <w:r>
        <w:rPr>
          <w:i/>
          <w:iCs/>
        </w:rPr>
        <w:t xml:space="preserve">ρ</w:t>
      </w:r>
      <w:r>
        <w:t xml:space="preserve">,</w:t>
      </w:r>
      <w:r>
        <w:rPr>
          <w:i/>
          <w:iCs/>
        </w:rPr>
        <w:t xml:space="preserve">v</w:t>
      </w:r>
      <w:r>
        <w:t xml:space="preserve">) / 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rPr>
          <w:vertAlign w:val="superscript"/>
        </w:rPr>
        <w:t xml:space="preserve">2</w:t>
      </w:r>
      <w:r>
        <w:t xml:space="preserve"> .</w:t>
      </w:r>
    </w:p>
    <w:p>
      <w:pPr>
        <w:spacing w:after="120" w:line="312" w:lineRule="auto"/>
        <w:ind w:firstLine="420"/>
        <w:jc w:val="both"/>
      </w:pPr>
      <w:r>
        <w:t xml:space="preserve">此式在本报告的真实反例上被验证到机器精度：直接计算的 </w:t>
      </w:r>
      <w:r>
        <w:rPr>
          <w:i/>
          <w:iCs/>
        </w:rPr>
        <w:t xml:space="preserve">σ</w:t>
      </w:r>
      <w:r>
        <w:rPr>
          <w:vertAlign w:val="superscript"/>
        </w:rPr>
        <w:t xml:space="preserve">2</w:t>
      </w:r>
      <w:r>
        <w:t xml:space="preserve">(</w:t>
      </w:r>
      <w:r>
        <w:rPr>
          <w:i/>
          <w:iCs/>
        </w:rPr>
        <w:t xml:space="preserve">β</w:t>
      </w:r>
      <w:r>
        <w:rPr>
          <w:vertAlign w:val="subscript"/>
        </w:rPr>
        <w:t xml:space="preserve">0</w:t>
      </w:r>
      <w:r>
        <w:t xml:space="preserve">|</w:t>
      </w:r>
      <w:r>
        <w:rPr>
          <w:i/>
          <w:iCs/>
        </w:rPr>
        <w:t xml:space="preserve">γ</w:t>
      </w:r>
      <w:r>
        <w:t xml:space="preserve">)</w:t>
      </w:r>
      <w:r>
        <w:t xml:space="preserve"> 与上述分解式在整段 </w:t>
      </w:r>
      <w:r>
        <w:rPr>
          <w:i/>
          <w:iCs/>
        </w:rPr>
        <w:t xml:space="preserve">γ</w:t>
      </w:r>
      <w:r>
        <w:t xml:space="preserve"> 上的最大偏差仅 </w:t>
      </w:r>
      <w:r>
        <w:t xml:space="preserve">2.27×10</w:t>
      </w:r>
      <w:r>
        <w:rPr>
          <w:vertAlign w:val="superscript"/>
        </w:rPr>
        <w:t xml:space="preserve">−13</w:t>
      </w:r>
      <w:r>
        <w:t xml:space="preserve">。值得强调：</w:t>
      </w:r>
      <w:r>
        <w:rPr>
          <w:b/>
          <w:bCs/>
        </w:rPr>
        <w:t xml:space="preserve">顶点恰落在 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rPr>
          <w:b/>
          <w:bCs/>
        </w:rPr>
        <w:t xml:space="preserve"> 处只在大样本极限下成立</w:t>
      </w:r>
      <w:r>
        <w:t xml:space="preserve">；有限样本下顶点带有 </w:t>
      </w:r>
      <w:r>
        <w:rPr>
          <w:i/>
          <w:iCs/>
        </w:rPr>
        <w:t xml:space="preserve">η</w:t>
      </w:r>
      <w:r>
        <w:t xml:space="preserve">·Cov(</w:t>
      </w:r>
      <w:r>
        <w:rPr>
          <w:i/>
          <w:iCs/>
        </w:rPr>
        <w:t xml:space="preserve">ρ</w:t>
      </w:r>
      <w:r>
        <w:t xml:space="preserve">,</w:t>
      </w:r>
      <w:r>
        <w:rPr>
          <w:i/>
          <w:iCs/>
        </w:rPr>
        <w:t xml:space="preserve">v</w:t>
      </w:r>
      <w:r>
        <w:t xml:space="preserve">)/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rPr>
          <w:vertAlign w:val="superscript"/>
        </w:rPr>
        <w:t xml:space="preserve">2</w:t>
      </w:r>
      <w:r>
        <w:t xml:space="preserve"> 的偏移项。</w:t>
      </w:r>
    </w:p>
    <w:p>
      <w:pPr>
        <w:pStyle w:val="Heading2"/>
        <w:spacing w:after="100" w:before="180"/>
      </w:pPr>
      <w:r>
        <w:t xml:space="preserve">6.3　包络定理给出的梯度，与控制量 s_v</w:t>
      </w:r>
    </w:p>
    <w:p>
      <w:pPr>
        <w:spacing w:after="120" w:line="312" w:lineRule="auto"/>
        <w:ind w:firstLine="420"/>
        <w:jc w:val="both"/>
      </w:pPr>
      <w:r>
        <w:t xml:space="preserve">廓线对 </w:t>
      </w:r>
      <w:r>
        <w:rPr>
          <w:i/>
          <w:iCs/>
        </w:rPr>
        <w:t xml:space="preserve">β</w:t>
      </w:r>
      <w:r>
        <w:t xml:space="preserve"> 取极小，由包络定理，其梯度等于在 </w:t>
      </w:r>
      <w:r>
        <w:rPr>
          <w:i/>
          <w:iCs/>
        </w:rPr>
        <w:t xml:space="preserve">β</w:t>
      </w:r>
      <w:r>
        <w:t xml:space="preserve">*</w:t>
      </w:r>
      <w:r>
        <w:t xml:space="preserve">(</w:t>
      </w:r>
      <w:r>
        <w:rPr>
          <w:i/>
          <w:iCs/>
        </w:rPr>
        <w:t xml:space="preserve">γ</w:t>
      </w:r>
      <w:r>
        <w:t xml:space="preserve">) 处对 </w:t>
      </w:r>
      <w:r>
        <w:rPr>
          <w:i/>
          <w:iCs/>
        </w:rPr>
        <w:t xml:space="preserve">γ</w:t>
      </w:r>
      <w:r>
        <w:t xml:space="preserve"> 的偏导：</w:t>
      </w:r>
    </w:p>
    <w:p>
      <w:pPr>
        <w:spacing w:after="120" w:before="80" w:line="312" w:lineRule="auto"/>
        <w:jc w:val="center"/>
      </w:pPr>
      <w:r>
        <w:rPr>
          <w:i/>
          <w:iCs/>
        </w:rPr>
        <w:t xml:space="preserve">g</w:t>
      </w:r>
      <w:r>
        <w:t xml:space="preserve">(</w:t>
      </w:r>
      <w:r>
        <w:rPr>
          <w:i/>
          <w:iCs/>
        </w:rPr>
        <w:t xml:space="preserve">γ</w:t>
      </w:r>
      <w:r>
        <w:t xml:space="preserve">)=</w:t>
      </w:r>
      <w:r>
        <w:rPr>
          <w:i/>
          <w:iCs/>
        </w:rPr>
        <w:t xml:space="preserve">S</w:t>
      </w:r>
      <w:r>
        <w:t xml:space="preserve">′</w:t>
      </w:r>
      <w:r>
        <w:t xml:space="preserve">(</w:t>
      </w:r>
      <w:r>
        <w:rPr>
          <w:i/>
          <w:iCs/>
        </w:rPr>
        <w:t xml:space="preserve">γ</w:t>
      </w:r>
      <w:r>
        <w:t xml:space="preserve">) = (</w:t>
      </w:r>
      <w:r>
        <w:rPr>
          <w:i/>
          <w:iCs/>
        </w:rPr>
        <w:t xml:space="preserve">γ</w:t>
      </w:r>
      <w:r>
        <w:rPr>
          <w:i/>
          <w:iCs/>
        </w:rPr>
        <w:t xml:space="preserve">C</w:t>
      </w:r>
      <w:r>
        <w:rPr>
          <w:vertAlign w:val="subscript"/>
        </w:rPr>
        <w:t xml:space="preserve">vv</w:t>
      </w:r>
      <w:r>
        <w:t xml:space="preserve"> − </w:t>
      </w:r>
      <w:r>
        <w:rPr>
          <w:i/>
          <w:iCs/>
        </w:rPr>
        <w:t xml:space="preserve">C</w:t>
      </w:r>
      <w:r>
        <w:rPr>
          <w:vertAlign w:val="subscript"/>
        </w:rPr>
        <w:t xml:space="preserve">uv</w:t>
      </w:r>
      <w:r>
        <w:t xml:space="preserve">) / </w:t>
      </w:r>
      <w:r>
        <w:rPr>
          <w:i/>
          <w:iCs/>
        </w:rPr>
        <w:t xml:space="preserve">S</w:t>
      </w:r>
      <w:r>
        <w:t xml:space="preserve">(</w:t>
      </w:r>
      <w:r>
        <w:rPr>
          <w:i/>
          <w:iCs/>
        </w:rPr>
        <w:t xml:space="preserve">γ</w:t>
      </w:r>
      <w:r>
        <w:t xml:space="preserve">) .</w:t>
      </w:r>
    </w:p>
    <w:p>
      <w:pPr>
        <w:spacing w:after="120" w:line="312" w:lineRule="auto"/>
        <w:ind w:firstLine="420"/>
        <w:jc w:val="both"/>
      </w:pPr>
      <w:r>
        <w:t xml:space="preserve">把分子记为沿“上升臂”的有效斜率，可写成 </w:t>
      </w:r>
      <w:r>
        <w:rPr>
          <w:i/>
          <w:iCs/>
        </w:rPr>
        <w:t xml:space="preserve">g</w:t>
      </w:r>
      <w:r>
        <w:t xml:space="preserve"> = 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t xml:space="preserve">·</w:t>
      </w:r>
      <w:r>
        <w:rPr>
          <w:i/>
          <w:iCs/>
        </w:rPr>
        <w:t xml:space="preserve">w</w:t>
      </w:r>
      <w:r>
        <w:t xml:space="preserve"> / √(</w:t>
      </w:r>
      <w:r>
        <w:rPr>
          <w:i/>
          <w:iCs/>
        </w:rPr>
        <w:t xml:space="preserve">w</w:t>
      </w:r>
      <w:r>
        <w:rPr>
          <w:vertAlign w:val="superscript"/>
        </w:rPr>
        <w:t xml:space="preserve">2</w:t>
      </w:r>
      <w:r>
        <w:t xml:space="preserve"> + </w:t>
      </w:r>
      <w:r>
        <w:rPr>
          <w:i/>
          <w:iCs/>
        </w:rPr>
        <w:t xml:space="preserve">c</w:t>
      </w:r>
      <w:r>
        <w:rPr>
          <w:vertAlign w:val="superscript"/>
        </w:rPr>
        <w:t xml:space="preserve">2</w:t>
      </w:r>
      <w:r>
        <w:t xml:space="preserve">)</w:t>
      </w:r>
      <w:r>
        <w:t xml:space="preserve"> 的形式（</w:t>
      </w:r>
      <w:r>
        <w:rPr>
          <w:i/>
          <w:iCs/>
        </w:rPr>
        <w:t xml:space="preserve">w</w:t>
      </w:r>
      <w:r>
        <w:t xml:space="preserve">、</w:t>
      </w:r>
      <w:r>
        <w:rPr>
          <w:i/>
          <w:iCs/>
        </w:rPr>
        <w:t xml:space="preserve">c</w:t>
      </w:r>
      <w:r>
        <w:t xml:space="preserve"> 为与到顶点距离相关的非负量）。该包络—斜率公式本身是</w:t>
      </w:r>
      <w:r>
        <w:rPr>
          <w:b/>
          <w:bCs/>
        </w:rPr>
        <w:t xml:space="preserve">严格成立</w:t>
      </w:r>
      <w:r>
        <w:t xml:space="preserve"> 的。其关键推论是：</w:t>
      </w:r>
      <w:r>
        <w:rPr>
          <w:i/>
          <w:iCs/>
        </w:rPr>
        <w:t xml:space="preserve">g</w:t>
      </w:r>
      <w:r>
        <w:t xml:space="preserve"> 的量级由判别量 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t xml:space="preserve"> 控制。而 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t xml:space="preserve">=std</w:t>
      </w:r>
      <w:r>
        <w:rPr>
          <w:vertAlign w:val="subscript"/>
        </w:rPr>
        <w:t xml:space="preserve">i</w:t>
      </w:r>
      <w:r>
        <w:t xml:space="preserve">(</w:t>
      </w:r>
      <w:r>
        <w:rPr>
          <w:i/>
          <w:iCs/>
        </w:rPr>
        <w:t xml:space="preserve">x</w:t>
      </w:r>
      <w:r>
        <w:rPr>
          <w:vertAlign w:val="subscript"/>
        </w:rPr>
        <w:t xml:space="preserve">i</w:t>
      </w:r>
      <w:r>
        <w:rPr>
          <w:vertAlign w:val="superscript"/>
        </w:rPr>
        <w:t xml:space="preserve">−1/β</w:t>
      </w:r>
      <w:r>
        <w:t xml:space="preserve">) 是仅依赖 </w:t>
      </w:r>
      <w:r>
        <w:rPr>
          <w:i/>
          <w:iCs/>
        </w:rPr>
        <w:t xml:space="preserve">β</w:t>
      </w:r>
      <w:r>
        <w:t xml:space="preserve">、</w:t>
      </w:r>
      <w:r>
        <w:rPr>
          <w:i/>
          <w:iCs/>
        </w:rPr>
        <w:t xml:space="preserve">n</w:t>
      </w:r>
      <w:r>
        <w:t xml:space="preserve"> 的确定量，在所考察范围内</w:t>
      </w:r>
      <w:r>
        <w:rPr>
          <w:b/>
          <w:bCs/>
        </w:rPr>
        <w:t xml:space="preserve">处处 ≫ offset=0.1</w:t>
      </w:r>
      <w:r>
        <w:t xml:space="preserve">（表 4、图 4）。例如 </w:t>
      </w:r>
      <w:r>
        <w:rPr>
          <w:i/>
          <w:iCs/>
        </w:rPr>
        <w:t xml:space="preserve">n</w:t>
      </w:r>
      <w:r>
        <w:t xml:space="preserve">=10 时 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t xml:space="preserve">(0.5)≈64</w:t>
      </w:r>
      <w:r>
        <w:t xml:space="preserve">、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t xml:space="preserve">(1.5)≈1.63</w:t>
      </w:r>
      <w:r>
        <w:t xml:space="preserve">、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t xml:space="preserve">(3)≈0.52</w:t>
      </w:r>
      <w:r>
        <w:t xml:space="preserve">，均远高于 0.1。</w:t>
      </w:r>
    </w:p>
    <w:p>
      <w:pPr>
        <w:spacing w:after="80" w:before="60"/>
        <w:jc w:val="center"/>
      </w:pPr>
      <w:r>
        <w:rPr>
          <w:b/>
          <w:bCs/>
        </w:rPr>
        <w:t xml:space="preserve">表 4　</w:t>
      </w:r>
      <w:r>
        <w:t xml:space="preserve">判别量 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t xml:space="preserve">（</w:t>
      </w:r>
      <w:r>
        <w:rPr>
          <w:i/>
          <w:iCs/>
        </w:rPr>
        <w:t xml:space="preserve">n</w:t>
      </w:r>
      <w:r>
        <w:t xml:space="preserve">=10；自由度 </w:t>
      </w:r>
      <w:r>
        <w:rPr>
          <w:i/>
          <w:iCs/>
        </w:rPr>
        <w:t xml:space="preserve">n</w:t>
      </w:r>
      <w:r>
        <w:t xml:space="preserve">−1）与真无解原因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形状 </w:t>
            </w:r>
            <w:r>
              <w:rPr>
                <w:i/>
                <w:iCs/>
              </w:rPr>
              <w:t xml:space="preserve">β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判别量 </w:t>
            </w:r>
            <w:r>
              <w:rPr>
                <w:i/>
                <w:iCs/>
              </w:rPr>
              <w:t xml:space="preserve">s</w:t>
            </w:r>
            <w:r>
              <w:rPr>
                <w:vertAlign w:val="subscript"/>
              </w:rPr>
              <w:t xml:space="preserve">v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</w:rPr>
              <w:t xml:space="preserve">真无解样本的梯度原因码（占比）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0.5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63.96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g 全域高于 offset（100%）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1.0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4.26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g 全域高于 offset（100%）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1.5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1.63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g 全域高于 offset（100%）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2.0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0.96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g 全域高于 offset（100%）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3.0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0.52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g 全域高于 offset（100%）</w:t>
            </w:r>
          </w:p>
        </w:tc>
      </w:tr>
    </w:tbl>
    <w:p>
      <w:pPr>
        <w:spacing w:after="60" w:before="80"/>
        <w:jc w:val="center"/>
      </w:pPr>
      <w:r>
        <w:drawing>
          <wp:inline distT="0" distB="0" distL="0" distR="0">
            <wp:extent cx="3619500" cy="2676525"/>
            <wp:effectExtent t="0" r="0" b="0" l="0"/>
            <wp:docPr id="1" name="fig08_sv" descr="fig08_sv" title="fig08_s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</w:rPr>
        <w:t xml:space="preserve">图 4　</w:t>
      </w:r>
      <w:r>
        <w:t xml:space="preserve">判别量 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t xml:space="preserve">(</w:t>
      </w:r>
      <w:r>
        <w:rPr>
          <w:i/>
          <w:iCs/>
        </w:rPr>
        <w:t xml:space="preserve">β</w:t>
      </w:r>
      <w:r>
        <w:t xml:space="preserve">,</w:t>
      </w:r>
      <w:r>
        <w:rPr>
          <w:i/>
          <w:iCs/>
        </w:rPr>
        <w:t xml:space="preserve">n</w:t>
      </w:r>
      <w:r>
        <w:t xml:space="preserve">) 在全范围内 ≫ offset=0.1（对数纵轴）。</w:t>
      </w:r>
    </w:p>
    <w:p>
      <w:pPr>
        <w:spacing w:after="120" w:line="312" w:lineRule="auto"/>
        <w:ind w:firstLine="420"/>
        <w:jc w:val="both"/>
      </w:pPr>
      <w:r>
        <w:t xml:space="preserve">把上述拼起来即得真无解机理：当顶点 </w:t>
      </w:r>
      <w:r>
        <w:rPr>
          <w:i/>
          <w:iCs/>
        </w:rPr>
        <w:t xml:space="preserve">γ</w:t>
      </w:r>
      <w:r>
        <w:rPr>
          <w:vertAlign w:val="subscript"/>
        </w:rPr>
        <w:t xml:space="preserve">v</w:t>
      </w:r>
      <w:r>
        <w:t xml:space="preserve"> 落在定义域 [0,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) 之外（典型见于位移比偏小、</w:t>
      </w:r>
      <w:r>
        <w:rPr>
          <w:i/>
          <w:iCs/>
        </w:rPr>
        <w:t xml:space="preserve">γ</w:t>
      </w:r>
      <w:r>
        <w:rPr>
          <w:vertAlign w:val="subscript"/>
        </w:rPr>
        <w:t xml:space="preserve">v</w:t>
      </w:r>
      <w:r>
        <w:t xml:space="preserve"> ≤ 0），域内只剩抛物线的一条</w:t>
      </w:r>
      <w:r>
        <w:rPr>
          <w:b/>
          <w:bCs/>
        </w:rPr>
        <w:t xml:space="preserve">上升臂</w:t>
      </w:r>
      <w:r>
        <w:t xml:space="preserve">；此臂上廓线梯度全程贴近 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t xml:space="preserve">，而 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t xml:space="preserve"> ≫ offset，于是 </w:t>
      </w:r>
      <w:r>
        <w:rPr>
          <w:i/>
          <w:iCs/>
        </w:rPr>
        <w:t xml:space="preserve">g</w:t>
      </w:r>
      <w:r>
        <w:t xml:space="preserve">(</w:t>
      </w:r>
      <w:r>
        <w:rPr>
          <w:i/>
          <w:iCs/>
        </w:rPr>
        <w:t xml:space="preserve">γ</w:t>
      </w:r>
      <w:r>
        <w:t xml:space="preserve">)</w:t>
      </w:r>
      <w:r>
        <w:t xml:space="preserve"> 不可能下探到 0.1，</w:t>
      </w:r>
      <w:r>
        <w:rPr>
          <w:b/>
          <w:bCs/>
        </w:rPr>
        <w:t xml:space="preserve">不存在内部 offset-root</w:t>
      </w:r>
      <w:r>
        <w:t xml:space="preserve">。这也解释了 §5 的分层规律：位移比越小，顶点越易出域，真无解越频发。</w:t>
      </w:r>
    </w:p>
    <w:p>
      <w:pPr>
        <w:pStyle w:val="Heading2"/>
        <w:spacing w:after="100" w:before="180"/>
      </w:pPr>
      <w:r>
        <w:t xml:space="preserve">6.4　真实数据反例</w:t>
      </w:r>
    </w:p>
    <w:p>
      <w:pPr>
        <w:spacing w:after="120" w:line="312" w:lineRule="auto"/>
        <w:ind w:firstLine="420"/>
        <w:jc w:val="both"/>
      </w:pPr>
      <w:r>
        <w:t xml:space="preserve">取一个真无解样本（</w:t>
      </w:r>
      <w:r>
        <w:rPr>
          <w:i/>
          <w:iCs/>
        </w:rPr>
        <w:t xml:space="preserve">β</w:t>
      </w:r>
      <w:r>
        <w:rPr>
          <w:vertAlign w:val="subscript"/>
        </w:rPr>
        <w:t xml:space="preserve">0</w:t>
      </w:r>
      <w:r>
        <w:t xml:space="preserve">=1.5，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=0，</w:t>
      </w:r>
      <w:r>
        <w:rPr>
          <w:i/>
          <w:iCs/>
        </w:rPr>
        <w:t xml:space="preserve">n</w:t>
      </w:r>
      <w:r>
        <w:t xml:space="preserve">=10</w:t>
      </w:r>
      <w:r>
        <w:t xml:space="preserve">）。其升序观测为</w:t>
      </w:r>
    </w:p>
    <w:p>
      <w:pPr>
        <w:spacing w:after="120" w:before="80" w:line="312" w:lineRule="auto"/>
        <w:jc w:val="center"/>
      </w:pPr>
      <w:r>
        <w:rPr>
          <w:i/>
          <w:iCs/>
        </w:rPr>
        <w:t xml:space="preserve">t</w:t>
      </w:r>
      <w:r>
        <w:rPr>
          <w:vertAlign w:val="subscript"/>
        </w:rPr>
        <w:t xml:space="preserve">(i)</w:t>
      </w:r>
      <w:r>
        <w:t xml:space="preserve"> = {8.35, 19.01, 19.37, 55.24, 58.79, 61.36, 71.54, 80.27, 134.82, 140.37}</w:t>
      </w:r>
    </w:p>
    <w:p>
      <w:pPr>
        <w:spacing w:after="120" w:line="312" w:lineRule="auto"/>
        <w:ind w:firstLine="420"/>
        <w:jc w:val="both"/>
      </w:pPr>
      <w:r>
        <w:t xml:space="preserve">故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 = 8.351。代入 §6.2 的量得 </w:t>
      </w:r>
      <w:r>
        <w:t xml:space="preserve">Var(</w:t>
      </w:r>
      <w:r>
        <w:rPr>
          <w:i/>
          <w:iCs/>
        </w:rPr>
        <w:t xml:space="preserve">ρ</w:t>
      </w:r>
      <w:r>
        <w:t xml:space="preserve">)=0.0279</w:t>
      </w:r>
      <w:r>
        <w:t xml:space="preserve">、</w:t>
      </w:r>
      <w:r>
        <w:t xml:space="preserve">Cov(</w:t>
      </w:r>
      <w:r>
        <w:rPr>
          <w:i/>
          <w:iCs/>
        </w:rPr>
        <w:t xml:space="preserve">ρ</w:t>
      </w:r>
      <w:r>
        <w:t xml:space="preserve">,</w:t>
      </w:r>
      <w:r>
        <w:rPr>
          <w:i/>
          <w:iCs/>
        </w:rPr>
        <w:t xml:space="preserve">v</w:t>
      </w:r>
      <w:r>
        <w:t xml:space="preserve">)=−0.1557</w:t>
      </w:r>
      <w:r>
        <w:t xml:space="preserve">、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t xml:space="preserve">=1.6317</w:t>
      </w:r>
      <w:r>
        <w:t xml:space="preserve">（与表 4 一致），由此 </w:t>
      </w:r>
      <w:r>
        <w:rPr>
          <w:i/>
          <w:iCs/>
        </w:rPr>
        <w:t xml:space="preserve">γ</w:t>
      </w:r>
      <w:r>
        <w:rPr>
          <w:vertAlign w:val="subscript"/>
        </w:rPr>
        <w:t xml:space="preserve">v</w:t>
      </w:r>
      <w:r>
        <w:t xml:space="preserve">=−5.85</w:t>
      </w:r>
      <w:r>
        <w:t xml:space="preserve">，即 </w:t>
      </w:r>
      <w:r>
        <w:rPr>
          <w:i/>
          <w:iCs/>
        </w:rPr>
        <w:t xml:space="preserve">γ</w:t>
      </w:r>
      <w:r>
        <w:rPr>
          <w:vertAlign w:val="subscript"/>
        </w:rPr>
        <w:t xml:space="preserve">v</w:t>
      </w:r>
      <w:r>
        <w:t xml:space="preserve">/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≈−0.70</w:t>
      </w:r>
      <w:r>
        <w:t xml:space="preserve">，顶点落在域外左侧。图 5(a) 给出该样本；(b) 显示 </w:t>
      </w:r>
      <w:r>
        <w:rPr>
          <w:i/>
          <w:iCs/>
        </w:rPr>
        <w:t xml:space="preserve">σ</w:t>
      </w:r>
      <w:r>
        <w:t xml:space="preserve">(</w:t>
      </w:r>
      <w:r>
        <w:rPr>
          <w:i/>
          <w:iCs/>
        </w:rPr>
        <w:t xml:space="preserve">β</w:t>
      </w:r>
      <w:r>
        <w:rPr>
          <w:vertAlign w:val="subscript"/>
        </w:rPr>
        <w:t xml:space="preserve">0</w:t>
      </w:r>
      <w:r>
        <w:t xml:space="preserve">|</w:t>
      </w:r>
      <w:r>
        <w:rPr>
          <w:i/>
          <w:iCs/>
        </w:rPr>
        <w:t xml:space="preserve">γ</w:t>
      </w:r>
      <w:r>
        <w:t xml:space="preserve">)</w:t>
      </w:r>
      <w:r>
        <w:t xml:space="preserve"> 与廓线在域内只有上升臂、无内部极小；(c) 显示梯度 </w:t>
      </w:r>
      <w:r>
        <w:rPr>
          <w:i/>
          <w:iCs/>
        </w:rPr>
        <w:t xml:space="preserve">g</w:t>
      </w:r>
      <w:r>
        <w:t xml:space="preserve">(</w:t>
      </w:r>
      <w:r>
        <w:rPr>
          <w:i/>
          <w:iCs/>
        </w:rPr>
        <w:t xml:space="preserve">γ</w:t>
      </w:r>
      <w:r>
        <w:t xml:space="preserve">)</w:t>
      </w:r>
      <w:r>
        <w:t xml:space="preserve"> 在 0.50–2.02 间紧贴 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t xml:space="preserve">=1.63</w:t>
      </w:r>
      <w:r>
        <w:t xml:space="preserve">，与 offset=0.1 之间始终隔着一段距离（最小处仍高出约 0.40），</w:t>
      </w:r>
      <w:r>
        <w:rPr>
          <w:b/>
          <w:bCs/>
        </w:rPr>
        <w:t xml:space="preserve">全程无交点</w:t>
      </w:r>
      <w:r>
        <w:t xml:space="preserve">，真无解由此一目了然。</w:t>
      </w:r>
    </w:p>
    <w:p>
      <w:pPr>
        <w:spacing w:after="60" w:before="80"/>
        <w:jc w:val="center"/>
      </w:pPr>
      <w:r>
        <w:drawing>
          <wp:inline distT="0" distB="0" distL="0" distR="0">
            <wp:extent cx="5524500" cy="2933700"/>
            <wp:effectExtent t="0" r="0" b="0" l="0"/>
            <wp:docPr id="1" name="fig04_counterexample" descr="fig04_counterexample" title="fig04_counter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</w:rPr>
        <w:t xml:space="preserve">图 5　</w:t>
      </w:r>
      <w:r>
        <w:t xml:space="preserve">真实数据反例（</w:t>
      </w:r>
      <w:r>
        <w:rPr>
          <w:i/>
          <w:iCs/>
        </w:rPr>
        <w:t xml:space="preserve">β</w:t>
      </w:r>
      <w:r>
        <w:rPr>
          <w:vertAlign w:val="subscript"/>
        </w:rPr>
        <w:t xml:space="preserve">0</w:t>
      </w:r>
      <w:r>
        <w:t xml:space="preserve">=1.5，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=0，</w:t>
      </w:r>
      <w:r>
        <w:rPr>
          <w:i/>
          <w:iCs/>
        </w:rPr>
        <w:t xml:space="preserve">n</w:t>
      </w:r>
      <w:r>
        <w:t xml:space="preserve">=10</w:t>
      </w:r>
      <w:r>
        <w:t xml:space="preserve">）。(a) 实际抽样；(b) </w:t>
      </w:r>
      <w:r>
        <w:rPr>
          <w:i/>
          <w:iCs/>
        </w:rPr>
        <w:t xml:space="preserve">σ</w:t>
      </w:r>
      <w:r>
        <w:t xml:space="preserve">(</w:t>
      </w:r>
      <w:r>
        <w:rPr>
          <w:i/>
          <w:iCs/>
        </w:rPr>
        <w:t xml:space="preserve">β</w:t>
      </w:r>
      <w:r>
        <w:rPr>
          <w:vertAlign w:val="subscript"/>
        </w:rPr>
        <w:t xml:space="preserve">0</w:t>
      </w:r>
      <w:r>
        <w:t xml:space="preserve">|</w:t>
      </w:r>
      <w:r>
        <w:rPr>
          <w:i/>
          <w:iCs/>
        </w:rPr>
        <w:t xml:space="preserve">γ</w:t>
      </w:r>
      <w:r>
        <w:t xml:space="preserve">)</w:t>
      </w:r>
      <w:r>
        <w:t xml:space="preserve"> 与廓线，顶点在域外；(c) 梯度紧贴 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t xml:space="preserve">、远高于 offset。</w:t>
      </w:r>
    </w:p>
    <w:p>
      <w:pPr>
        <w:spacing w:after="60" w:before="80"/>
        <w:jc w:val="center"/>
      </w:pPr>
      <w:r>
        <w:drawing>
          <wp:inline distT="0" distB="0" distL="0" distR="0">
            <wp:extent cx="5334000" cy="2447925"/>
            <wp:effectExtent t="0" r="0" b="0" l="0"/>
            <wp:docPr id="1" name="fig06_vertex" descr="fig06_vertex" title="fig06_vert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</w:rPr>
        <w:t xml:space="preserve">图 6　</w:t>
      </w:r>
      <w:r>
        <w:t xml:space="preserve">顶点位置决定有无解：左 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=0</w:t>
      </w:r>
      <w:r>
        <w:t xml:space="preserve"> 时顶点在域外（仅上升臂）；右 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=0.5</w:t>
      </w:r>
      <w:r>
        <w:rPr>
          <w:i/>
          <w:iCs/>
        </w:rPr>
        <w:t xml:space="preserve">η</w:t>
      </w:r>
      <w:r>
        <w:t xml:space="preserve"> 时顶点进入域内（出现内部极小与可达的 offset-root）。</w:t>
      </w:r>
    </w:p>
    <w:p>
      <w:pPr>
        <w:pStyle w:val="Heading2"/>
        <w:spacing w:after="100" w:before="180"/>
      </w:pPr>
      <w:r>
        <w:t xml:space="preserve">6.5　严谨性边界</w:t>
      </w:r>
    </w:p>
    <w:p>
      <w:pPr>
        <w:spacing w:after="120" w:line="312" w:lineRule="auto"/>
        <w:ind w:firstLine="420"/>
        <w:jc w:val="both"/>
      </w:pPr>
      <w:r>
        <w:t xml:space="preserve">为避免过度宣称，明确区分“已严格证明”与“经验证成立”两部分。</w:t>
      </w:r>
      <w:r>
        <w:rPr>
          <w:b/>
          <w:bCs/>
        </w:rPr>
        <w:t xml:space="preserve">已严格证明：</w:t>
      </w:r>
      <w:r>
        <w:t xml:space="preserve">（i）</w:t>
      </w:r>
      <w:r>
        <w:rPr>
          <w:i/>
          <w:iCs/>
        </w:rPr>
        <w:t xml:space="preserve">σ</w:t>
      </w:r>
      <w:r>
        <w:rPr>
          <w:vertAlign w:val="superscript"/>
        </w:rPr>
        <w:t xml:space="preserve">2</w:t>
      </w:r>
      <w:r>
        <w:t xml:space="preserve"> 关于 </w:t>
      </w:r>
      <w:r>
        <w:rPr>
          <w:i/>
          <w:iCs/>
        </w:rPr>
        <w:t xml:space="preserve">γ</w:t>
      </w:r>
      <w:r>
        <w:t xml:space="preserve"> 的二次结构与顶点公式；（ii）真形状下的分解式（在反例上验证到 </w:t>
      </w:r>
      <w:r>
        <w:t xml:space="preserve">10</w:t>
      </w:r>
      <w:r>
        <w:rPr>
          <w:vertAlign w:val="superscript"/>
        </w:rPr>
        <w:t xml:space="preserve">−13</w:t>
      </w:r>
      <w:r>
        <w:t xml:space="preserve"> 量级）；（iii）包络—斜率公式 </w:t>
      </w:r>
      <w:r>
        <w:rPr>
          <w:i/>
          <w:iCs/>
        </w:rPr>
        <w:t xml:space="preserve">g</w:t>
      </w:r>
      <w:r>
        <w:t xml:space="preserve">=(</w:t>
      </w:r>
      <w:r>
        <w:rPr>
          <w:i/>
          <w:iCs/>
        </w:rPr>
        <w:t xml:space="preserve">γ</w:t>
      </w:r>
      <w:r>
        <w:rPr>
          <w:i/>
          <w:iCs/>
        </w:rPr>
        <w:t xml:space="preserve">C</w:t>
      </w:r>
      <w:r>
        <w:rPr>
          <w:vertAlign w:val="subscript"/>
        </w:rPr>
        <w:t xml:space="preserve">vv</w:t>
      </w:r>
      <w:r>
        <w:t xml:space="preserve">−</w:t>
      </w:r>
      <w:r>
        <w:rPr>
          <w:i/>
          <w:iCs/>
        </w:rPr>
        <w:t xml:space="preserve">C</w:t>
      </w:r>
      <w:r>
        <w:rPr>
          <w:vertAlign w:val="subscript"/>
        </w:rPr>
        <w:t xml:space="preserve">uv</w:t>
      </w:r>
      <w:r>
        <w:t xml:space="preserve">)/</w:t>
      </w:r>
      <w:r>
        <w:rPr>
          <w:i/>
          <w:iCs/>
        </w:rPr>
        <w:t xml:space="preserve">S</w:t>
      </w:r>
      <w:r>
        <w:t xml:space="preserve">。</w:t>
      </w:r>
      <w:r>
        <w:rPr>
          <w:b/>
          <w:bCs/>
        </w:rPr>
        <w:t xml:space="preserve">依赖经验验证：</w:t>
      </w:r>
      <w:r>
        <w:t xml:space="preserve">把控制量直接等同于真形状下的 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t xml:space="preserve">(</w:t>
      </w:r>
      <w:r>
        <w:rPr>
          <w:i/>
          <w:iCs/>
        </w:rPr>
        <w:t xml:space="preserve">β</w:t>
      </w:r>
      <w:r>
        <w:rPr>
          <w:vertAlign w:val="subscript"/>
        </w:rPr>
        <w:t xml:space="preserve">0</w:t>
      </w:r>
      <w:r>
        <w:t xml:space="preserve">)</w:t>
      </w:r>
      <w:r>
        <w:t xml:space="preserve">，用到了 </w:t>
      </w:r>
      <w:r>
        <w:rPr>
          <w:i/>
          <w:iCs/>
        </w:rPr>
        <w:t xml:space="preserve">β</w:t>
      </w:r>
      <w:r>
        <w:t xml:space="preserve">*</w:t>
      </w:r>
      <w:r>
        <w:t xml:space="preserve">(</w:t>
      </w:r>
      <w:r>
        <w:rPr>
          <w:i/>
          <w:iCs/>
        </w:rPr>
        <w:t xml:space="preserve">γ</w:t>
      </w:r>
      <w:r>
        <w:t xml:space="preserve">) ≈ </w:t>
      </w:r>
      <w:r>
        <w:rPr>
          <w:i/>
          <w:iCs/>
        </w:rPr>
        <w:t xml:space="preserve">β</w:t>
      </w:r>
      <w:r>
        <w:rPr>
          <w:vertAlign w:val="subscript"/>
        </w:rPr>
        <w:t xml:space="preserve">0</w:t>
      </w:r>
      <w:r>
        <w:t xml:space="preserve"> 这一近似；它在本文实验中成立良好，但并非对一切配置给出闭式证明。因此本节宜表述为</w:t>
      </w:r>
      <w:r>
        <w:rPr>
          <w:b/>
          <w:bCs/>
        </w:rPr>
        <w:t xml:space="preserve">“解析机理 + 数值验证”</w:t>
      </w:r>
      <w:r>
        <w:t xml:space="preserve">，而非一个完全闭合的定理。这一界定不削弱结论：真无解的存在性、其“g 全域高于 offset”的判别特征、以及由 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t xml:space="preserve"> 主导的量级关系，均有直接证据支撑。</w:t>
      </w:r>
    </w:p>
    <w:p>
      <w:pPr>
        <w:pStyle w:val="Heading1"/>
        <w:spacing w:after="140" w:before="260"/>
      </w:pPr>
      <w:r>
        <w:t xml:space="preserve">7　数值漏检与步长</w:t>
      </w:r>
    </w:p>
    <w:p>
      <w:pPr>
        <w:spacing w:after="120" w:line="312" w:lineRule="auto"/>
        <w:ind w:firstLine="420"/>
        <w:jc w:val="both"/>
      </w:pPr>
      <w:r>
        <w:t xml:space="preserve">本节量化第一类（数值漏检）随步长的行为，并解释其机理。表 5 给出被检程序总体有解率随每段步数 </w:t>
      </w:r>
      <w:r>
        <w:rPr>
          <w:i/>
          <w:iCs/>
        </w:rPr>
        <w:t xml:space="preserve">k</w:t>
      </w:r>
      <w:r>
        <w:t xml:space="preserve"> 的变化及漏检计数；图 7 左为有解率曲线（饱和并逼近基准），右为按位移比分层。</w:t>
      </w:r>
    </w:p>
    <w:p>
      <w:pPr>
        <w:spacing w:after="80" w:before="60"/>
        <w:jc w:val="center"/>
      </w:pPr>
      <w:r>
        <w:rPr>
          <w:b/>
          <w:bCs/>
        </w:rPr>
        <w:t xml:space="preserve">表 5　</w:t>
      </w:r>
      <w:r>
        <w:t xml:space="preserve">被检程序总体有解率与漏检计数随每段步数 </w:t>
      </w:r>
      <w:r>
        <w:rPr>
          <w:i/>
          <w:iCs/>
        </w:rPr>
        <w:t xml:space="preserve">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80"/>
        <w:gridCol w:w="1980"/>
        <w:gridCol w:w="1980"/>
        <w:gridCol w:w="1920"/>
      </w:tblGrid>
      <w:tr>
        <w:trPr>
          <w:tblHeader/>
        </w:trPr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每段步数 </w:t>
            </w:r>
            <w:r>
              <w:rPr>
                <w:i/>
                <w:iCs/>
              </w:rPr>
              <w:t xml:space="preserve">k</w:t>
            </w:r>
          </w:p>
        </w:tc>
        <w:tc>
          <w:tcPr>
            <w:tcW w:type="dxa" w:w="1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</w:rPr>
              <w:t xml:space="preserve">10</w:t>
            </w:r>
          </w:p>
        </w:tc>
        <w:tc>
          <w:tcPr>
            <w:tcW w:type="dxa" w:w="1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</w:rPr>
              <w:t xml:space="preserve">20</w:t>
            </w:r>
          </w:p>
        </w:tc>
        <w:tc>
          <w:tcPr>
            <w:tcW w:type="dxa" w:w="1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</w:rPr>
              <w:t xml:space="preserve">60</w:t>
            </w:r>
          </w:p>
        </w:tc>
        <w:tc>
          <w:tcPr>
            <w:tcW w:type="dxa" w:w="19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总体有解率</w:t>
            </w:r>
          </w:p>
        </w:tc>
        <w:tc>
          <w:tcPr>
            <w:tcW w:type="dxa" w:w="1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81.3%</w:t>
            </w:r>
          </w:p>
        </w:tc>
        <w:tc>
          <w:tcPr>
            <w:tcW w:type="dxa" w:w="1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82.3%</w:t>
            </w:r>
          </w:p>
        </w:tc>
        <w:tc>
          <w:tcPr>
            <w:tcW w:type="dxa" w:w="1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83.3%</w:t>
            </w:r>
          </w:p>
        </w:tc>
        <w:tc>
          <w:tcPr>
            <w:tcW w:type="dxa" w:w="19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83.7%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漏检计数</w:t>
            </w:r>
          </w:p>
        </w:tc>
        <w:tc>
          <w:tcPr>
            <w:tcW w:type="dxa" w:w="1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64</w:t>
            </w:r>
          </w:p>
        </w:tc>
        <w:tc>
          <w:tcPr>
            <w:tcW w:type="dxa" w:w="1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39</w:t>
            </w:r>
          </w:p>
        </w:tc>
        <w:tc>
          <w:tcPr>
            <w:tcW w:type="dxa" w:w="1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19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基准有解率</w:t>
            </w:r>
          </w:p>
        </w:tc>
        <w:tc>
          <w:tcPr>
            <w:tcW w:type="dxa" w:w="1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84.0%</w:t>
            </w:r>
          </w:p>
        </w:tc>
        <w:tc>
          <w:tcPr>
            <w:tcW w:type="dxa" w:w="1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84.0%</w:t>
            </w:r>
          </w:p>
        </w:tc>
        <w:tc>
          <w:tcPr>
            <w:tcW w:type="dxa" w:w="1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84.0%</w:t>
            </w:r>
          </w:p>
        </w:tc>
        <w:tc>
          <w:tcPr>
            <w:tcW w:type="dxa" w:w="19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84.0%</w:t>
            </w:r>
          </w:p>
        </w:tc>
      </w:tr>
    </w:tbl>
    <w:p>
      <w:pPr>
        <w:spacing w:after="60" w:before="80"/>
        <w:jc w:val="center"/>
      </w:pPr>
      <w:r>
        <w:drawing>
          <wp:inline distT="0" distB="0" distL="0" distR="0">
            <wp:extent cx="5334000" cy="2400300"/>
            <wp:effectExtent t="0" r="0" b="0" l="0"/>
            <wp:docPr id="1" name="fig09_solverate_k" descr="fig09_solverate_k" title="fig09_solverate_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</w:rPr>
        <w:t xml:space="preserve">图 7　</w:t>
      </w:r>
      <w:r>
        <w:t xml:space="preserve">左：总体有解率随步长饱和并逼近基准；右：按位移比 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/</w:t>
      </w:r>
      <w:r>
        <w:rPr>
          <w:i/>
          <w:iCs/>
        </w:rPr>
        <w:t xml:space="preserve">η</w:t>
      </w:r>
      <w:r>
        <w:t xml:space="preserve"> 分层。</w:t>
      </w:r>
    </w:p>
    <w:p>
      <w:pPr>
        <w:pStyle w:val="Heading2"/>
        <w:spacing w:after="100" w:before="180"/>
      </w:pPr>
      <w:r>
        <w:t xml:space="preserve">7.1　漏检为何发生在 t_min 附近</w:t>
      </w:r>
    </w:p>
    <w:p>
      <w:pPr>
        <w:spacing w:after="120" w:line="312" w:lineRule="auto"/>
        <w:ind w:firstLine="420"/>
        <w:jc w:val="both"/>
      </w:pPr>
      <w:r>
        <w:t xml:space="preserve">漏检集中于真实根贴近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 的情形。以 </w:t>
      </w:r>
      <w:r>
        <w:rPr>
          <w:i/>
          <w:iCs/>
        </w:rPr>
        <w:t xml:space="preserve">β</w:t>
      </w:r>
      <w:r>
        <w:t xml:space="preserve">=0.5、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/</w:t>
      </w:r>
      <w:r>
        <w:rPr>
          <w:i/>
          <w:iCs/>
        </w:rPr>
        <w:t xml:space="preserve">η</w:t>
      </w:r>
      <w:r>
        <w:t xml:space="preserve">=0.3</w:t>
      </w:r>
      <w:r>
        <w:t xml:space="preserve"> 为例（表 6、图 8）：当 </w:t>
      </w:r>
      <w:r>
        <w:rPr>
          <w:i/>
          <w:iCs/>
        </w:rPr>
        <w:t xml:space="preserve">n</w:t>
      </w:r>
      <w:r>
        <w:t xml:space="preserve"> 增大时，被检程序在小 </w:t>
      </w:r>
      <w:r>
        <w:rPr>
          <w:i/>
          <w:iCs/>
        </w:rPr>
        <w:t xml:space="preserve">k</w:t>
      </w:r>
      <w:r>
        <w:t xml:space="preserve"> 下的有解率急剧下滑（</w:t>
      </w:r>
      <w:r>
        <w:rPr>
          <w:i/>
          <w:iCs/>
        </w:rPr>
        <w:t xml:space="preserve">n</w:t>
      </w:r>
      <w:r>
        <w:t xml:space="preserve">=200 时 </w:t>
      </w:r>
      <w:r>
        <w:rPr>
          <w:i/>
          <w:iCs/>
        </w:rPr>
        <w:t xml:space="preserve">k</w:t>
      </w:r>
      <w:r>
        <w:t xml:space="preserve">=20</w:t>
      </w:r>
      <w:r>
        <w:t xml:space="preserve"> 已降至 0%），而真实根到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 的距离 </w:t>
      </w:r>
      <w:r>
        <w:rPr>
          <w:i/>
          <w:iCs/>
        </w:rPr>
        <w:t xml:space="preserve">1−γ</w:t>
      </w:r>
      <w:r>
        <w:t xml:space="preserve">*/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 随 </w:t>
      </w:r>
      <w:r>
        <w:rPr>
          <w:i/>
          <w:iCs/>
        </w:rPr>
        <w:t xml:space="preserve">n</w:t>
      </w:r>
      <w:r>
        <w:t xml:space="preserve"> 几何式收缩——由 </w:t>
      </w:r>
      <w:r>
        <w:rPr>
          <w:i/>
          <w:iCs/>
        </w:rPr>
        <w:t xml:space="preserve">n</w:t>
      </w:r>
      <w:r>
        <w:t xml:space="preserve">=10</w:t>
      </w:r>
      <w:r>
        <w:t xml:space="preserve"> 的 </w:t>
      </w:r>
      <w:r>
        <w:t xml:space="preserve">1.6×10</w:t>
      </w:r>
      <w:r>
        <w:rPr>
          <w:vertAlign w:val="superscript"/>
        </w:rPr>
        <w:t xml:space="preserve">−2</w:t>
      </w:r>
      <w:r>
        <w:t xml:space="preserve"> 一路缩到 </w:t>
      </w:r>
      <w:r>
        <w:rPr>
          <w:i/>
          <w:iCs/>
        </w:rPr>
        <w:t xml:space="preserve">n</w:t>
      </w:r>
      <w:r>
        <w:t xml:space="preserve">=200</w:t>
      </w:r>
      <w:r>
        <w:t xml:space="preserve"> 的 </w:t>
      </w:r>
      <w:r>
        <w:t xml:space="preserve">4.2×10</w:t>
      </w:r>
      <w:r>
        <w:rPr>
          <w:vertAlign w:val="superscript"/>
        </w:rPr>
        <w:t xml:space="preserve">−8</w:t>
      </w:r>
      <w:r>
        <w:t xml:space="preserve">。根越贴近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、廓线在该处越陡，固定的均匀网格越难在根的两侧布点。</w:t>
      </w:r>
    </w:p>
    <w:p>
      <w:pPr>
        <w:spacing w:after="80" w:before="60"/>
        <w:jc w:val="center"/>
      </w:pPr>
      <w:r>
        <w:rPr>
          <w:b/>
          <w:bCs/>
        </w:rPr>
        <w:t xml:space="preserve">表 6　</w:t>
      </w:r>
      <w:r>
        <w:t xml:space="preserve">「</w:t>
      </w:r>
      <w:r>
        <w:rPr>
          <w:i/>
          <w:iCs/>
        </w:rPr>
        <w:t xml:space="preserve">β</w:t>
      </w:r>
      <w:r>
        <w:t xml:space="preserve">=0.5，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/</w:t>
      </w:r>
      <w:r>
        <w:rPr>
          <w:i/>
          <w:iCs/>
        </w:rPr>
        <w:t xml:space="preserve">η</w:t>
      </w:r>
      <w:r>
        <w:t xml:space="preserve">=0.3</w:t>
      </w:r>
      <w:r>
        <w:t xml:space="preserve">」有解率（%）随 </w:t>
      </w:r>
      <w:r>
        <w:rPr>
          <w:i/>
          <w:iCs/>
        </w:rPr>
        <w:t xml:space="preserve">n</w:t>
      </w:r>
      <w:r>
        <w:t xml:space="preserve"> 与 </w:t>
      </w:r>
      <w:r>
        <w:rPr>
          <w:i/>
          <w:iCs/>
        </w:rPr>
        <w:t xml:space="preserve">k</w:t>
      </w:r>
      <w:r>
        <w:t xml:space="preserve">，及根到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 的距离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1500"/>
        <w:gridCol w:w="1500"/>
        <w:gridCol w:w="1500"/>
        <w:gridCol w:w="1320"/>
        <w:gridCol w:w="2220"/>
      </w:tblGrid>
      <w:tr>
        <w:trPr>
          <w:tblHeader/>
        </w:trPr>
        <w:tc>
          <w:tcPr>
            <w:tcW w:type="dxa" w:w="13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样本量 </w:t>
            </w:r>
            <w:r>
              <w:rPr>
                <w:i/>
                <w:iCs/>
              </w:rPr>
              <w:t xml:space="preserve">n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i/>
                <w:iCs/>
              </w:rPr>
              <w:t xml:space="preserve">k</w:t>
            </w:r>
            <w:r>
              <w:t xml:space="preserve">=20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i/>
                <w:iCs/>
              </w:rPr>
              <w:t xml:space="preserve">k</w:t>
            </w:r>
            <w:r>
              <w:t xml:space="preserve">=60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i/>
                <w:iCs/>
              </w:rPr>
              <w:t xml:space="preserve">k</w:t>
            </w:r>
            <w:r>
              <w:t xml:space="preserve">=200</w:t>
            </w:r>
          </w:p>
        </w:tc>
        <w:tc>
          <w:tcPr>
            <w:tcW w:type="dxa" w:w="13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</w:rPr>
              <w:t xml:space="preserve">基准</w:t>
            </w:r>
          </w:p>
        </w:tc>
        <w:tc>
          <w:tcPr>
            <w:tcW w:type="dxa" w:w="22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根距 </w:t>
            </w:r>
            <w:r>
              <w:rPr>
                <w:i/>
                <w:iCs/>
              </w:rPr>
              <w:t xml:space="preserve">1−γ</w:t>
            </w:r>
            <w:r>
              <w:t xml:space="preserve">*/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min</w:t>
            </w:r>
          </w:p>
        </w:tc>
      </w:tr>
      <w:tr>
        <w:trPr>
          <w:tblHeader w:val="false"/>
        </w:trPr>
        <w:tc>
          <w:tcPr>
            <w:tcW w:type="dxa" w:w="13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10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100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100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100</w:t>
            </w:r>
          </w:p>
        </w:tc>
        <w:tc>
          <w:tcPr>
            <w:tcW w:type="dxa" w:w="13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100</w:t>
            </w:r>
          </w:p>
        </w:tc>
        <w:tc>
          <w:tcPr>
            <w:tcW w:type="dxa" w:w="22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1.6×10</w:t>
            </w:r>
            <w:r>
              <w:rPr>
                <w:vertAlign w:val="superscript"/>
              </w:rPr>
              <w:t xml:space="preserve">−2</w:t>
            </w:r>
          </w:p>
        </w:tc>
      </w:tr>
      <w:tr>
        <w:trPr>
          <w:tblHeader w:val="false"/>
        </w:trPr>
        <w:tc>
          <w:tcPr>
            <w:tcW w:type="dxa" w:w="13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20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97.5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97.5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100</w:t>
            </w:r>
          </w:p>
        </w:tc>
        <w:tc>
          <w:tcPr>
            <w:tcW w:type="dxa" w:w="13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100</w:t>
            </w:r>
          </w:p>
        </w:tc>
        <w:tc>
          <w:tcPr>
            <w:tcW w:type="dxa" w:w="22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6.9×10</w:t>
            </w:r>
            <w:r>
              <w:rPr>
                <w:vertAlign w:val="superscript"/>
              </w:rPr>
              <w:t xml:space="preserve">−3</w:t>
            </w:r>
          </w:p>
        </w:tc>
      </w:tr>
      <w:tr>
        <w:trPr>
          <w:tblHeader w:val="false"/>
        </w:trPr>
        <w:tc>
          <w:tcPr>
            <w:tcW w:type="dxa" w:w="13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50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92.5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100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100</w:t>
            </w:r>
          </w:p>
        </w:tc>
        <w:tc>
          <w:tcPr>
            <w:tcW w:type="dxa" w:w="13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100</w:t>
            </w:r>
          </w:p>
        </w:tc>
        <w:tc>
          <w:tcPr>
            <w:tcW w:type="dxa" w:w="22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1.0×10</w:t>
            </w:r>
            <w:r>
              <w:rPr>
                <w:vertAlign w:val="superscript"/>
              </w:rPr>
              <w:t xml:space="preserve">−3</w:t>
            </w:r>
          </w:p>
        </w:tc>
      </w:tr>
      <w:tr>
        <w:trPr>
          <w:tblHeader w:val="false"/>
        </w:trPr>
        <w:tc>
          <w:tcPr>
            <w:tcW w:type="dxa" w:w="13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100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45.0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85.0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97.5</w:t>
            </w:r>
          </w:p>
        </w:tc>
        <w:tc>
          <w:tcPr>
            <w:tcW w:type="dxa" w:w="13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100</w:t>
            </w:r>
          </w:p>
        </w:tc>
        <w:tc>
          <w:tcPr>
            <w:tcW w:type="dxa" w:w="22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1.1×10</w:t>
            </w:r>
            <w:r>
              <w:rPr>
                <w:vertAlign w:val="superscript"/>
              </w:rPr>
              <w:t xml:space="preserve">−4</w:t>
            </w:r>
          </w:p>
        </w:tc>
      </w:tr>
      <w:tr>
        <w:trPr>
          <w:tblHeader w:val="false"/>
        </w:trPr>
        <w:tc>
          <w:tcPr>
            <w:tcW w:type="dxa" w:w="13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200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</w:rPr>
              <w:t xml:space="preserve">0.0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32.5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80.0</w:t>
            </w:r>
          </w:p>
        </w:tc>
        <w:tc>
          <w:tcPr>
            <w:tcW w:type="dxa" w:w="13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100</w:t>
            </w:r>
          </w:p>
        </w:tc>
        <w:tc>
          <w:tcPr>
            <w:tcW w:type="dxa" w:w="22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4.2×10</w:t>
            </w:r>
            <w:r>
              <w:rPr>
                <w:vertAlign w:val="superscript"/>
              </w:rPr>
              <w:t xml:space="preserve">−8</w:t>
            </w:r>
          </w:p>
        </w:tc>
      </w:tr>
    </w:tbl>
    <w:p>
      <w:pPr>
        <w:spacing w:after="60" w:before="80"/>
        <w:jc w:val="center"/>
      </w:pPr>
      <w:r>
        <w:drawing>
          <wp:inline distT="0" distB="0" distL="0" distR="0">
            <wp:extent cx="5334000" cy="2352675"/>
            <wp:effectExtent t="0" r="0" b="0" l="0"/>
            <wp:docPr id="1" name="fig10_betahalf" descr="fig10_betahalf" title="fig10_betahal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</w:rPr>
        <w:t xml:space="preserve">图 8　</w:t>
      </w:r>
      <w:r>
        <w:t xml:space="preserve">左：</w:t>
      </w:r>
      <w:r>
        <w:rPr>
          <w:i/>
          <w:iCs/>
        </w:rPr>
        <w:t xml:space="preserve">β</w:t>
      </w:r>
      <w:r>
        <w:t xml:space="preserve">=0.5、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/</w:t>
      </w:r>
      <w:r>
        <w:rPr>
          <w:i/>
          <w:iCs/>
        </w:rPr>
        <w:t xml:space="preserve">η</w:t>
      </w:r>
      <w:r>
        <w:t xml:space="preserve">=0.3</w:t>
      </w:r>
      <w:r>
        <w:t xml:space="preserve"> 时有解率随 </w:t>
      </w:r>
      <w:r>
        <w:rPr>
          <w:i/>
          <w:iCs/>
        </w:rPr>
        <w:t xml:space="preserve">k</w:t>
      </w:r>
      <w:r>
        <w:t xml:space="preserve"> 的变化随 </w:t>
      </w:r>
      <w:r>
        <w:rPr>
          <w:i/>
          <w:iCs/>
        </w:rPr>
        <w:t xml:space="preserve">n</w:t>
      </w:r>
      <w:r>
        <w:t xml:space="preserve"> 急剧加强；右：真实根随 </w:t>
      </w:r>
      <w:r>
        <w:rPr>
          <w:i/>
          <w:iCs/>
        </w:rPr>
        <w:t xml:space="preserve">n</w:t>
      </w:r>
      <w:r>
        <w:t xml:space="preserve"> 几何式逼近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。</w:t>
      </w:r>
    </w:p>
    <w:p>
      <w:pPr>
        <w:spacing w:after="120" w:line="312" w:lineRule="auto"/>
        <w:ind w:firstLine="420"/>
        <w:jc w:val="both"/>
      </w:pPr>
      <w:r>
        <w:t xml:space="preserve">机理可在“最靠近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 的节点处的离散斜率”上看得最清楚（图 9）。该样本廓线极小值贴近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；粗网格在此布点稀疏，末节点的离散斜率随步数增加而</w:t>
      </w:r>
      <w:r>
        <w:rPr>
          <w:b/>
          <w:bCs/>
        </w:rPr>
        <w:t xml:space="preserve">由负转正、越过 offset</w:t>
      </w:r>
      <w:r>
        <w:t xml:space="preserve">（本例约在每段 35 步处由“判无交点”转为“检出交点”），交点遂被找到。这正是漏检随加密消失的微观原因。</w:t>
      </w:r>
    </w:p>
    <w:p>
      <w:pPr>
        <w:spacing w:after="60" w:before="80"/>
        <w:jc w:val="center"/>
      </w:pPr>
      <w:r>
        <w:drawing>
          <wp:inline distT="0" distB="0" distL="0" distR="0">
            <wp:extent cx="5524500" cy="2190750"/>
            <wp:effectExtent t="0" r="0" b="0" l="0"/>
            <wp:docPr id="1" name="fig05_miss" descr="fig05_miss" title="fig05_mi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</w:rPr>
        <w:t xml:space="preserve">图 9　</w:t>
      </w:r>
      <w:r>
        <w:t xml:space="preserve">数值漏检机理（</w:t>
      </w:r>
      <w:r>
        <w:rPr>
          <w:i/>
          <w:iCs/>
        </w:rPr>
        <w:t xml:space="preserve">β</w:t>
      </w:r>
      <w:r>
        <w:t xml:space="preserve">=0.5，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/</w:t>
      </w:r>
      <w:r>
        <w:rPr>
          <w:i/>
          <w:iCs/>
        </w:rPr>
        <w:t xml:space="preserve">η</w:t>
      </w:r>
      <w:r>
        <w:t xml:space="preserve">=0.3，</w:t>
      </w:r>
      <w:r>
        <w:rPr>
          <w:i/>
          <w:iCs/>
        </w:rPr>
        <w:t xml:space="preserve">n</w:t>
      </w:r>
      <w:r>
        <w:t xml:space="preserve">=100</w:t>
      </w:r>
      <w:r>
        <w:t xml:space="preserve">）。(a) 廓线极小值贴近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、粗网格节点稀疏；(b) 末节点离散斜率随加密由负转正，越过 offset 后交点被检出。</w:t>
      </w:r>
    </w:p>
    <w:p>
      <w:pPr>
        <w:pStyle w:val="Heading2"/>
        <w:spacing w:after="100" w:before="180"/>
      </w:pPr>
      <w:r>
        <w:t xml:space="preserve">7.2　精度随步长的收敛（并修正一处旧表述）</w:t>
      </w:r>
    </w:p>
    <w:p>
      <w:pPr>
        <w:spacing w:after="120" w:line="312" w:lineRule="auto"/>
        <w:ind w:firstLine="420"/>
        <w:jc w:val="both"/>
      </w:pPr>
      <w:r>
        <w:t xml:space="preserve">在可解样本上，估计精度随步长稳定改善（表 7、图 10）：相对误差 </w:t>
      </w:r>
      <w:r>
        <w:rPr>
          <w:i/>
          <w:iCs/>
        </w:rPr>
        <w:t xml:space="preserve">|Δγ</w:t>
      </w:r>
      <w:r>
        <w:t xml:space="preserve">*|/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 由 </w:t>
      </w:r>
      <w:r>
        <w:rPr>
          <w:i/>
          <w:iCs/>
        </w:rPr>
        <w:t xml:space="preserve">k</w:t>
      </w:r>
      <w:r>
        <w:t xml:space="preserve">=10</w:t>
      </w:r>
      <w:r>
        <w:t xml:space="preserve"> 的约 </w:t>
      </w:r>
      <w:r>
        <w:t xml:space="preserve">5.0×10</w:t>
      </w:r>
      <w:r>
        <w:rPr>
          <w:vertAlign w:val="superscript"/>
        </w:rPr>
        <w:t xml:space="preserve">−2</w:t>
      </w:r>
      <w:r>
        <w:t xml:space="preserve"> 降至 </w:t>
      </w:r>
      <w:r>
        <w:rPr>
          <w:i/>
          <w:iCs/>
        </w:rPr>
        <w:t xml:space="preserve">k</w:t>
      </w:r>
      <w:r>
        <w:t xml:space="preserve">=200</w:t>
      </w:r>
      <w:r>
        <w:t xml:space="preserve"> 的约 </w:t>
      </w:r>
      <w:r>
        <w:t xml:space="preserve">4.1×10</w:t>
      </w:r>
      <w:r>
        <w:rPr>
          <w:vertAlign w:val="superscript"/>
        </w:rPr>
        <w:t xml:space="preserve">−3</w:t>
      </w:r>
      <w:r>
        <w:t xml:space="preserve">，尺度的相对误差 </w:t>
      </w:r>
      <w:r>
        <w:rPr>
          <w:i/>
          <w:iCs/>
        </w:rPr>
        <w:t xml:space="preserve">|Δη</w:t>
      </w:r>
      <w:r>
        <w:t xml:space="preserve">*|/</w:t>
      </w:r>
      <w:r>
        <w:rPr>
          <w:i/>
          <w:iCs/>
        </w:rPr>
        <w:t xml:space="preserve">η</w:t>
      </w:r>
      <w:r>
        <w:t xml:space="preserve"> 同步下降。</w:t>
      </w:r>
      <w:r>
        <w:rPr>
          <w:b/>
          <w:bCs/>
        </w:rPr>
        <w:t xml:space="preserve">需修正一处旧表述</w:t>
      </w:r>
      <w:r>
        <w:t xml:space="preserve">：本次重跑的双对数斜率约为 </w:t>
      </w:r>
      <w:r>
        <w:rPr>
          <w:b/>
          <w:bCs/>
        </w:rPr>
        <w:t xml:space="preserve">−0.9</w:t>
      </w:r>
      <w:r>
        <w:t xml:space="preserve">，即收敛接近 </w:t>
      </w:r>
      <w:r>
        <w:rPr>
          <w:b/>
          <w:bCs/>
        </w:rPr>
        <w:t xml:space="preserve">1/</w:t>
      </w:r>
      <w:r>
        <w:rPr>
          <w:i/>
          <w:iCs/>
        </w:rPr>
        <w:t xml:space="preserve">k</w:t>
      </w:r>
      <w:r>
        <w:t xml:space="preserve">（介于 1/</w:t>
      </w:r>
      <w:r>
        <w:rPr>
          <w:i/>
          <w:iCs/>
        </w:rPr>
        <w:t xml:space="preserve">k</w:t>
      </w:r>
      <w:r>
        <w:t xml:space="preserve"> 与 1/</w:t>
      </w:r>
      <w:r>
        <w:rPr>
          <w:i/>
          <w:iCs/>
        </w:rPr>
        <w:t xml:space="preserve">k</w:t>
      </w:r>
      <w:r>
        <w:rPr>
          <w:vertAlign w:val="superscript"/>
        </w:rPr>
        <w:t xml:space="preserve">2</w:t>
      </w:r>
      <w:r>
        <w:t xml:space="preserve"> 之间、更靠近 1/</w:t>
      </w:r>
      <w:r>
        <w:rPr>
          <w:i/>
          <w:iCs/>
        </w:rPr>
        <w:t xml:space="preserve">k</w:t>
      </w:r>
      <w:r>
        <w:t xml:space="preserve">），并非此前所称的二阶（1/</w:t>
      </w:r>
      <w:r>
        <w:rPr>
          <w:i/>
          <w:iCs/>
        </w:rPr>
        <w:t xml:space="preserve">k</w:t>
      </w:r>
      <w:r>
        <w:rPr>
          <w:vertAlign w:val="superscript"/>
        </w:rPr>
        <w:t xml:space="preserve">2</w:t>
      </w:r>
      <w:r>
        <w:t xml:space="preserve">）。</w:t>
      </w:r>
    </w:p>
    <w:p>
      <w:pPr>
        <w:spacing w:after="80" w:before="60"/>
        <w:jc w:val="center"/>
      </w:pPr>
      <w:r>
        <w:rPr>
          <w:b/>
          <w:bCs/>
        </w:rPr>
        <w:t xml:space="preserve">表 7　</w:t>
      </w:r>
      <w:r>
        <w:t xml:space="preserve">可解样本上的中位相对误差随每段步数 </w:t>
      </w:r>
      <w:r>
        <w:rPr>
          <w:i/>
          <w:iCs/>
        </w:rPr>
        <w:t xml:space="preserve">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360"/>
        <w:gridCol w:w="3360"/>
      </w:tblGrid>
      <w:tr>
        <w:trPr>
          <w:tblHeader/>
        </w:trPr>
        <w:tc>
          <w:tcPr>
            <w:tcW w:type="dxa" w:w="26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每段步数 </w:t>
            </w:r>
            <w:r>
              <w:rPr>
                <w:i/>
                <w:iCs/>
              </w:rPr>
              <w:t xml:space="preserve">k</w:t>
            </w:r>
          </w:p>
        </w:tc>
        <w:tc>
          <w:tcPr>
            <w:tcW w:type="dxa" w:w="3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i/>
                <w:iCs/>
              </w:rPr>
              <w:t xml:space="preserve">|Δγ</w:t>
            </w:r>
            <w:r>
              <w:t xml:space="preserve">*|/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min</w:t>
            </w:r>
            <w:r>
              <w:t xml:space="preserve">（中位）</w:t>
            </w:r>
          </w:p>
        </w:tc>
        <w:tc>
          <w:tcPr>
            <w:tcW w:type="dxa" w:w="3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i/>
                <w:iCs/>
              </w:rPr>
              <w:t xml:space="preserve">|Δη</w:t>
            </w:r>
            <w:r>
              <w:t xml:space="preserve">*|/</w:t>
            </w:r>
            <w:r>
              <w:rPr>
                <w:i/>
                <w:iCs/>
              </w:rPr>
              <w:t xml:space="preserve">η</w:t>
            </w:r>
            <w:r>
              <w:t xml:space="preserve">（中位）</w:t>
            </w:r>
          </w:p>
        </w:tc>
      </w:tr>
      <w:tr>
        <w:trPr>
          <w:tblHeader w:val="false"/>
        </w:trPr>
        <w:tc>
          <w:tcPr>
            <w:tcW w:type="dxa" w:w="26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10</w:t>
            </w:r>
          </w:p>
        </w:tc>
        <w:tc>
          <w:tcPr>
            <w:tcW w:type="dxa" w:w="3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4.97×10</w:t>
            </w:r>
            <w:r>
              <w:rPr>
                <w:vertAlign w:val="superscript"/>
              </w:rPr>
              <w:t xml:space="preserve">−2</w:t>
            </w:r>
          </w:p>
        </w:tc>
        <w:tc>
          <w:tcPr>
            <w:tcW w:type="dxa" w:w="3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5.04×10</w:t>
            </w:r>
            <w:r>
              <w:rPr>
                <w:vertAlign w:val="superscript"/>
              </w:rPr>
              <w:t xml:space="preserve">−2</w:t>
            </w:r>
          </w:p>
        </w:tc>
      </w:tr>
      <w:tr>
        <w:trPr>
          <w:tblHeader w:val="false"/>
        </w:trPr>
        <w:tc>
          <w:tcPr>
            <w:tcW w:type="dxa" w:w="26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20</w:t>
            </w:r>
          </w:p>
        </w:tc>
        <w:tc>
          <w:tcPr>
            <w:tcW w:type="dxa" w:w="3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2.13×10</w:t>
            </w:r>
            <w:r>
              <w:rPr>
                <w:vertAlign w:val="superscript"/>
              </w:rPr>
              <w:t xml:space="preserve">−2</w:t>
            </w:r>
          </w:p>
        </w:tc>
        <w:tc>
          <w:tcPr>
            <w:tcW w:type="dxa" w:w="3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2.21×10</w:t>
            </w:r>
            <w:r>
              <w:rPr>
                <w:vertAlign w:val="superscript"/>
              </w:rPr>
              <w:t xml:space="preserve">−2</w:t>
            </w:r>
          </w:p>
        </w:tc>
      </w:tr>
      <w:tr>
        <w:trPr>
          <w:tblHeader w:val="false"/>
        </w:trPr>
        <w:tc>
          <w:tcPr>
            <w:tcW w:type="dxa" w:w="26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40</w:t>
            </w:r>
          </w:p>
        </w:tc>
        <w:tc>
          <w:tcPr>
            <w:tcW w:type="dxa" w:w="3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1.05×10</w:t>
            </w:r>
            <w:r>
              <w:rPr>
                <w:vertAlign w:val="superscript"/>
              </w:rPr>
              <w:t xml:space="preserve">−2</w:t>
            </w:r>
          </w:p>
        </w:tc>
        <w:tc>
          <w:tcPr>
            <w:tcW w:type="dxa" w:w="3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1.19×10</w:t>
            </w:r>
            <w:r>
              <w:rPr>
                <w:vertAlign w:val="superscript"/>
              </w:rPr>
              <w:t xml:space="preserve">−2</w:t>
            </w:r>
          </w:p>
        </w:tc>
      </w:tr>
      <w:tr>
        <w:trPr>
          <w:tblHeader w:val="false"/>
        </w:trPr>
        <w:tc>
          <w:tcPr>
            <w:tcW w:type="dxa" w:w="26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60</w:t>
            </w:r>
          </w:p>
        </w:tc>
        <w:tc>
          <w:tcPr>
            <w:tcW w:type="dxa" w:w="3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6.91×10</w:t>
            </w:r>
            <w:r>
              <w:rPr>
                <w:vertAlign w:val="superscript"/>
              </w:rPr>
              <w:t xml:space="preserve">−3</w:t>
            </w:r>
          </w:p>
        </w:tc>
        <w:tc>
          <w:tcPr>
            <w:tcW w:type="dxa" w:w="3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8.51×10</w:t>
            </w:r>
            <w:r>
              <w:rPr>
                <w:vertAlign w:val="superscript"/>
              </w:rPr>
              <w:t xml:space="preserve">−3</w:t>
            </w:r>
          </w:p>
        </w:tc>
      </w:tr>
      <w:tr>
        <w:trPr>
          <w:tblHeader w:val="false"/>
        </w:trPr>
        <w:tc>
          <w:tcPr>
            <w:tcW w:type="dxa" w:w="26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120</w:t>
            </w:r>
          </w:p>
        </w:tc>
        <w:tc>
          <w:tcPr>
            <w:tcW w:type="dxa" w:w="3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4.35×10</w:t>
            </w:r>
            <w:r>
              <w:rPr>
                <w:vertAlign w:val="superscript"/>
              </w:rPr>
              <w:t xml:space="preserve">−3</w:t>
            </w:r>
          </w:p>
        </w:tc>
        <w:tc>
          <w:tcPr>
            <w:tcW w:type="dxa" w:w="3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5.75×10</w:t>
            </w:r>
            <w:r>
              <w:rPr>
                <w:vertAlign w:val="superscript"/>
              </w:rPr>
              <w:t xml:space="preserve">−3</w:t>
            </w:r>
          </w:p>
        </w:tc>
      </w:tr>
      <w:tr>
        <w:trPr>
          <w:tblHeader w:val="false"/>
        </w:trPr>
        <w:tc>
          <w:tcPr>
            <w:tcW w:type="dxa" w:w="26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200</w:t>
            </w:r>
          </w:p>
        </w:tc>
        <w:tc>
          <w:tcPr>
            <w:tcW w:type="dxa" w:w="3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4.05×10</w:t>
            </w:r>
            <w:r>
              <w:rPr>
                <w:vertAlign w:val="superscript"/>
              </w:rPr>
              <w:t xml:space="preserve">−3</w:t>
            </w:r>
          </w:p>
        </w:tc>
        <w:tc>
          <w:tcPr>
            <w:tcW w:type="dxa" w:w="3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4.94×10</w:t>
            </w:r>
            <w:r>
              <w:rPr>
                <w:vertAlign w:val="superscript"/>
              </w:rPr>
              <w:t xml:space="preserve">−3</w:t>
            </w:r>
          </w:p>
        </w:tc>
      </w:tr>
    </w:tbl>
    <w:p>
      <w:pPr>
        <w:spacing w:after="60" w:before="80"/>
        <w:jc w:val="center"/>
      </w:pPr>
      <w:r>
        <w:drawing>
          <wp:inline distT="0" distB="0" distL="0" distR="0">
            <wp:extent cx="3619500" cy="2733675"/>
            <wp:effectExtent t="0" r="0" b="0" l="0"/>
            <wp:docPr id="1" name="fig11_precision" descr="fig11_precision" title="fig11_preci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</w:rPr>
        <w:t xml:space="preserve">图 10　</w:t>
      </w:r>
      <w:r>
        <w:t xml:space="preserve">估计精度随步长稳定改善（双对数；斜率 ≈ −0.9，近 1/</w:t>
      </w:r>
      <w:r>
        <w:rPr>
          <w:i/>
          <w:iCs/>
        </w:rPr>
        <w:t xml:space="preserve">k</w:t>
      </w:r>
      <w:r>
        <w:t xml:space="preserve">）。</w:t>
      </w:r>
    </w:p>
    <w:p>
      <w:pPr>
        <w:pStyle w:val="Heading1"/>
        <w:spacing w:after="140" w:before="260"/>
      </w:pPr>
      <w:r>
        <w:t xml:space="preserve">8　网格策略建议</w:t>
      </w:r>
    </w:p>
    <w:p>
      <w:pPr>
        <w:spacing w:after="120" w:line="312" w:lineRule="auto"/>
        <w:ind w:firstLine="420"/>
        <w:jc w:val="both"/>
      </w:pPr>
      <w:r>
        <w:t xml:space="preserve">既然真实根常被几何式地“钉”向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，均匀网格在成本上极不划算。表 8、图 11 在同一硬回归（</w:t>
      </w:r>
      <w:r>
        <w:rPr>
          <w:i/>
          <w:iCs/>
        </w:rPr>
        <w:t xml:space="preserve">β</w:t>
      </w:r>
      <w:r>
        <w:t xml:space="preserve">=0.5，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/</w:t>
      </w:r>
      <w:r>
        <w:rPr>
          <w:i/>
          <w:iCs/>
        </w:rPr>
        <w:t xml:space="preserve">η</w:t>
      </w:r>
      <w:r>
        <w:t xml:space="preserve">=0.3，</w:t>
      </w:r>
      <w:r>
        <w:rPr>
          <w:i/>
          <w:iCs/>
        </w:rPr>
        <w:t xml:space="preserve">n</w:t>
      </w:r>
      <w:r>
        <w:t xml:space="preserve">=100</w:t>
      </w:r>
      <w:r>
        <w:t xml:space="preserve">，基准 100% 可解）下比较三种策略：单段均匀网格即便用到 2000 点也仅约 59%；当前两段均匀网格在约 240 次评估时达 100%；而</w:t>
      </w:r>
      <w:r>
        <w:rPr>
          <w:b/>
          <w:bCs/>
        </w:rPr>
        <w:t xml:space="preserve">向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rPr>
          <w:b/>
          <w:bCs/>
        </w:rPr>
        <w:t xml:space="preserve"> 几何加密</w:t>
      </w:r>
      <w:r>
        <w:t xml:space="preserve"> 仅需约 </w:t>
      </w:r>
      <w:r>
        <w:rPr>
          <w:b/>
          <w:bCs/>
        </w:rPr>
        <w:t xml:space="preserve">30 次评估</w:t>
      </w:r>
      <w:r>
        <w:t xml:space="preserve"> 即达满有解率——成本相差近两个数量级。</w:t>
      </w:r>
    </w:p>
    <w:p>
      <w:pPr>
        <w:spacing w:after="80" w:before="60"/>
        <w:jc w:val="center"/>
      </w:pPr>
      <w:r>
        <w:rPr>
          <w:b/>
          <w:bCs/>
        </w:rPr>
        <w:t xml:space="preserve">表 8　</w:t>
      </w:r>
      <w:r>
        <w:t xml:space="preserve">三种网格在硬回归下的成本—有解率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rPr>
          <w:tblHeader/>
        </w:trPr>
        <w:tc>
          <w:tcPr>
            <w:tcW w:type="dxa" w:w="4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/>
                <w:bCs/>
                <w:color w:val="FFFFFF"/>
              </w:rPr>
              <w:t xml:space="preserve">网格策略</w:t>
            </w:r>
          </w:p>
        </w:tc>
        <w:tc>
          <w:tcPr>
            <w:tcW w:type="dxa" w:w="25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</w:rPr>
              <w:t xml:space="preserve">函数评估次数</w:t>
            </w:r>
          </w:p>
        </w:tc>
        <w:tc>
          <w:tcPr>
            <w:tcW w:type="dxa" w:w="25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</w:rPr>
              <w:t xml:space="preserve">有解率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单段均匀</w:t>
            </w:r>
          </w:p>
        </w:tc>
        <w:tc>
          <w:tcPr>
            <w:tcW w:type="dxa" w:w="25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400</w:t>
            </w:r>
          </w:p>
        </w:tc>
        <w:tc>
          <w:tcPr>
            <w:tcW w:type="dxa" w:w="25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8.8%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单段均匀</w:t>
            </w:r>
          </w:p>
        </w:tc>
        <w:tc>
          <w:tcPr>
            <w:tcW w:type="dxa" w:w="25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2000</w:t>
            </w:r>
          </w:p>
        </w:tc>
        <w:tc>
          <w:tcPr>
            <w:tcW w:type="dxa" w:w="25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58.8%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两段均匀（当前）</w:t>
            </w:r>
          </w:p>
        </w:tc>
        <w:tc>
          <w:tcPr>
            <w:tcW w:type="dxa" w:w="25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~120</w:t>
            </w:r>
          </w:p>
        </w:tc>
        <w:tc>
          <w:tcPr>
            <w:tcW w:type="dxa" w:w="25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93.8%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两段均匀（当前）</w:t>
            </w:r>
          </w:p>
        </w:tc>
        <w:tc>
          <w:tcPr>
            <w:tcW w:type="dxa" w:w="25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~240</w:t>
            </w:r>
          </w:p>
        </w:tc>
        <w:tc>
          <w:tcPr>
            <w:tcW w:type="dxa" w:w="25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100.0%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/>
                <w:bCs/>
              </w:rPr>
              <w:t xml:space="preserve">向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min</w:t>
            </w:r>
            <w:r>
              <w:rPr>
                <w:b/>
                <w:bCs/>
              </w:rPr>
              <w:t xml:space="preserve"> 几何加密</w:t>
            </w:r>
          </w:p>
        </w:tc>
        <w:tc>
          <w:tcPr>
            <w:tcW w:type="dxa" w:w="25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</w:rPr>
              <w:t xml:space="preserve">~30</w:t>
            </w:r>
          </w:p>
        </w:tc>
        <w:tc>
          <w:tcPr>
            <w:tcW w:type="dxa" w:w="25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</w:rPr>
              <w:t xml:space="preserve">100.0%</w:t>
            </w:r>
          </w:p>
        </w:tc>
      </w:tr>
    </w:tbl>
    <w:p>
      <w:pPr>
        <w:spacing w:after="60" w:before="80"/>
        <w:jc w:val="center"/>
      </w:pPr>
      <w:r>
        <w:drawing>
          <wp:inline distT="0" distB="0" distL="0" distR="0">
            <wp:extent cx="3810000" cy="2847975"/>
            <wp:effectExtent t="0" r="0" b="0" l="0"/>
            <wp:docPr id="1" name="fig12_gridstrat" descr="fig12_gridstrat" title="fig12_gridstr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</w:rPr>
        <w:t xml:space="preserve">图 11　</w:t>
      </w:r>
      <w:r>
        <w:t xml:space="preserve">硬回归下三种网格的成本—有解率：几何加密以约 30 次评估达满有解率。</w:t>
      </w:r>
    </w:p>
    <w:p>
      <w:pPr>
        <w:spacing w:after="120" w:line="312" w:lineRule="auto"/>
        <w:ind w:firstLine="420"/>
        <w:jc w:val="both"/>
      </w:pPr>
      <w:r>
        <w:t xml:space="preserve">据此，建议的搜索与诊断流程为：（1）以</w:t>
      </w:r>
      <w:r>
        <w:rPr>
          <w:b/>
          <w:bCs/>
        </w:rPr>
        <w:t xml:space="preserve">中等均匀步长</w:t>
      </w:r>
      <w:r>
        <w:t xml:space="preserve"> 粗扫定义域，确定有无内部极小及其大致位置；（2）</w:t>
      </w:r>
      <w:r>
        <w:rPr>
          <w:b/>
          <w:bCs/>
        </w:rPr>
        <w:t xml:space="preserve">向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rPr>
          <w:b/>
          <w:bCs/>
        </w:rPr>
        <w:t xml:space="preserve"> 几何加密</w:t>
      </w:r>
      <w:r>
        <w:t xml:space="preserve">（更小的 eps、并据 </w:t>
      </w:r>
      <w:r>
        <w:rPr>
          <w:i/>
          <w:iCs/>
        </w:rPr>
        <w:t xml:space="preserve">n</w:t>
      </w:r>
      <w:r>
        <w:t xml:space="preserve"> 自适应），覆盖根可能被钉住的近端区；（3）命中后用</w:t>
      </w:r>
      <w:r>
        <w:rPr>
          <w:b/>
          <w:bCs/>
        </w:rPr>
        <w:t xml:space="preserve">二分/割线做局部细化</w:t>
      </w:r>
      <w:r>
        <w:t xml:space="preserve">，把根精度提到所需水平；（4）</w:t>
      </w:r>
      <w:r>
        <w:rPr>
          <w:b/>
          <w:bCs/>
        </w:rPr>
        <w:t xml:space="preserve">检测全部交点</w:t>
      </w:r>
      <w:r>
        <w:t xml:space="preserve"> 并取最靠近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 者；（5）当</w:t>
      </w:r>
      <w:r>
        <w:rPr>
          <w:b/>
          <w:bCs/>
        </w:rPr>
        <w:t xml:space="preserve">确属真无解</w:t>
      </w:r>
      <w:r>
        <w:t xml:space="preserve"> 时，输出</w:t>
      </w:r>
      <w:r>
        <w:rPr>
          <w:b/>
          <w:bCs/>
        </w:rPr>
        <w:t xml:space="preserve">结构化诊断</w:t>
      </w:r>
      <w:r>
        <w:t xml:space="preserve">（报告原因码，如「g 全域高于 offset」与顶点 </w:t>
      </w:r>
      <w:r>
        <w:rPr>
          <w:i/>
          <w:iCs/>
        </w:rPr>
        <w:t xml:space="preserve">γ</w:t>
      </w:r>
      <w:r>
        <w:rPr>
          <w:vertAlign w:val="subscript"/>
        </w:rPr>
        <w:t xml:space="preserve">v</w:t>
      </w:r>
      <w:r>
        <w:t xml:space="preserve"> 出域），并触发</w:t>
      </w:r>
      <w:r>
        <w:rPr>
          <w:b/>
          <w:bCs/>
        </w:rPr>
        <w:t xml:space="preserve">回退规则</w:t>
      </w:r>
      <w:r>
        <w:t xml:space="preserve"> 而非笼统判“失败”——例如取域内廓线最小点、或上升臂端点附近的 </w:t>
      </w:r>
      <w:r>
        <w:rPr>
          <w:i/>
          <w:iCs/>
        </w:rPr>
        <w:t xml:space="preserve">γ</w:t>
      </w:r>
      <w:r>
        <w:t xml:space="preserve"> 作为带标记的估计，交由上层逻辑处理。</w:t>
      </w:r>
    </w:p>
    <w:p>
      <w:pPr>
        <w:pStyle w:val="Heading1"/>
        <w:spacing w:after="140" w:before="260"/>
      </w:pPr>
      <w:r>
        <w:t xml:space="preserve">9　结论</w:t>
      </w:r>
    </w:p>
    <w:p>
      <w:pPr>
        <w:spacing w:after="120" w:line="312" w:lineRule="auto"/>
        <w:ind w:firstLine="420"/>
        <w:jc w:val="both"/>
      </w:pPr>
      <w:r>
        <w:t xml:space="preserve">我们从一次方法尝试出发，澄清了 MDM 严格 offset-root 判据在三参数威布尔位置参数估计中的“无解”现象。主要结论如下。</w:t>
      </w:r>
    </w:p>
    <w:p>
      <w:pPr>
        <w:spacing w:after="120" w:line="312" w:lineRule="auto"/>
        <w:ind w:firstLine="420"/>
        <w:jc w:val="both"/>
      </w:pPr>
      <w:r>
        <w:rPr>
          <w:b/>
          <w:bCs/>
        </w:rPr>
        <w:t xml:space="preserve">一、两类无解须分开处理。</w:t>
      </w:r>
      <w:r>
        <w:t xml:space="preserve">数值漏检源于网格分辨率不足，随步长加密而消失（漏检计数 64→6，有解率 81.3%→83.7% 逼近基准 84.0%）；真无解则是判据在有界域上的固有几何性质，本次重跑中 100% 表现为「梯度全域高于 offset」。</w:t>
      </w:r>
    </w:p>
    <w:p>
      <w:pPr>
        <w:spacing w:after="120" w:line="312" w:lineRule="auto"/>
        <w:ind w:firstLine="420"/>
        <w:jc w:val="both"/>
      </w:pPr>
      <w:r>
        <w:rPr>
          <w:b/>
          <w:bCs/>
        </w:rPr>
        <w:t xml:space="preserve">二、真无解有清晰且可验证的机理。</w:t>
      </w:r>
      <w:r>
        <w:rPr>
          <w:i/>
          <w:iCs/>
        </w:rPr>
        <w:t xml:space="preserve">σ</w:t>
      </w:r>
      <w:r>
        <w:rPr>
          <w:vertAlign w:val="superscript"/>
        </w:rPr>
        <w:t xml:space="preserve">2</w:t>
      </w:r>
      <w:r>
        <w:t xml:space="preserve"> 是 </w:t>
      </w:r>
      <w:r>
        <w:rPr>
          <w:i/>
          <w:iCs/>
        </w:rPr>
        <w:t xml:space="preserve">γ</w:t>
      </w:r>
      <w:r>
        <w:t xml:space="preserve"> 的上开口二次函数；当其顶点 </w:t>
      </w:r>
      <w:r>
        <w:rPr>
          <w:i/>
          <w:iCs/>
        </w:rPr>
        <w:t xml:space="preserve">γ</w:t>
      </w:r>
      <w:r>
        <w:rPr>
          <w:vertAlign w:val="subscript"/>
        </w:rPr>
        <w:t xml:space="preserve">v</w:t>
      </w:r>
      <w:r>
        <w:t xml:space="preserve"> 落在 [0,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) 之外（位移比小时尤甚），域内只剩上升臂，廓线梯度全程贴近 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t xml:space="preserve">，而 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t xml:space="preserve"> 在所考察的 </w:t>
      </w:r>
      <w:r>
        <w:rPr>
          <w:i/>
          <w:iCs/>
        </w:rPr>
        <w:t xml:space="preserve">β</w:t>
      </w:r>
      <w:r>
        <w:t xml:space="preserve">、</w:t>
      </w:r>
      <w:r>
        <w:rPr>
          <w:i/>
          <w:iCs/>
        </w:rPr>
        <w:t xml:space="preserve">n</w:t>
      </w:r>
      <w:r>
        <w:t xml:space="preserve"> 全范围内 ≫ offset，故无内部 offset-root。该机理在真实样本上被验证到机器精度。</w:t>
      </w:r>
    </w:p>
    <w:p>
      <w:pPr>
        <w:spacing w:after="120" w:line="312" w:lineRule="auto"/>
        <w:ind w:firstLine="420"/>
        <w:jc w:val="both"/>
      </w:pPr>
      <w:r>
        <w:rPr>
          <w:b/>
          <w:bCs/>
        </w:rPr>
        <w:t xml:space="preserve">三、几何加密是高性价比的工程解。</w:t>
      </w:r>
      <w:r>
        <w:t xml:space="preserve">真实根被几何式钉向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，故向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 几何加密只需约 30 次评估即恢复几乎全部可解样本，远优于均匀网格；配合命中后局部细化、全交点检测与结构化无解诊断，可稳健完成估计。</w:t>
      </w:r>
    </w:p>
    <w:p>
      <w:pPr>
        <w:spacing w:after="120" w:line="312" w:lineRule="auto"/>
        <w:ind w:firstLine="420"/>
        <w:jc w:val="both"/>
      </w:pPr>
      <w:r>
        <w:rPr>
          <w:b/>
          <w:bCs/>
        </w:rPr>
        <w:t xml:space="preserve">四、与原文的关系：并行不悖，而非矛盾。</w:t>
      </w:r>
      <w:r>
        <w:t xml:space="preserve">原文“不需要求解方程、不会出现无解”指的是方法不依赖方程求解、不会像极大似然那样发散；本文的“无解”指偏置判据在有界域上不存在斜率等于 offset 的内点解。二者是不同层面的陈述。尤须强调：</w:t>
      </w:r>
      <w:r>
        <w:rPr>
          <w:b/>
          <w:bCs/>
        </w:rPr>
        <w:t xml:space="preserve">真无解并不意味着 MDM 无法估计 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——它只说明该样本不存在严格 offset-root 内点解；正确的工程响应是施加</w:t>
      </w:r>
      <w:r>
        <w:rPr>
          <w:b/>
          <w:bCs/>
        </w:rPr>
        <w:t xml:space="preserve">有据可依的回退规则</w:t>
      </w:r>
      <w:r>
        <w:t xml:space="preserve">（如取廓线域内最小点或带标记的近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 估计），而不是笼统地判为“估计失败”。</w:t>
      </w:r>
    </w:p>
    <w:p>
      <w:pPr>
        <w:spacing w:after="120" w:line="312" w:lineRule="auto"/>
        <w:ind w:firstLine="420"/>
        <w:jc w:val="both"/>
      </w:pPr>
      <w:r>
        <w:rPr>
          <w:b/>
          <w:bCs/>
        </w:rPr>
        <w:t xml:space="preserve">五、两点诚实修正。</w:t>
      </w:r>
      <w:r>
        <w:t xml:space="preserve">其一，方差—廓线的几何应表述为「</w:t>
      </w:r>
      <w:r>
        <w:rPr>
          <w:i/>
          <w:iCs/>
        </w:rPr>
        <w:t xml:space="preserve">σ</w:t>
      </w:r>
      <w:r>
        <w:rPr>
          <w:vertAlign w:val="superscript"/>
        </w:rPr>
        <w:t xml:space="preserve">2</w:t>
      </w:r>
      <w:r>
        <w:t xml:space="preserve"> 是抛物线、</w:t>
      </w:r>
      <w:r>
        <w:rPr>
          <w:i/>
          <w:iCs/>
        </w:rPr>
        <w:t xml:space="preserve">σ</w:t>
      </w:r>
      <w:r>
        <w:t xml:space="preserve"> 呈 U/V 形」，且「顶点落在 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」仅为大样本极限、有限样本带偏移；其二，精度随步长的收敛经重跑为近 1/</w:t>
      </w:r>
      <w:r>
        <w:rPr>
          <w:i/>
          <w:iCs/>
        </w:rPr>
        <w:t xml:space="preserve">k</w:t>
      </w:r>
      <w:r>
        <w:t xml:space="preserve">（双对数斜率约 −0.9），而非二阶 1/</w:t>
      </w:r>
      <w:r>
        <w:rPr>
          <w:i/>
          <w:iCs/>
        </w:rPr>
        <w:t xml:space="preserve">k</w:t>
      </w:r>
      <w:r>
        <w:rPr>
          <w:vertAlign w:val="superscript"/>
        </w:rPr>
        <w:t xml:space="preserve">2</w:t>
      </w:r>
      <w:r>
        <w:t xml:space="preserve">。此外，§6 的机理宜定位为“解析机理 + 数值验证”，其中把控制量等同于 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t xml:space="preserve">(</w:t>
      </w:r>
      <w:r>
        <w:rPr>
          <w:i/>
          <w:iCs/>
        </w:rPr>
        <w:t xml:space="preserve">β</w:t>
      </w:r>
      <w:r>
        <w:rPr>
          <w:vertAlign w:val="subscript"/>
        </w:rPr>
        <w:t xml:space="preserve">0</w:t>
      </w:r>
      <w:r>
        <w:t xml:space="preserve">)</w:t>
      </w:r>
      <w:r>
        <w:t xml:space="preserve"> 依赖 </w:t>
      </w:r>
      <w:r>
        <w:rPr>
          <w:i/>
          <w:iCs/>
        </w:rPr>
        <w:t xml:space="preserve">β</w:t>
      </w:r>
      <w:r>
        <w:t xml:space="preserve">*</w:t>
      </w:r>
      <w:r>
        <w:t xml:space="preserve"> ≈ </w:t>
      </w:r>
      <w:r>
        <w:rPr>
          <w:i/>
          <w:iCs/>
        </w:rPr>
        <w:t xml:space="preserve">β</w:t>
      </w:r>
      <w:r>
        <w:rPr>
          <w:vertAlign w:val="subscript"/>
        </w:rPr>
        <w:t xml:space="preserve">0</w:t>
      </w:r>
      <w:r>
        <w:t xml:space="preserve"> 的经验近似，而非完全闭合的定理。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eastAsia="黑体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eastAsia="黑体" w:hAnsi="Arial"/>
      <w:b/>
      <w:bCs/>
      <w:color w:val="2E5E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eb1d50806ac7df55655712b24fc58498dea17eb.png"/><Relationship Id="rId9" Type="http://schemas.openxmlformats.org/officeDocument/2006/relationships/image" Target="media/ac82183fb3c5a80fcef33d2705673d1dd09d64a6.png"/><Relationship Id="rId10" Type="http://schemas.openxmlformats.org/officeDocument/2006/relationships/image" Target="media/c7e2a2c8318333913491ce2c6f515034900e9ecc.png"/><Relationship Id="rId11" Type="http://schemas.openxmlformats.org/officeDocument/2006/relationships/image" Target="media/83409357af5c1d3712e251ae71ca9b60faf65e78.png"/><Relationship Id="rId12" Type="http://schemas.openxmlformats.org/officeDocument/2006/relationships/image" Target="media/a41c29b773a94f5f6de1f464f1d42081084b1ba2.png"/><Relationship Id="rId13" Type="http://schemas.openxmlformats.org/officeDocument/2006/relationships/image" Target="media/d65f9bd339888f60ec738449332665cc99e1493d.png"/><Relationship Id="rId14" Type="http://schemas.openxmlformats.org/officeDocument/2006/relationships/image" Target="media/89a1aa7a18f884c9d7029e6fb1dbe005b857af78.png"/><Relationship Id="rId15" Type="http://schemas.openxmlformats.org/officeDocument/2006/relationships/image" Target="media/223071a45669f20d13384fa550b67917dda200f5.png"/><Relationship Id="rId16" Type="http://schemas.openxmlformats.org/officeDocument/2006/relationships/image" Target="media/3406bd03a495e46497a751fe9f701526410da995.png"/><Relationship Id="rId17" Type="http://schemas.openxmlformats.org/officeDocument/2006/relationships/image" Target="media/ea84da3c4e636f619166b5619e1ef8e6876a7d5e.png"/><Relationship Id="rId18" Type="http://schemas.openxmlformats.org/officeDocument/2006/relationships/image" Target="media/988bceef59e9a7e9b2eca19df6fbd4c36b80e431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2026-06-04T06:10:53.932Z</dcterms:created>
  <dcterms:modified xsi:type="dcterms:W3CDTF">2026-06-04T06:10:53.932Z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