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A1A2E"/>
          <w:sz w:val="36"/>
          <w:szCs w:val="36"/>
        </w:rPr>
        <w:t xml:space="preserve">三参数 Weibull 评价指标的蒙特卡洛验证报告</w:t>
      </w:r>
    </w:p>
    <w:p>
      <w:pPr>
        <w:spacing w:after="60"/>
        <w:jc w:val="center"/>
      </w:pPr>
      <w:r>
        <w:rPr>
          <w:color w:val="555555"/>
          <w:sz w:val="21"/>
          <w:szCs w:val="21"/>
        </w:rPr>
        <w:t xml:space="preserve">为什么用这些指标、好在哪里、它们代表什么——用可复现实验逐一证明</w:t>
      </w:r>
    </w:p>
    <w:p>
      <w:pPr>
        <w:pBdr>
          <w:bottom w:val="single" w:color="2E5E8C" w:sz="8" w:space="6"/>
        </w:pBdr>
        <w:spacing w:after="40"/>
        <w:jc w:val="center"/>
      </w:pPr>
      <w:r>
        <w:rPr>
          <w:sz w:val="22"/>
          <w:szCs w:val="22"/>
        </w:rPr>
        <w:t xml:space="preserve"/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配套《三参数 Weibull 参数估计结果如何评价》研究报告 · 实证验证篇</w:t>
      </w:r>
    </w:p>
    <w:p>
      <w:pPr>
        <w:pStyle w:val="Heading1"/>
        <w:spacing w:after="140" w:before="300"/>
      </w:pPr>
      <w:r>
        <w:rPr>
          <w:b/>
          <w:bCs/>
        </w:rPr>
        <w:t xml:space="preserve">摘要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本报告对研究报告中推荐的评价指标做实证检验。仿真采用</w:t>
      </w:r>
      <w:r>
        <w:rPr>
          <w:b/>
          <w:bCs/>
          <w:sz w:val="22"/>
          <w:szCs w:val="22"/>
        </w:rPr>
        <w:t xml:space="preserve">已知真值 → 生成寿命样本 → 估计参数 → 评价误差</w:t>
      </w:r>
      <w:r>
        <w:rPr>
          <w:sz w:val="22"/>
          <w:szCs w:val="22"/>
        </w:rPr>
        <w:t xml:space="preserve">的标准蒙特卡洛范式，每个实验针对一个具体论断，回答三个问题：为什么用这个指标而非其他、好在哪里、它代表什么。六个实验的结论一致支持研究报告的建议：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(1) 参数视角用 </w:t>
      </w:r>
      <w:r>
        <w:rPr>
          <w:b/>
          <w:bCs/>
          <w:color w:val="2E5E8C"/>
          <w:sz w:val="22"/>
          <w:szCs w:val="22"/>
        </w:rPr>
        <w:t xml:space="preserve">RRMSE</w:t>
      </w:r>
      <w:r>
        <w:rPr>
          <w:sz w:val="22"/>
          <w:szCs w:val="22"/>
        </w:rPr>
        <w:t xml:space="preserve">（β、η），位置参数 γ 用绝对或 η 归一误差；(2) 工程视角用 </w:t>
      </w:r>
      <w:r>
        <w:rPr>
          <w:b/>
          <w:bCs/>
          <w:color w:val="2E5E8C"/>
          <w:sz w:val="22"/>
          <w:szCs w:val="22"/>
        </w:rPr>
        <w:t xml:space="preserve">分位点 x_R 的相对 RMSE</w:t>
      </w:r>
      <w:r>
        <w:rPr>
          <w:sz w:val="22"/>
          <w:szCs w:val="22"/>
        </w:rPr>
        <w:t xml:space="preserve">（多可靠度、重尾部）；(3) 训练损失优先 </w:t>
      </w:r>
      <w:r>
        <w:rPr>
          <w:b/>
          <w:bCs/>
          <w:color w:val="2E5E8C"/>
          <w:sz w:val="22"/>
          <w:szCs w:val="22"/>
        </w:rPr>
        <w:t xml:space="preserve">NLL → pinball → CRPS</w:t>
      </w:r>
      <w:r>
        <w:rPr>
          <w:sz w:val="22"/>
          <w:szCs w:val="22"/>
        </w:rPr>
        <w:t xml:space="preserve">。所有论断均由数值证据支撑，关键结论可在文中表格与图中复核。</w:t>
      </w:r>
    </w:p>
    <w:p>
      <w:pPr>
        <w:pStyle w:val="Heading1"/>
        <w:spacing w:after="140" w:before="300"/>
      </w:pPr>
      <w:r>
        <w:rPr>
          <w:b/>
          <w:bCs/>
        </w:rPr>
        <w:t xml:space="preserve">一、验证设计与仿真设置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真实分布取损耗型三参数 Weibull（形状 β=2.5，特征寿命 η=1000 小时，位置/无失效期 γ）。位置参数 γ 取两种情形：常规件 γ=100 小时，退化件 γ=0（即两参数 Weibull）。估计器采用对 γ 做剖面似然、对每个候选 γ 用两参数闭式 MLE 的标准做法，对 β&gt;1 数值稳定且可复现。每个配置独立重复 N=2500 次。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00"/>
        <w:gridCol w:w="1700"/>
        <w:gridCol w:w="1660"/>
        <w:gridCol w:w="2100"/>
        <w:gridCol w:w="1000"/>
      </w:tblGrid>
      <w:tr>
        <w:trPr>
          <w:tblHeader/>
        </w:trPr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配置</w:t>
            </w:r>
          </w:p>
        </w:tc>
        <w:tc>
          <w:tcPr>
            <w:tcW w:type="dxa" w:w="1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β</w:t>
            </w:r>
          </w:p>
        </w:tc>
        <w:tc>
          <w:tcPr>
            <w:tcW w:type="dxa" w:w="1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η (小时)</w:t>
            </w:r>
          </w:p>
        </w:tc>
        <w:tc>
          <w:tcPr>
            <w:tcW w:type="dxa" w:w="16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γ (小时)</w:t>
            </w:r>
          </w:p>
        </w:tc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样本量 n</w:t>
            </w:r>
          </w:p>
        </w:tc>
        <w:tc>
          <w:tcPr>
            <w:tcW w:type="dxa" w:w="1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重复次数 N</w:t>
            </w:r>
          </w:p>
        </w:tc>
      </w:tr>
      <w:tr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A（常规件）</w:t>
            </w:r>
          </w:p>
        </w:tc>
        <w:tc>
          <w:tcPr>
            <w:tcW w:type="dxa" w:w="1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  <w:tc>
          <w:tcPr>
            <w:tcW w:type="dxa" w:w="1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</w:t>
            </w:r>
          </w:p>
        </w:tc>
        <w:tc>
          <w:tcPr>
            <w:tcW w:type="dxa" w:w="16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 / 50 / 100</w:t>
            </w:r>
          </w:p>
        </w:tc>
        <w:tc>
          <w:tcPr>
            <w:tcW w:type="dxa" w:w="1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2500</w:t>
            </w:r>
          </w:p>
        </w:tc>
      </w:tr>
      <w:tr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B（退化件）</w:t>
            </w:r>
          </w:p>
        </w:tc>
        <w:tc>
          <w:tcPr>
            <w:tcW w:type="dxa" w:w="1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  <w:tc>
          <w:tcPr>
            <w:tcW w:type="dxa" w:w="1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</w:t>
            </w:r>
          </w:p>
        </w:tc>
        <w:tc>
          <w:tcPr>
            <w:tcW w:type="dxa" w:w="16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3B3B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2500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估计器的一致性（随样本量增大收敛到真值）：</w:t>
      </w:r>
      <w:r>
        <w:rPr>
          <w:b/>
          <w:bCs/>
          <w:sz w:val="22"/>
          <w:szCs w:val="22"/>
        </w:rPr>
        <w:t xml:space="preserve">β̂</w:t>
      </w:r>
      <w:r>
        <w:rPr>
          <w:sz w:val="22"/>
          <w:szCs w:val="22"/>
        </w:rPr>
        <w:t xml:space="preserve"> 2.27→2.37→2.43，</w:t>
      </w:r>
      <w:r>
        <w:rPr>
          <w:b/>
          <w:bCs/>
          <w:sz w:val="22"/>
          <w:szCs w:val="22"/>
        </w:rPr>
        <w:t xml:space="preserve">η̂</w:t>
      </w:r>
      <w:r>
        <w:rPr>
          <w:sz w:val="22"/>
          <w:szCs w:val="22"/>
        </w:rPr>
        <w:t xml:space="preserve"> 854→927→963，</w:t>
      </w:r>
      <w:r>
        <w:rPr>
          <w:b/>
          <w:bCs/>
          <w:sz w:val="22"/>
          <w:szCs w:val="22"/>
        </w:rPr>
        <w:t xml:space="preserve">γ̂</w:t>
      </w:r>
      <w:r>
        <w:rPr>
          <w:sz w:val="22"/>
          <w:szCs w:val="22"/>
        </w:rPr>
        <w:t xml:space="preserve"> 220→162→131（n=20/50/100，真值 2.5 / 1000 / 100）。估计器行为正常，下列指标差异来自指标本身的性质，而非估计器异常。</w:t>
      </w:r>
    </w:p>
    <w:p>
      <w:pPr>
        <w:pStyle w:val="Heading1"/>
        <w:pageBreakBefore/>
        <w:spacing w:after="140"/>
      </w:pPr>
      <w:r>
        <w:rPr>
          <w:b/>
          <w:bCs/>
        </w:rPr>
        <w:t xml:space="preserve">二、实验一：参数尺度混合——原始 MSE 不可加，须用 RRMSE</w:t>
      </w:r>
    </w:p>
    <w:p>
      <w:pPr>
        <w:pBdr>
          <w:left w:val="single" w:color="2E5E8C" w:sz="18" w:space="8"/>
        </w:pBdr>
        <w:shd w:fill="EEF3F8" w:val="clear"/>
        <w:spacing w:after="100" w:line="300"/>
        <w:jc w:val="both"/>
      </w:pPr>
      <w:r>
        <w:rPr>
          <w:b/>
          <w:bCs/>
          <w:color w:val="2E5E8C"/>
          <w:sz w:val="21"/>
          <w:szCs w:val="21"/>
        </w:rPr>
        <w:t xml:space="preserve">论点：</w:t>
      </w:r>
      <w:r>
        <w:rPr>
          <w:sz w:val="21"/>
          <w:szCs w:val="21"/>
        </w:rPr>
        <w:t xml:space="preserve">研究报告建议参数视角核心指标用 RRMSE=RMSE/真值（针对 β、η），并强调不能把三个参数的 MSE 直接相加。本实验检验这一点。</w:t>
      </w:r>
    </w:p>
    <w:p>
      <w:pPr>
        <w:spacing w:after="30" w:before="120"/>
        <w:jc w:val="center"/>
      </w:pPr>
      <w:r>
        <w:drawing>
          <wp:inline distT="0" distB="0" distL="0" distR="0">
            <wp:extent cx="5943600" cy="2428875"/>
            <wp:effectExtent t="0" r="0" b="0" l="0"/>
            <wp:docPr id="1" name="图1  原始 MSE 量纲悬殊（左，对数" descr="图1  原始 MSE 量纲悬殊（左，对数轴），相对化为 RRMSE 后量级可比（右）。" title="图1  原始 MSE 量纲悬殊（左，对数轴），相对化为 RRMSE 后量级可比（右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7"/>
          <w:szCs w:val="17"/>
        </w:rPr>
        <w:t xml:space="preserve">图1  原始 MSE 量纲悬殊（左，对数轴），相对化为 RRMSE 后量级可比（右）。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400"/>
        <w:gridCol w:w="2400"/>
        <w:gridCol w:w="2200"/>
      </w:tblGrid>
      <w:tr>
        <w:trPr>
          <w:tblHeader/>
        </w:trPr>
        <w:tc>
          <w:tcPr>
            <w:tcW w:type="dxa" w:w="2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</w:t>
            </w:r>
          </w:p>
        </w:tc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原始 MSE</w:t>
            </w:r>
          </w:p>
        </w:tc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占朴素总 MSE</w:t>
            </w:r>
          </w:p>
        </w:tc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RRMSE</w:t>
            </w:r>
          </w:p>
        </w:tc>
      </w:tr>
      <w:tr>
        <w:tc>
          <w:tcPr>
            <w:tcW w:type="dxa" w:w="2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β 形状</w:t>
            </w:r>
          </w:p>
        </w:tc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0.265</w:t>
            </w:r>
          </w:p>
        </w:tc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3B3B"/>
                <w:sz w:val="18"/>
                <w:szCs w:val="18"/>
              </w:rPr>
              <w:t xml:space="preserve">0.001%</w:t>
            </w:r>
          </w:p>
        </w:tc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20.6%</w:t>
            </w:r>
          </w:p>
        </w:tc>
      </w:tr>
      <w:tr>
        <w:tc>
          <w:tcPr>
            <w:tcW w:type="dxa" w:w="2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η 尺度</w:t>
            </w:r>
          </w:p>
        </w:tc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27 155</w:t>
            </w:r>
          </w:p>
        </w:tc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59.2%</w:t>
            </w:r>
          </w:p>
        </w:tc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16.5%</w:t>
            </w:r>
          </w:p>
        </w:tc>
      </w:tr>
      <w:tr>
        <w:tc>
          <w:tcPr>
            <w:tcW w:type="dxa" w:w="2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γ 位置</w:t>
            </w:r>
          </w:p>
        </w:tc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18 742</w:t>
            </w:r>
          </w:p>
        </w:tc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40.8%</w:t>
            </w:r>
          </w:p>
        </w:tc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E07A3F"/>
                <w:sz w:val="18"/>
                <w:szCs w:val="18"/>
              </w:rPr>
              <w:t xml:space="preserve">136.9%（不稳定）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 w:line="300"/>
        <w:jc w:val="both"/>
      </w:pPr>
      <w:r>
        <w:rPr>
          <w:b/>
          <w:bCs/>
          <w:color w:val="2E5E8C"/>
          <w:sz w:val="22"/>
          <w:szCs w:val="22"/>
        </w:rPr>
        <w:t xml:space="preserve">量纲悬殊：</w:t>
      </w:r>
      <w:r>
        <w:rPr>
          <w:sz w:val="22"/>
          <w:szCs w:val="22"/>
        </w:rPr>
        <w:t xml:space="preserve">η 的 MSE 比 β 大约五个数量级，β 仅占朴素总和的 0.001%——直接相加等于丢弃 β 的全部信息。</w:t>
      </w:r>
    </w:p>
    <w:p>
      <w:pPr>
        <w:spacing w:after="120" w:line="300"/>
        <w:jc w:val="both"/>
      </w:pPr>
      <w:r>
        <w:rPr>
          <w:b/>
          <w:bCs/>
          <w:color w:val="2E5E8C"/>
          <w:sz w:val="22"/>
          <w:szCs w:val="22"/>
        </w:rPr>
        <w:t xml:space="preserve">单位不变性检验：</w:t>
      </w:r>
      <w:r>
        <w:rPr>
          <w:sz w:val="22"/>
          <w:szCs w:val="22"/>
        </w:rPr>
        <w:t xml:space="preserve">仅把 η、γ 单位由“小时”改为“千小时”（物理事实不变），朴素总 MSE 中三参数占比从 0.001 / 59 / 41% 翻转为 85 / 9 / 6%；而 RRMSE 完全不变（β 始终 20.6%）。一个随测量单位而改变的“总指标”不可能是公平的综合度量。</w:t>
      </w:r>
    </w:p>
    <w:p>
      <w:pPr>
        <w:spacing w:after="120" w:line="300"/>
        <w:jc w:val="both"/>
      </w:pPr>
      <w:r>
        <w:rPr>
          <w:b/>
          <w:bCs/>
          <w:color w:val="2E5E8C"/>
          <w:sz w:val="22"/>
          <w:szCs w:val="22"/>
        </w:rPr>
        <w:t xml:space="preserve">灵敏度检验：</w:t>
      </w:r>
      <w:r>
        <w:rPr>
          <w:sz w:val="22"/>
          <w:szCs w:val="22"/>
        </w:rPr>
        <w:t xml:space="preserve">把 β 的误差放大 3 倍，朴素总 MSE 几乎不动（×1.00，被 η 淹没），而平均 RRMSE 如实上升（×1.24）；把 η 误差放大 3 倍，朴素总 MSE 暴涨至 ×5.73。可见朴素总 MSE 对 β 近乎“失明”。</w:t>
      </w:r>
    </w:p>
    <w:p>
      <w:pPr>
        <w:spacing w:after="120" w:line="300"/>
        <w:jc w:val="both"/>
      </w:pPr>
      <w:r>
        <w:rPr>
          <w:b/>
          <w:bCs/>
          <w:color w:val="2E8B57"/>
          <w:sz w:val="22"/>
          <w:szCs w:val="22"/>
        </w:rPr>
        <w:t xml:space="preserve">代表什么：</w:t>
      </w:r>
      <w:r>
        <w:rPr>
          <w:sz w:val="22"/>
          <w:szCs w:val="22"/>
        </w:rPr>
        <w:t xml:space="preserve">RRMSE 是无量纲的相对精度，使量纲、量级都不同的 β 与 η 能在同一标尺上公平比较。γ 的 RRMSE 高达 137% 且不稳定（见实验二），故 γ 不宜相对化。</w:t>
      </w:r>
    </w:p>
    <w:p>
      <w:pPr>
        <w:pStyle w:val="Heading1"/>
        <w:pageBreakBefore/>
        <w:spacing w:after="140"/>
      </w:pPr>
      <w:r>
        <w:rPr>
          <w:b/>
          <w:bCs/>
        </w:rPr>
        <w:t xml:space="preserve">三、实验二：位置参数 γ——相对误差会除零，须用绝对/η 归一误差</w:t>
      </w:r>
    </w:p>
    <w:p>
      <w:pPr>
        <w:pBdr>
          <w:left w:val="single" w:color="2E5E8C" w:sz="18" w:space="8"/>
        </w:pBdr>
        <w:shd w:fill="EEF3F8" w:val="clear"/>
        <w:spacing w:after="100" w:line="300"/>
        <w:jc w:val="both"/>
      </w:pPr>
      <w:r>
        <w:rPr>
          <w:b/>
          <w:bCs/>
          <w:color w:val="2E5E8C"/>
          <w:sz w:val="21"/>
          <w:szCs w:val="21"/>
        </w:rPr>
        <w:t xml:space="preserve">论点：</w:t>
      </w:r>
      <w:r>
        <w:rPr>
          <w:sz w:val="21"/>
          <w:szCs w:val="21"/>
        </w:rPr>
        <w:t xml:space="preserve">研究报告建议 γ 因可能为 0，应改用绝对 RMSE 或 η 归一误差，而不是除以 γ 的相对误差。</w:t>
      </w:r>
    </w:p>
    <w:p>
      <w:pPr>
        <w:spacing w:after="30" w:before="120"/>
        <w:jc w:val="center"/>
      </w:pPr>
      <w:r>
        <w:drawing>
          <wp:inline distT="0" distB="0" distL="0" distR="0">
            <wp:extent cx="5943600" cy="2428875"/>
            <wp:effectExtent t="0" r="0" b="0" l="0"/>
            <wp:docPr id="1" name="图2  γ=100 时相对误差极不稳定（" descr="图2  γ=100 时相对误差极不稳定（左）；γ=0 时相对误差为除零、未定义（右）。" title="图2  γ=100 时相对误差极不稳定（左）；γ=0 时相对误差为除零、未定义（右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7"/>
          <w:szCs w:val="17"/>
        </w:rPr>
        <w:t xml:space="preserve">图2  γ=100 时相对误差极不稳定（左）；γ=0 时相对误差为除零、未定义（右）。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0"/>
        <w:gridCol w:w="2050"/>
        <w:gridCol w:w="2050"/>
      </w:tblGrid>
      <w:tr>
        <w:trPr>
          <w:tblHeader/>
        </w:trPr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真值 γ</w:t>
            </w:r>
          </w:p>
        </w:tc>
        <w:tc>
          <w:tcPr>
            <w:tcW w:type="dxa" w:w="3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相对误差 / RRMSE</w:t>
            </w:r>
          </w:p>
        </w:tc>
        <w:tc>
          <w:tcPr>
            <w:tcW w:type="dxa" w:w="20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绝对 RMSE</w:t>
            </w:r>
          </w:p>
        </w:tc>
        <w:tc>
          <w:tcPr>
            <w:tcW w:type="dxa" w:w="20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η 归一 RMSE/η</w:t>
            </w:r>
          </w:p>
        </w:tc>
      </w:tr>
      <w:tr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23B3B"/>
                <w:sz w:val="18"/>
                <w:szCs w:val="18"/>
              </w:rPr>
              <w:t xml:space="preserve">0</w:t>
            </w:r>
          </w:p>
        </w:tc>
        <w:tc>
          <w:tcPr>
            <w:tcW w:type="dxa" w:w="3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C23B3B"/>
                <w:sz w:val="18"/>
                <w:szCs w:val="18"/>
              </w:rPr>
              <w:t xml:space="preserve">未定义（2500/2500 为 ±∞）</w:t>
            </w:r>
          </w:p>
        </w:tc>
        <w:tc>
          <w:tcPr>
            <w:tcW w:type="dxa" w:w="20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128.4 小时</w:t>
            </w:r>
          </w:p>
        </w:tc>
        <w:tc>
          <w:tcPr>
            <w:tcW w:type="dxa" w:w="20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0.128</w:t>
            </w:r>
          </w:p>
        </w:tc>
      </w:tr>
      <w:tr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3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5/50/95 分位 = −100% / 55% / 271%</w:t>
            </w:r>
          </w:p>
        </w:tc>
        <w:tc>
          <w:tcPr>
            <w:tcW w:type="dxa" w:w="20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136.9 小时</w:t>
            </w:r>
          </w:p>
        </w:tc>
        <w:tc>
          <w:tcPr>
            <w:tcW w:type="dxa" w:w="20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0.137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 w:line="300"/>
        <w:jc w:val="both"/>
      </w:pPr>
      <w:r>
        <w:rPr>
          <w:b/>
          <w:bCs/>
          <w:color w:val="2E5E8C"/>
          <w:sz w:val="22"/>
          <w:szCs w:val="22"/>
        </w:rPr>
        <w:t xml:space="preserve">除零失效：</w:t>
      </w:r>
      <w:r>
        <w:rPr>
          <w:sz w:val="22"/>
          <w:szCs w:val="22"/>
        </w:rPr>
        <w:t xml:space="preserve">γ=0 时相对误差 (γ̂−0)/0 对全部 2500 次重复都是 ±∞，RRMSE 彻底失效；而绝对 RMSE=128 小时、η 归一 0.128 始终有限、可解释。</w:t>
      </w:r>
    </w:p>
    <w:p>
      <w:pPr>
        <w:spacing w:after="120" w:line="300"/>
        <w:jc w:val="both"/>
      </w:pPr>
      <w:r>
        <w:rPr>
          <w:b/>
          <w:bCs/>
          <w:color w:val="2E5E8C"/>
          <w:sz w:val="22"/>
          <w:szCs w:val="22"/>
        </w:rPr>
        <w:t xml:space="preserve">即使非零也不稳：</w:t>
      </w:r>
      <w:r>
        <w:rPr>
          <w:sz w:val="22"/>
          <w:szCs w:val="22"/>
        </w:rPr>
        <w:t xml:space="preserve">γ=100 时，γ̂ 偶尔被压到 0 造成 −100% 的“硬墙”堆积（占 16%），右尾长达 +450%，中位数 55%。这种重尾使“平均相对误差”几乎无意义。</w:t>
      </w:r>
    </w:p>
    <w:p>
      <w:pPr>
        <w:spacing w:after="120" w:line="300"/>
        <w:jc w:val="both"/>
      </w:pPr>
      <w:r>
        <w:rPr>
          <w:b/>
          <w:bCs/>
          <w:color w:val="2E8B57"/>
          <w:sz w:val="22"/>
          <w:szCs w:val="22"/>
        </w:rPr>
        <w:t xml:space="preserve">代表什么：</w:t>
      </w:r>
      <w:r>
        <w:rPr>
          <w:sz w:val="22"/>
          <w:szCs w:val="22"/>
        </w:rPr>
        <w:t xml:space="preserve">对位置型参数，绝对误差（或用稳定的尺度 η 归一）度量的是“阈值估计偏离了多少时间单位”，既稳健又可解释，从根本上避免除零与重尾。</w:t>
      </w:r>
    </w:p>
    <w:p>
      <w:pPr>
        <w:pStyle w:val="Heading1"/>
        <w:pageBreakBefore/>
        <w:spacing w:after="140"/>
      </w:pPr>
      <w:r>
        <w:rPr>
          <w:b/>
          <w:bCs/>
        </w:rPr>
        <w:t xml:space="preserve">四、实验三：参数视角 ≠ 工程分位点视角（二者非冗余）</w:t>
      </w:r>
    </w:p>
    <w:p>
      <w:pPr>
        <w:pBdr>
          <w:left w:val="single" w:color="2E5E8C" w:sz="18" w:space="8"/>
        </w:pBdr>
        <w:shd w:fill="EEF3F8" w:val="clear"/>
        <w:spacing w:after="100" w:line="300"/>
        <w:jc w:val="both"/>
      </w:pPr>
      <w:r>
        <w:rPr>
          <w:b/>
          <w:bCs/>
          <w:color w:val="2E5E8C"/>
          <w:sz w:val="21"/>
          <w:szCs w:val="21"/>
        </w:rPr>
        <w:t xml:space="preserve">论点：</w:t>
      </w:r>
      <w:r>
        <w:rPr>
          <w:sz w:val="21"/>
          <w:szCs w:val="21"/>
        </w:rPr>
        <w:t xml:space="preserve">研究报告主张参数视角（评价估计器本身）与工程分位点视角（评价可靠度寿命）应当并存，二者并非冗余。</w:t>
      </w:r>
    </w:p>
    <w:p>
      <w:pPr>
        <w:spacing w:after="30" w:before="120"/>
        <w:jc w:val="center"/>
      </w:pPr>
      <w:r>
        <w:drawing>
          <wp:inline distT="0" distB="0" distL="0" distR="0">
            <wp:extent cx="5943600" cy="2305050"/>
            <wp:effectExtent t="0" r="0" b="0" l="0"/>
            <wp:docPr id="1" name="图3  左：同为+10%参数误差，对 x" descr="图3  左：同为+10%参数误差，对 x_R 的影响随 R 而异；右：逐参数 RMSE 相同而 x_R 精度不同。" title="图3  左：同为+10%参数误差，对 x_R 的影响随 R 而异；右：逐参数 RMSE 相同而 x_R 精度不同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7"/>
          <w:szCs w:val="17"/>
        </w:rPr>
        <w:t xml:space="preserve">图3  左：同为+10%参数误差，对 x_R 的影响随 R 而异；右：逐参数 RMSE 相同而 x_R 精度不同。</w:t>
      </w:r>
    </w:p>
    <w:p>
      <w:pPr>
        <w:spacing w:after="80"/>
      </w:pPr>
      <w:r>
        <w:rPr>
          <w:b/>
          <w:bCs/>
          <w:sz w:val="19"/>
          <w:szCs w:val="19"/>
        </w:rPr>
        <w:t xml:space="preserve">(a) +10% 单参数扰动引起的 x_R 相对变化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520"/>
        <w:gridCol w:w="1520"/>
        <w:gridCol w:w="1520"/>
        <w:gridCol w:w="1520"/>
        <w:gridCol w:w="1520"/>
      </w:tblGrid>
      <w:tr>
        <w:trPr>
          <w:tblHeader/>
        </w:trPr>
        <w:tc>
          <w:tcPr>
            <w:tcW w:type="dxa" w:w="1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+10% 扰动</w:t>
            </w:r>
          </w:p>
        </w:tc>
        <w:tc>
          <w:tcPr>
            <w:tcW w:type="dxa" w:w="1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R=0.999</w:t>
            </w:r>
          </w:p>
        </w:tc>
        <w:tc>
          <w:tcPr>
            <w:tcW w:type="dxa" w:w="1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R=0.99</w:t>
            </w:r>
          </w:p>
        </w:tc>
        <w:tc>
          <w:tcPr>
            <w:tcW w:type="dxa" w:w="1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R=0.95</w:t>
            </w:r>
          </w:p>
        </w:tc>
        <w:tc>
          <w:tcPr>
            <w:tcW w:type="dxa" w:w="1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R=0.90</w:t>
            </w:r>
          </w:p>
        </w:tc>
        <w:tc>
          <w:tcPr>
            <w:tcW w:type="dxa" w:w="1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R=0.50</w:t>
            </w:r>
          </w:p>
        </w:tc>
      </w:tr>
      <w:tr>
        <w:tc>
          <w:tcPr>
            <w:tcW w:type="dxa" w:w="1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β 形状</w:t>
            </w:r>
          </w:p>
        </w:tc>
        <w:tc>
          <w:tcPr>
            <w:tcW w:type="dxa" w:w="1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3B3B"/>
                <w:sz w:val="18"/>
                <w:szCs w:val="18"/>
              </w:rPr>
              <w:t xml:space="preserve">11.1%</w:t>
            </w:r>
          </w:p>
        </w:tc>
        <w:tc>
          <w:tcPr>
            <w:tcW w:type="dxa" w:w="1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11.2%</w:t>
            </w:r>
          </w:p>
        </w:tc>
        <w:tc>
          <w:tcPr>
            <w:tcW w:type="dxa" w:w="1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8.6%</w:t>
            </w:r>
          </w:p>
        </w:tc>
        <w:tc>
          <w:tcPr>
            <w:tcW w:type="dxa" w:w="1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6.8%</w:t>
            </w:r>
          </w:p>
        </w:tc>
        <w:tc>
          <w:tcPr>
            <w:tcW w:type="dxa" w:w="1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999999"/>
                <w:sz w:val="18"/>
                <w:szCs w:val="18"/>
              </w:rPr>
              <w:t xml:space="preserve">1.2%</w:t>
            </w:r>
          </w:p>
        </w:tc>
      </w:tr>
      <w:tr>
        <w:tc>
          <w:tcPr>
            <w:tcW w:type="dxa" w:w="1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η 尺度</w:t>
            </w:r>
          </w:p>
        </w:tc>
        <w:tc>
          <w:tcPr>
            <w:tcW w:type="dxa" w:w="1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3.9%</w:t>
            </w:r>
          </w:p>
        </w:tc>
        <w:tc>
          <w:tcPr>
            <w:tcW w:type="dxa" w:w="1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6.1%</w:t>
            </w:r>
          </w:p>
        </w:tc>
        <w:tc>
          <w:tcPr>
            <w:tcW w:type="dxa" w:w="1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7.5%</w:t>
            </w:r>
          </w:p>
        </w:tc>
        <w:tc>
          <w:tcPr>
            <w:tcW w:type="dxa" w:w="1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8.0%</w:t>
            </w:r>
          </w:p>
        </w:tc>
        <w:tc>
          <w:tcPr>
            <w:tcW w:type="dxa" w:w="1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5E8C"/>
                <w:sz w:val="18"/>
                <w:szCs w:val="18"/>
              </w:rPr>
              <w:t xml:space="preserve">9.0%</w:t>
            </w:r>
          </w:p>
        </w:tc>
      </w:tr>
      <w:tr>
        <w:tc>
          <w:tcPr>
            <w:tcW w:type="dxa" w:w="1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γ 位置</w:t>
            </w:r>
          </w:p>
        </w:tc>
        <w:tc>
          <w:tcPr>
            <w:tcW w:type="dxa" w:w="1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 xml:space="preserve">6.1%</w:t>
            </w:r>
          </w:p>
        </w:tc>
        <w:tc>
          <w:tcPr>
            <w:tcW w:type="dxa" w:w="1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3.9%</w:t>
            </w:r>
          </w:p>
        </w:tc>
        <w:tc>
          <w:tcPr>
            <w:tcW w:type="dxa" w:w="1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2.5%</w:t>
            </w:r>
          </w:p>
        </w:tc>
        <w:tc>
          <w:tcPr>
            <w:tcW w:type="dxa" w:w="1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2.0%</w:t>
            </w:r>
          </w:p>
        </w:tc>
        <w:tc>
          <w:tcPr>
            <w:tcW w:type="dxa" w:w="1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1.0%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b/>
          <w:bCs/>
          <w:sz w:val="19"/>
          <w:szCs w:val="19"/>
        </w:rPr>
        <w:t xml:space="preserve">(b) 相同边际误差、不同相关结构（逐参数 RMSE 几乎相同）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000"/>
        <w:gridCol w:w="2000"/>
        <w:gridCol w:w="2600"/>
      </w:tblGrid>
      <w:tr>
        <w:trPr>
          <w:tblHeader/>
        </w:trPr>
        <w:tc>
          <w:tcPr>
            <w:tcW w:type="dxa" w:w="2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误差相关性</w:t>
            </w:r>
          </w:p>
        </w:tc>
        <w:tc>
          <w:tcPr>
            <w:tcW w:type="dxa" w:w="2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RMSE_β</w:t>
            </w:r>
          </w:p>
        </w:tc>
        <w:tc>
          <w:tcPr>
            <w:tcW w:type="dxa" w:w="2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RMSE_η</w:t>
            </w:r>
          </w:p>
        </w:tc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x_R 的 RMSE (R=0.99)</w:t>
            </w:r>
          </w:p>
        </w:tc>
      </w:tr>
      <w:tr>
        <w:tc>
          <w:tcPr>
            <w:tcW w:type="dxa" w:w="2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正相关 ρ=+0.8</w:t>
            </w:r>
          </w:p>
        </w:tc>
        <w:tc>
          <w:tcPr>
            <w:tcW w:type="dxa" w:w="2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0.45</w:t>
            </w:r>
          </w:p>
        </w:tc>
        <w:tc>
          <w:tcPr>
            <w:tcW w:type="dxa" w:w="2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3B3B"/>
                <w:sz w:val="18"/>
                <w:szCs w:val="18"/>
              </w:rPr>
              <w:t xml:space="preserve">69.3 小时</w:t>
            </w:r>
          </w:p>
        </w:tc>
      </w:tr>
      <w:tr>
        <w:tc>
          <w:tcPr>
            <w:tcW w:type="dxa" w:w="2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零相关 ρ=0</w:t>
            </w:r>
          </w:p>
        </w:tc>
        <w:tc>
          <w:tcPr>
            <w:tcW w:type="dxa" w:w="2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0.45</w:t>
            </w:r>
          </w:p>
        </w:tc>
        <w:tc>
          <w:tcPr>
            <w:tcW w:type="dxa" w:w="2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55.4 小时</w:t>
            </w:r>
          </w:p>
        </w:tc>
      </w:tr>
      <w:tr>
        <w:tc>
          <w:tcPr>
            <w:tcW w:type="dxa" w:w="2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负相关 ρ=−0.8</w:t>
            </w:r>
          </w:p>
        </w:tc>
        <w:tc>
          <w:tcPr>
            <w:tcW w:type="dxa" w:w="2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0.45</w:t>
            </w:r>
          </w:p>
        </w:tc>
        <w:tc>
          <w:tcPr>
            <w:tcW w:type="dxa" w:w="2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8B57"/>
                <w:sz w:val="18"/>
                <w:szCs w:val="18"/>
              </w:rPr>
              <w:t xml:space="preserve">38.0 小时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 w:line="300"/>
        <w:jc w:val="both"/>
      </w:pPr>
      <w:r>
        <w:rPr>
          <w:b/>
          <w:bCs/>
          <w:color w:val="2E5E8C"/>
          <w:sz w:val="22"/>
          <w:szCs w:val="22"/>
        </w:rPr>
        <w:t xml:space="preserve">后果加权：</w:t>
      </w:r>
      <w:r>
        <w:rPr>
          <w:sz w:val="22"/>
          <w:szCs w:val="22"/>
        </w:rPr>
        <w:t xml:space="preserve">同样 +10% 的参数误差，对 x_R 的影响随 R 显著不同——β 误差在深尾（高可靠度）影响最大（约 11%），在中位数处几乎可忽略（1.2%）；η 误差恰好相反（中位数处 9%）；γ 误差在近阈值的高可靠度处最大。说明 x_R 自动按工程后果给参数误差加权，并且必须在多个 R（尤其高可靠度尾部）上评价。</w:t>
      </w:r>
    </w:p>
    <w:p>
      <w:pPr>
        <w:spacing w:after="120" w:line="300"/>
        <w:jc w:val="both"/>
      </w:pPr>
      <w:r>
        <w:rPr>
          <w:b/>
          <w:bCs/>
          <w:color w:val="2E5E8C"/>
          <w:sz w:val="22"/>
          <w:szCs w:val="22"/>
        </w:rPr>
        <w:t xml:space="preserve">非冗余的铁证：</w:t>
      </w:r>
      <w:r>
        <w:rPr>
          <w:sz w:val="22"/>
          <w:szCs w:val="22"/>
        </w:rPr>
        <w:t xml:space="preserve">三种估计器的逐参数 RMSE 完全相同（β≈0.45、η≈130），但因 β、η 误差的相关结构不同，x_R 的 RMSE 相差近一倍（38–69 小时）。逐参数视角对此完全“看不见”——证明参数精度无法充分预测工程精度。</w:t>
      </w:r>
    </w:p>
    <w:p>
      <w:pPr>
        <w:spacing w:after="120" w:line="300"/>
        <w:jc w:val="both"/>
      </w:pPr>
      <w:r>
        <w:rPr>
          <w:b/>
          <w:bCs/>
          <w:color w:val="2E8B57"/>
          <w:sz w:val="22"/>
          <w:szCs w:val="22"/>
        </w:rPr>
        <w:t xml:space="preserve">代表什么：</w:t>
      </w:r>
      <w:r>
        <w:rPr>
          <w:sz w:val="22"/>
          <w:szCs w:val="22"/>
        </w:rPr>
        <w:t xml:space="preserve">x_R 的相对 RMSE 把三参数误差按可靠性后果投影到统一、可解释的“寿命时间”标尺上，度量的是“最终给出的可靠度寿命准不准”，这正是工程真正关心的量。</w:t>
      </w:r>
    </w:p>
    <w:p>
      <w:pPr>
        <w:pStyle w:val="Heading1"/>
        <w:pageBreakBefore/>
        <w:spacing w:after="140"/>
      </w:pPr>
      <w:r>
        <w:rPr>
          <w:b/>
          <w:bCs/>
        </w:rPr>
        <w:t xml:space="preserve">五、实验四：分位点误差度量——首选 RMSE，慎用 MAPE</w:t>
      </w:r>
    </w:p>
    <w:p>
      <w:pPr>
        <w:pBdr>
          <w:left w:val="single" w:color="2E5E8C" w:sz="18" w:space="8"/>
        </w:pBdr>
        <w:shd w:fill="EEF3F8" w:val="clear"/>
        <w:spacing w:after="100" w:line="300"/>
        <w:jc w:val="both"/>
      </w:pPr>
      <w:r>
        <w:rPr>
          <w:b/>
          <w:bCs/>
          <w:color w:val="2E5E8C"/>
          <w:sz w:val="21"/>
          <w:szCs w:val="21"/>
        </w:rPr>
        <w:t xml:space="preserve">论点：</w:t>
      </w:r>
      <w:r>
        <w:rPr>
          <w:sz w:val="21"/>
          <w:szCs w:val="21"/>
        </w:rPr>
        <w:t xml:space="preserve">研究报告建议分位点误差首选相对 RMSE（对尾部大误差敏感），并指出 MAPE 存在不对称与近零失控两个缺陷。</w:t>
      </w:r>
    </w:p>
    <w:p>
      <w:pPr>
        <w:spacing w:after="30" w:before="120"/>
        <w:jc w:val="center"/>
      </w:pPr>
      <w:r>
        <w:drawing>
          <wp:inline distT="0" distB="0" distL="0" distR="0">
            <wp:extent cx="5943600" cy="1885950"/>
            <wp:effectExtent t="0" r="0" b="0" l="0"/>
            <wp:docPr id="1" name="图4  (a) RMSE≥MAE 且尾部" descr="图4  (a) RMSE≥MAE 且尾部比值更大；(b) MAPE 对高/低估不对称；(c) γ=0 高可靠度处 MAPE 爆炸。" title="图4  (a) RMSE≥MAE 且尾部比值更大；(b) MAPE 对高/低估不对称；(c) γ=0 高可靠度处 MAPE 爆炸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7"/>
          <w:szCs w:val="17"/>
        </w:rPr>
        <w:t xml:space="preserve">图4  (a) RMSE≥MAE 且尾部比值更大；(b) MAPE 对高/低估不对称；(c) γ=0 高可靠度处 MAPE 爆炸。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可靠度 R</w:t>
            </w:r>
          </w:p>
        </w:tc>
        <w:tc>
          <w:tcPr>
            <w:tcW w:type="dxa" w:w="1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x_true (小时)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MAE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RMSE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RMSE/MAE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MAPE</w:t>
            </w:r>
          </w:p>
        </w:tc>
      </w:tr>
      <w:tr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0.999</w:t>
            </w:r>
          </w:p>
        </w:tc>
        <w:tc>
          <w:tcPr>
            <w:tcW w:type="dxa" w:w="1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163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83.9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108.5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3B3B"/>
                <w:sz w:val="18"/>
                <w:szCs w:val="18"/>
              </w:rPr>
              <w:t xml:space="preserve">1.29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51.5%</w:t>
            </w:r>
          </w:p>
        </w:tc>
      </w:tr>
      <w:tr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0.990</w:t>
            </w:r>
          </w:p>
        </w:tc>
        <w:tc>
          <w:tcPr>
            <w:tcW w:type="dxa" w:w="1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259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63.7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82.9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1.30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24.6%</w:t>
            </w:r>
          </w:p>
        </w:tc>
      </w:tr>
      <w:tr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0.950</w:t>
            </w:r>
          </w:p>
        </w:tc>
        <w:tc>
          <w:tcPr>
            <w:tcW w:type="dxa" w:w="1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405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49.2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62.2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1.27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12.1%</w:t>
            </w:r>
          </w:p>
        </w:tc>
      </w:tr>
      <w:tr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0.900</w:t>
            </w:r>
          </w:p>
        </w:tc>
        <w:tc>
          <w:tcPr>
            <w:tcW w:type="dxa" w:w="1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507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45.3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56.9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1.26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8.9%</w:t>
            </w:r>
          </w:p>
        </w:tc>
      </w:tr>
      <w:tr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0.500</w:t>
            </w:r>
          </w:p>
        </w:tc>
        <w:tc>
          <w:tcPr>
            <w:tcW w:type="dxa" w:w="1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964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48.0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60.1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999999"/>
                <w:sz w:val="18"/>
                <w:szCs w:val="18"/>
              </w:rPr>
              <w:t xml:space="preserve">1.25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5.0%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 w:line="300"/>
        <w:jc w:val="both"/>
      </w:pPr>
      <w:r>
        <w:rPr>
          <w:b/>
          <w:bCs/>
          <w:color w:val="2E5E8C"/>
          <w:sz w:val="22"/>
          <w:szCs w:val="22"/>
        </w:rPr>
        <w:t xml:space="preserve">尾部敏感：</w:t>
      </w:r>
      <w:r>
        <w:rPr>
          <w:sz w:val="22"/>
          <w:szCs w:val="22"/>
        </w:rPr>
        <w:t xml:space="preserve">RMSE≥MAE 恒成立，且比值在深尾更大（0.999 处 1.29 对中位 1.25），说明尾部存在更多偶发大误差。RMSE 对这些安全攸关的大偏差惩罚更重，正适合可靠性。</w:t>
      </w:r>
    </w:p>
    <w:p>
      <w:pPr>
        <w:spacing w:after="120" w:line="300"/>
        <w:jc w:val="both"/>
      </w:pPr>
      <w:r>
        <w:rPr>
          <w:b/>
          <w:bCs/>
          <w:color w:val="C23B3B"/>
          <w:sz w:val="22"/>
          <w:szCs w:val="22"/>
        </w:rPr>
        <w:t xml:space="preserve">MAPE 不对称：</w:t>
      </w:r>
      <w:r>
        <w:rPr>
          <w:sz w:val="22"/>
          <w:szCs w:val="22"/>
        </w:rPr>
        <w:t xml:space="preserve">同为“2 倍偏离”，高估（×2）记 100%、低估（×0.5）只记 50%（蒙特卡洛子集验证：高估均值 29.5% 对低估 13.3%）。这种不对称是 MAPE 的副作用而非有意设计——若要把“高估寿命更危险”编码进指标，应改用可设定方向的 pinball 损失。</w:t>
      </w:r>
    </w:p>
    <w:p>
      <w:pPr>
        <w:spacing w:after="120" w:line="300"/>
        <w:jc w:val="both"/>
      </w:pPr>
      <w:r>
        <w:rPr>
          <w:b/>
          <w:bCs/>
          <w:color w:val="C23B3B"/>
          <w:sz w:val="22"/>
          <w:szCs w:val="22"/>
        </w:rPr>
        <w:t xml:space="preserve">MAPE 近零失控：</w:t>
      </w:r>
      <w:r>
        <w:rPr>
          <w:sz w:val="22"/>
          <w:szCs w:val="22"/>
        </w:rPr>
        <w:t xml:space="preserve">γ=0 时高可靠度分位点趋近 0，R=0.9999 处 x_true≈25 小时，MAPE 飙到 329%（γ=100 时仅 78%）；而绝对/相对 RMSE 仍然可用。</w:t>
      </w:r>
    </w:p>
    <w:p>
      <w:pPr>
        <w:spacing w:after="120" w:line="300"/>
        <w:jc w:val="both"/>
      </w:pPr>
      <w:r>
        <w:rPr>
          <w:b/>
          <w:bCs/>
          <w:color w:val="2E8B57"/>
          <w:sz w:val="22"/>
          <w:szCs w:val="22"/>
        </w:rPr>
        <w:t xml:space="preserve">代表什么：</w:t>
      </w:r>
      <w:r>
        <w:rPr>
          <w:sz w:val="22"/>
          <w:szCs w:val="22"/>
        </w:rPr>
        <w:t xml:space="preserve">相对 RMSE 度量的是“寿命预测的相对精度，且对尾部大误差敏感”；MAE 稳健但对大误差不敏感，MAPE 在近零与方向上有系统性缺陷。</w:t>
      </w:r>
    </w:p>
    <w:p>
      <w:pPr>
        <w:pStyle w:val="Heading1"/>
        <w:pageBreakBefore/>
        <w:spacing w:after="140"/>
      </w:pPr>
      <w:r>
        <w:rPr>
          <w:b/>
          <w:bCs/>
        </w:rPr>
        <w:t xml:space="preserve">六、实验五：偏差方向的安全含义——relative bias 不可省</w:t>
      </w:r>
    </w:p>
    <w:p>
      <w:pPr>
        <w:pBdr>
          <w:left w:val="single" w:color="2E5E8C" w:sz="18" w:space="8"/>
        </w:pBdr>
        <w:shd w:fill="EEF3F8" w:val="clear"/>
        <w:spacing w:after="100" w:line="300"/>
        <w:jc w:val="both"/>
      </w:pPr>
      <w:r>
        <w:rPr>
          <w:b/>
          <w:bCs/>
          <w:color w:val="2E5E8C"/>
          <w:sz w:val="21"/>
          <w:szCs w:val="21"/>
        </w:rPr>
        <w:t xml:space="preserve">论点：</w:t>
      </w:r>
      <w:r>
        <w:rPr>
          <w:sz w:val="21"/>
          <w:szCs w:val="21"/>
        </w:rPr>
        <w:t xml:space="preserve">研究报告建议用 relative bias 作为辅助指标，以揭示系统性偏差的方向（在可靠性中，高估寿命=高估安全裕度=危险）。</w:t>
      </w:r>
    </w:p>
    <w:p>
      <w:pPr>
        <w:spacing w:after="30" w:before="120"/>
        <w:jc w:val="center"/>
      </w:pPr>
      <w:r>
        <w:drawing>
          <wp:inline distT="0" distB="0" distL="0" distR="0">
            <wp:extent cx="5943600" cy="2314575"/>
            <wp:effectExtent t="0" r="0" b="0" l="0"/>
            <wp:docPr id="1" name="图5  左：R=0.99 处带符号相对误" descr="图5  左：R=0.99 处带符号相对误差分布（均值+16.6%，70%样本高估）；右：偏差与 RRMSE 随样本量变化。" title="图5  左：R=0.99 处带符号相对误差分布（均值+16.6%，70%样本高估）；右：偏差与 RRMSE 随样本量变化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7"/>
          <w:szCs w:val="17"/>
        </w:rPr>
        <w:t xml:space="preserve">图5  左：R=0.99 处带符号相对误差分布（均值+16.6%，70%样本高估）；右：偏差与 RRMSE 随样本量变化。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2900"/>
        <w:gridCol w:w="2300"/>
        <w:gridCol w:w="2300"/>
      </w:tblGrid>
      <w:tr>
        <w:trPr>
          <w:tblHeader/>
        </w:trPr>
        <w:tc>
          <w:tcPr>
            <w:tcW w:type="dxa" w:w="18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样本量 n</w:t>
            </w:r>
          </w:p>
        </w:tc>
        <w:tc>
          <w:tcPr>
            <w:tcW w:type="dxa" w:w="2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relative bias (R=0.99)</w:t>
            </w:r>
          </w:p>
        </w:tc>
        <w:tc>
          <w:tcPr>
            <w:tcW w:type="dxa" w:w="2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RRMSE (R=0.99)</w:t>
            </w:r>
          </w:p>
        </w:tc>
        <w:tc>
          <w:tcPr>
            <w:tcW w:type="dxa" w:w="2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高估寿命比例</w:t>
            </w:r>
          </w:p>
        </w:tc>
      </w:tr>
      <w:tr>
        <w:tc>
          <w:tcPr>
            <w:tcW w:type="dxa" w:w="18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3B3B"/>
                <w:sz w:val="18"/>
                <w:szCs w:val="18"/>
              </w:rPr>
              <w:t xml:space="preserve">+35.3%</w:t>
            </w:r>
          </w:p>
        </w:tc>
        <w:tc>
          <w:tcPr>
            <w:tcW w:type="dxa" w:w="2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56.2%</w:t>
            </w:r>
          </w:p>
        </w:tc>
        <w:tc>
          <w:tcPr>
            <w:tcW w:type="dxa" w:w="2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3B3B"/>
                <w:sz w:val="18"/>
                <w:szCs w:val="18"/>
              </w:rPr>
              <w:t xml:space="preserve">+16.6%</w:t>
            </w:r>
          </w:p>
        </w:tc>
        <w:tc>
          <w:tcPr>
            <w:tcW w:type="dxa" w:w="2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32.0%</w:t>
            </w:r>
          </w:p>
        </w:tc>
        <w:tc>
          <w:tcPr>
            <w:tcW w:type="dxa" w:w="2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C23B3B"/>
                <w:sz w:val="18"/>
                <w:szCs w:val="18"/>
              </w:rPr>
              <w:t xml:space="preserve">70%</w:t>
            </w:r>
          </w:p>
        </w:tc>
      </w:tr>
      <w:tr>
        <w:tc>
          <w:tcPr>
            <w:tcW w:type="dxa" w:w="18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2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E07A3F"/>
                <w:sz w:val="18"/>
                <w:szCs w:val="18"/>
              </w:rPr>
              <w:t xml:space="preserve">+8.1%</w:t>
            </w:r>
          </w:p>
        </w:tc>
        <w:tc>
          <w:tcPr>
            <w:tcW w:type="dxa" w:w="2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20.4%</w:t>
            </w:r>
          </w:p>
        </w:tc>
        <w:tc>
          <w:tcPr>
            <w:tcW w:type="dxa" w:w="2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 w:line="300"/>
        <w:jc w:val="both"/>
      </w:pPr>
      <w:r>
        <w:rPr>
          <w:b/>
          <w:bCs/>
          <w:color w:val="C23B3B"/>
          <w:sz w:val="22"/>
          <w:szCs w:val="22"/>
        </w:rPr>
        <w:t xml:space="preserve">系统性偏乐观：</w:t>
      </w:r>
      <w:r>
        <w:rPr>
          <w:sz w:val="22"/>
          <w:szCs w:val="22"/>
        </w:rPr>
        <w:t xml:space="preserve">小样本 MLE 对 B 寿命系统性高估——n=50 时 relative bias=+16.6%，70% 的重复高估寿命。在可靠性中，这等于系统性高估安全裕度，是危险方向。</w:t>
      </w:r>
    </w:p>
    <w:p>
      <w:pPr>
        <w:spacing w:after="120" w:line="300"/>
        <w:jc w:val="both"/>
      </w:pPr>
      <w:r>
        <w:rPr>
          <w:b/>
          <w:bCs/>
          <w:color w:val="2E5E8C"/>
          <w:sz w:val="22"/>
          <w:szCs w:val="22"/>
        </w:rPr>
        <w:t xml:space="preserve">方向只有 bias 能给：</w:t>
      </w:r>
      <w:r>
        <w:rPr>
          <w:sz w:val="22"/>
          <w:szCs w:val="22"/>
        </w:rPr>
        <w:t xml:space="preserve">偏差随 n 增大趋零（35%→17%→8%），与 RRMSE 同步缩小，体现一致性；但 RMSE/RRMSE 只给误差幅度，无法告诉你偏乐观还是偏保守——这个方向信息只有 bias 能提供。</w:t>
      </w:r>
    </w:p>
    <w:p>
      <w:pPr>
        <w:spacing w:after="120" w:line="300"/>
        <w:jc w:val="both"/>
      </w:pPr>
      <w:r>
        <w:rPr>
          <w:b/>
          <w:bCs/>
          <w:color w:val="2E8B57"/>
          <w:sz w:val="22"/>
          <w:szCs w:val="22"/>
        </w:rPr>
        <w:t xml:space="preserve">代表什么：</w:t>
      </w:r>
      <w:r>
        <w:rPr>
          <w:sz w:val="22"/>
          <w:szCs w:val="22"/>
        </w:rPr>
        <w:t xml:space="preserve">relative bias 度量的是“系统性偏差的方向与大小”，是判断估计是否安全偏向的必要辅助指标，与度量幅度的 RMSE 互补。</w:t>
      </w:r>
    </w:p>
    <w:p>
      <w:pPr>
        <w:pStyle w:val="Heading1"/>
        <w:pageBreakBefore/>
        <w:spacing w:after="140"/>
      </w:pPr>
      <w:r>
        <w:rPr>
          <w:b/>
          <w:bCs/>
        </w:rPr>
        <w:t xml:space="preserve">七、实验六：训练损失的恰当性与定向</w:t>
      </w:r>
    </w:p>
    <w:p>
      <w:pPr>
        <w:pBdr>
          <w:left w:val="single" w:color="2E5E8C" w:sz="18" w:space="8"/>
        </w:pBdr>
        <w:shd w:fill="EEF3F8" w:val="clear"/>
        <w:spacing w:after="100" w:line="300"/>
        <w:jc w:val="both"/>
      </w:pPr>
      <w:r>
        <w:rPr>
          <w:b/>
          <w:bCs/>
          <w:color w:val="2E5E8C"/>
          <w:sz w:val="21"/>
          <w:szCs w:val="21"/>
        </w:rPr>
        <w:t xml:space="preserve">论点：</w:t>
      </w:r>
      <w:r>
        <w:rPr>
          <w:sz w:val="21"/>
          <w:szCs w:val="21"/>
        </w:rPr>
        <w:t xml:space="preserve">研究报告建议训练损失优先 NLL（恰当、可处理删失），其次 pinball（对齐 B 寿命），并指出仅匹配中位数无法约束尾部。</w:t>
      </w:r>
    </w:p>
    <w:p>
      <w:pPr>
        <w:spacing w:after="30" w:before="120"/>
        <w:jc w:val="center"/>
      </w:pPr>
      <w:r>
        <w:drawing>
          <wp:inline distT="0" distB="0" distL="0" distR="0">
            <wp:extent cx="5943600" cy="1885950"/>
            <wp:effectExtent t="0" r="0" b="0" l="0"/>
            <wp:docPr id="1" name="图6  (a) 期望 NLL 在真值处最" descr="图6  (a) 期望 NLL 在真值处最小；(b) 期望 pinball 最小点=真 B1 寿命；(c) 同中位数的 Weibull 尾部天差地别。" title="图6  (a) 期望 NLL 在真值处最小；(b) 期望 pinball 最小点=真 B1 寿命；(c) 同中位数的 Weibull 尾部天差地别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7"/>
          <w:szCs w:val="17"/>
        </w:rPr>
        <w:t xml:space="preserve">图6  (a) 期望 NLL 在真值处最小；(b) 期望 pinball 最小点=真 B1 寿命；(c) 同中位数的 Weibull 尾部天差地别。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60"/>
        <w:gridCol w:w="4000"/>
      </w:tblGrid>
      <w:tr>
        <w:trPr>
          <w:tblHeader/>
        </w:trPr>
        <w:tc>
          <w:tcPr>
            <w:tcW w:type="dxa" w:w="2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损失/检验</w:t>
            </w:r>
          </w:p>
        </w:tc>
        <w:tc>
          <w:tcPr>
            <w:tcW w:type="dxa" w:w="28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做法</w:t>
            </w:r>
          </w:p>
        </w:tc>
        <w:tc>
          <w:tcPr>
            <w:tcW w:type="dxa" w:w="4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结果</w:t>
            </w:r>
          </w:p>
        </w:tc>
      </w:tr>
      <w:tr>
        <w:tc>
          <w:tcPr>
            <w:tcW w:type="dxa" w:w="2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期望 NLL</w:t>
            </w:r>
          </w:p>
        </w:tc>
        <w:tc>
          <w:tcPr>
            <w:tcW w:type="dxa" w:w="28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改变 β、η 看最小点位置</w:t>
            </w:r>
          </w:p>
        </w:tc>
        <w:tc>
          <w:tcPr>
            <w:tcW w:type="dxa" w:w="4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2E8B57"/>
                <w:sz w:val="18"/>
                <w:szCs w:val="18"/>
              </w:rPr>
              <w:t xml:space="preserve">真值处取唯一最小（比值≈1.0）→ 严格恰当</w:t>
            </w:r>
          </w:p>
        </w:tc>
      </w:tr>
      <w:tr>
        <w:tc>
          <w:tcPr>
            <w:tcW w:type="dxa" w:w="2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期望 pinball (τ=0.01)</w:t>
            </w:r>
          </w:p>
        </w:tc>
        <w:tc>
          <w:tcPr>
            <w:tcW w:type="dxa" w:w="28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改变报告分位点 q</w:t>
            </w:r>
          </w:p>
        </w:tc>
        <w:tc>
          <w:tcPr>
            <w:tcW w:type="dxa" w:w="4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2E8B57"/>
                <w:sz w:val="18"/>
                <w:szCs w:val="18"/>
              </w:rPr>
              <w:t xml:space="preserve">最小点 q*=259.7h ≈ 真 B1 寿命 258.8h → 精准定向</w:t>
            </w:r>
          </w:p>
        </w:tc>
      </w:tr>
      <w:tr>
        <w:tc>
          <w:tcPr>
            <w:tcW w:type="dxa" w:w="2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中位数匹配</w:t>
            </w:r>
          </w:p>
        </w:tc>
        <w:tc>
          <w:tcPr>
            <w:tcW w:type="dxa" w:w="28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同中位数、不同 β 看尾部</w:t>
            </w:r>
          </w:p>
        </w:tc>
        <w:tc>
          <w:tcPr>
            <w:tcW w:type="dxa" w:w="4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C23B3B"/>
                <w:sz w:val="18"/>
                <w:szCs w:val="18"/>
              </w:rPr>
              <w:t xml:space="preserve">B0.995 = 7 / 85 / 292h（差 40 倍）→ 无法约束尾部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 w:line="300"/>
        <w:jc w:val="both"/>
      </w:pPr>
      <w:r>
        <w:rPr>
          <w:b/>
          <w:bCs/>
          <w:color w:val="2E5E8C"/>
          <w:sz w:val="22"/>
          <w:szCs w:val="22"/>
        </w:rPr>
        <w:t xml:space="preserve">恰当性（proper）：</w:t>
      </w:r>
      <w:r>
        <w:rPr>
          <w:sz w:val="22"/>
          <w:szCs w:val="22"/>
        </w:rPr>
        <w:t xml:space="preserve">期望 NLL 与期望 pinball 都在真参数/真分位点处取唯一最优，故可放心作训练目标——优化它们不会把模型引向错误的分布。</w:t>
      </w:r>
    </w:p>
    <w:p>
      <w:pPr>
        <w:spacing w:after="120" w:line="300"/>
        <w:jc w:val="both"/>
      </w:pPr>
      <w:r>
        <w:rPr>
          <w:b/>
          <w:bCs/>
          <w:color w:val="2E5E8C"/>
          <w:sz w:val="22"/>
          <w:szCs w:val="22"/>
        </w:rPr>
        <w:t xml:space="preserve">可定向：</w:t>
      </w:r>
      <w:r>
        <w:rPr>
          <w:sz w:val="22"/>
          <w:szCs w:val="22"/>
        </w:rPr>
        <w:t xml:space="preserve">pinball(τ) 直接最小化所关心分位点的误差，τ=0.01 的最优解恰是真 1% 分位（B1 寿命），并可通过 τ 把“高估更危险”编码进损失。</w:t>
      </w:r>
    </w:p>
    <w:p>
      <w:pPr>
        <w:spacing w:after="120" w:line="300"/>
        <w:jc w:val="both"/>
      </w:pPr>
      <w:r>
        <w:rPr>
          <w:b/>
          <w:bCs/>
          <w:color w:val="C23B3B"/>
          <w:sz w:val="22"/>
          <w:szCs w:val="22"/>
        </w:rPr>
        <w:t xml:space="preserve">中位数匹配的盲区：</w:t>
      </w:r>
      <w:r>
        <w:rPr>
          <w:sz w:val="22"/>
          <w:szCs w:val="22"/>
        </w:rPr>
        <w:t xml:space="preserve">三条中位数完全相同（1000 小时）的 Weibull，其 B0.995 相差 40 倍。只匹配中位数（或只用对中段敏感的损失）无法识别尾部寿命；若 B 寿命是关键指标，损失必须“看见”尾部——NLL 看整条密度，或 pinball 直接盯高可靠度分位。</w:t>
      </w:r>
    </w:p>
    <w:p>
      <w:pPr>
        <w:spacing w:after="120" w:line="300"/>
        <w:jc w:val="both"/>
      </w:pPr>
      <w:r>
        <w:rPr>
          <w:b/>
          <w:bCs/>
          <w:color w:val="2E8B57"/>
          <w:sz w:val="22"/>
          <w:szCs w:val="22"/>
        </w:rPr>
        <w:t xml:space="preserve">代表什么：</w:t>
      </w:r>
      <w:r>
        <w:rPr>
          <w:sz w:val="22"/>
          <w:szCs w:val="22"/>
        </w:rPr>
        <w:t xml:space="preserve">恰当性保证“训练目标的最优解就是真分布”，定向性保证“优化的正是工程关心的量”。这两点正是选择损失函数的核心判据。</w:t>
      </w:r>
    </w:p>
    <w:p>
      <w:pPr>
        <w:pStyle w:val="Heading1"/>
        <w:pageBreakBefore/>
        <w:spacing w:after="140"/>
      </w:pPr>
      <w:r>
        <w:rPr>
          <w:b/>
          <w:bCs/>
        </w:rPr>
        <w:t xml:space="preserve">八、综合结论：回应五个核心问题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综合六个实验的证据，对研究报告提出的五个核心问题给出经验证的回答：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rPr>
          <w:tblHeader/>
        </w:trPr>
        <w:tc>
          <w:tcPr>
            <w:tcW w:type="dxa" w:w="2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问题</w:t>
            </w:r>
          </w:p>
        </w:tc>
        <w:tc>
          <w:tcPr>
            <w:tcW w:type="dxa" w:w="4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验证后的答案</w:t>
            </w:r>
          </w:p>
        </w:tc>
        <w:tc>
          <w:tcPr>
            <w:tcW w:type="dxa" w:w="2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主要证据</w:t>
            </w:r>
          </w:p>
        </w:tc>
      </w:tr>
      <w:tr>
        <w:tc>
          <w:tcPr>
            <w:tcW w:type="dxa" w:w="2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(a) 参数视角单一核心指标</w:t>
            </w:r>
          </w:p>
        </w:tc>
        <w:tc>
          <w:tcPr>
            <w:tcW w:type="dxa" w:w="4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RRMSE=RMSE/真值（β、η）；γ 用绝对或 η 归一 RMSE</w:t>
            </w:r>
          </w:p>
        </w:tc>
        <w:tc>
          <w:tcPr>
            <w:tcW w:type="dxa" w:w="2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实验一、实验二</w:t>
            </w:r>
          </w:p>
        </w:tc>
      </w:tr>
      <w:tr>
        <w:tc>
          <w:tcPr>
            <w:tcW w:type="dxa" w:w="2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(b) 工程视角单一核心指标</w:t>
            </w:r>
          </w:p>
        </w:tc>
        <w:tc>
          <w:tcPr>
            <w:tcW w:type="dxa" w:w="4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给定 R 的分位点 x_R 的相对 RMSE（多 R，重高可靠度）</w:t>
            </w:r>
          </w:p>
        </w:tc>
        <w:tc>
          <w:tcPr>
            <w:tcW w:type="dxa" w:w="2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实验三、实验四</w:t>
            </w:r>
          </w:p>
        </w:tc>
      </w:tr>
      <w:tr>
        <w:tc>
          <w:tcPr>
            <w:tcW w:type="dxa" w:w="2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(c) 辅助指标</w:t>
            </w:r>
          </w:p>
        </w:tc>
        <w:tc>
          <w:tcPr>
            <w:tcW w:type="dxa" w:w="4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relative bias（方向/安全）、RMSE/MAE 比（大误差预警）</w:t>
            </w:r>
          </w:p>
        </w:tc>
        <w:tc>
          <w:tcPr>
            <w:tcW w:type="dxa" w:w="2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实验四、实验五</w:t>
            </w:r>
          </w:p>
        </w:tc>
      </w:tr>
      <w:tr>
        <w:tc>
          <w:tcPr>
            <w:tcW w:type="dxa" w:w="2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(d) 优先尝试的损失</w:t>
            </w:r>
          </w:p>
        </w:tc>
        <w:tc>
          <w:tcPr>
            <w:tcW w:type="dxa" w:w="4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NLL（基线，恰当、处理删失）→ pinball（对齐 B 寿命）→ CRPS</w:t>
            </w:r>
          </w:p>
        </w:tc>
        <w:tc>
          <w:tcPr>
            <w:tcW w:type="dxa" w:w="2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3F7F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实验六</w:t>
            </w:r>
          </w:p>
        </w:tc>
      </w:tr>
      <w:tr>
        <w:tc>
          <w:tcPr>
            <w:tcW w:type="dxa" w:w="2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(e) 评价表组织</w:t>
            </w:r>
          </w:p>
        </w:tc>
        <w:tc>
          <w:tcPr>
            <w:tcW w:type="dxa" w:w="4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四分区：①估计器质量 ②工程寿命 ③拟合优度 ④AI 概率预测</w:t>
            </w:r>
          </w:p>
        </w:tc>
        <w:tc>
          <w:tcPr>
            <w:tcW w:type="dxa" w:w="2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全部实验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 w:line="300"/>
        <w:jc w:val="both"/>
      </w:pPr>
      <w:r>
        <w:rPr>
          <w:b/>
          <w:bCs/>
          <w:color w:val="2E5E8C"/>
          <w:sz w:val="22"/>
          <w:szCs w:val="22"/>
        </w:rPr>
        <w:t xml:space="preserve">一句话总结：</w:t>
      </w:r>
      <w:r>
        <w:rPr>
          <w:sz w:val="22"/>
          <w:szCs w:val="22"/>
        </w:rPr>
        <w:t xml:space="preserve">参数视角用 RRMSE 解决“量纲不可比”、用绝对/归一误差解决“γ 除零”；工程视角用 x_R 相对 RMSE 把误差按后果投影到寿命标尺、并对尾部敏感；偏差方向用 relative bias 守住安全；训练损失用 NLL/pinball 保证恰当与定向。六个实验从不同侧面证明：这套指标“为什么用”——因为替代方案在尺度、除零、冗余、方向或尾部上各有硬伤；“代表什么”——分别代表可比的相对精度、工程后果加权的寿命精度、安全方向与可优化的训练目标。</w:t>
      </w:r>
    </w:p>
    <w:p>
      <w:pPr>
        <w:pStyle w:val="Heading1"/>
        <w:spacing w:after="140" w:before="300"/>
      </w:pPr>
      <w:r>
        <w:rPr>
          <w:b/>
          <w:bCs/>
        </w:rPr>
        <w:t xml:space="preserve">九、关于估计器与适用范围的说明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本验证使用剖面似然 MLE 作为示例估计器；但指标的性质（尺度不变性、除零、后果加权、不对称、恰当性）由指标本身的数学定义决定，不依赖具体估计方法，因此结论对矩估计、概率加权矩、贝叶斯、最小二乘/概率图法等同样适用。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仿真取 β=2.5（损耗型，MLE 数值行为良好）。当 β≤1 或样本极小时，三参数 Weibull 的似然在 γ 边界处可能无界，需配合约束或正则化处理；这属于估计方法问题，不影响“用什么指标评价”的结论。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实验五观察到的高估方向与幅度依赖于估计器与样本量，其方法论结论（须用 bias 监控偏差方向）是普适的，但具体数值不应外推到其他估计器。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N=2500 次重复带来的蒙特卡洛标准误，相对本文所比较的量级而言可忽略；若用于正式发表，可进一步增大 N 并报告各指标的蒙特卡洛标准误。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2E5E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c1ed025fdc09807fd20262f93d40aea8d13b85.png"/><Relationship Id="rId8" Type="http://schemas.openxmlformats.org/officeDocument/2006/relationships/image" Target="media/094b881e50b9e2731e844d44b09eefcdbf26d28d.png"/><Relationship Id="rId9" Type="http://schemas.openxmlformats.org/officeDocument/2006/relationships/image" Target="media/2c23ab3739a91fe05510a4e1c3fc0dde0f22bb4c.png"/><Relationship Id="rId10" Type="http://schemas.openxmlformats.org/officeDocument/2006/relationships/image" Target="media/b1be3f29f8683d02bdeb1278cd11decea525fb04.png"/><Relationship Id="rId11" Type="http://schemas.openxmlformats.org/officeDocument/2006/relationships/image" Target="media/58c91017e0fcaa51fec29b1e084149a588e69d26.png"/><Relationship Id="rId12" Type="http://schemas.openxmlformats.org/officeDocument/2006/relationships/image" Target="media/f469d16144bfcde7e59e5e7ac3d1c9854b889c9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2026-05-30T02:12:19.323Z</dcterms:created>
  <dcterms:modified xsi:type="dcterms:W3CDTF">2026-05-30T02:12:19.324Z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