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基于统计最小差异原理（MDM）的三参数Weibull分布参数估计</w:t>
      </w:r>
    </w:p>
    <w:p>
      <w:pPr>
        <w:spacing w:after="600"/>
        <w:jc w:val="center"/>
      </w:pPr>
      <w:r>
        <w:rPr>
          <w:rFonts w:ascii="Arial" w:eastAsia="黑体" w:hAnsi="Arial"/>
          <w:sz w:val="30"/>
          <w:szCs w:val="30"/>
        </w:rPr>
        <w:t xml:space="preserve">偏差规律、截尾适应性与置信区间构造的系统蒙特卡洛研究</w:t>
      </w:r>
    </w:p>
    <w:p>
      <w:pPr>
        <w:spacing w:after="200"/>
        <w:jc w:val="center"/>
      </w:pPr>
      <w:r>
        <w:rPr>
          <w:rFonts w:ascii="Times New Roman" w:eastAsia="宋体" w:hAnsi="Times New Roman"/>
          <w:sz w:val="26"/>
          <w:szCs w:val="26"/>
        </w:rPr>
        <w:t xml:space="preserve">研究报告</w:t>
      </w:r>
    </w:p>
    <w:p>
      <w:pPr>
        <w:spacing w:after="12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实现依据：《MDM方法计算流程说明》及其第10节补充细则</w:t>
      </w:r>
    </w:p>
    <w:p>
      <w:pPr>
        <w:spacing w:after="12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方法原文：谢里阳等，《基于统计最小差异原理的Weibull分布参数估计方法》</w:t>
      </w:r>
    </w:p>
    <w:p>
      <w:pPr>
        <w:spacing w:before="180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2026年6月</w:t>
      </w:r>
    </w:p>
    <w:p>
      <w:r>
        <w:br w:type="page"/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center"/>
      </w:pPr>
      <w:r>
        <w:rPr>
          <w:rFonts w:ascii="Times New Roman" w:eastAsia="宋体" w:hAnsi="Times New Roman"/>
          <w:color w:val="808080"/>
          <w:sz w:val="18"/>
          <w:szCs w:val="18"/>
        </w:rPr>
        <w:t xml:space="preserve">（在Word中全选后按F9可更新目录页码）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摘要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本报告以可复现的蒙特卡洛实验，系统研究了基于统计最小差异原理（Minimum Difference Method, MDM）的三参数Weibull分布参数估计方法。</w:t>
      </w:r>
      <w:r>
        <w:rPr>
          <w:rFonts w:ascii="Times New Roman" w:eastAsia="宋体" w:hAnsi="Times New Roman"/>
          <w:sz w:val="21"/>
          <w:szCs w:val="21"/>
        </w:rPr>
        <w:t xml:space="preserve">实现严格遵循《MDM方法计算流程说明》：Bernard中位秩、内层β∈[0.1,15]有界优化、廓线梯度的offset-root判据（偏移值固定0.1）、γ≥0截断，以及第10节补充细则规定的自适应差分步长、24点近端右锚点探测、Brent精确求根（xtol=10⁻⁸、maxiter=80）与右端渐近兜底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研究回答三个问题。其一，偏差规律：完全样本下（β0∈{1.5,2,3,4}，n∈{5,…,100}，每格1000次重复），偏移0.1判据使γ̂在小样本下呈正偏（β0=2、n=10时约5.5%，以η0为基准），随n增大单调衰减（n=100时约-0.0%）；而零判据（offset=0）的γ̂呈显著负偏并伴随高比例的γ̂=0边界截断，证实了偏移判据的纠偏价值。各目标量RMSE按n的幂律收敛，MDM(0.1)的γ̂RMSE衰减指数平均约-0.54，B10寿命的估计精度与MLE低于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其二，截尾适应性：II型截尾下MDM以"前r个次序统计量+全样本量秩"的自然方式工作，截尾比例q≤0.4时性能退化温和；I型定时截尾在截止时间过早（p=0.5）且n较小时出现不可行样本（失效数&lt;4），构成硬性适用边界；区间截尾下，中点插补的朴素MDM存在系统性偏差，EM式分位插补可大幅修正并接近区间MLE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其三，置信区间：MDM缺乏解析渐近方差，本报告构造参数化bootstrap区间（B=199，外层M=300验证覆盖率）。覆盖率普遍低于名义水平且随样本量改善：percentile法90%双侧区间的实际覆盖率中位数约0.78（n=10偏低、n=30已接近名义），在四个目标量上最为均衡；basic法在γ上明显劣化，与γ̂=0边界堆积有关。B10单侧95%下限在小样本下亦欠覆盖（实际约0.74～0.87），平均下限约为真值的九成，须提高名义水平或增大重抽样数后审慎使用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关键词：三参数Weibull分布；最小差异法；位置参数；偏差；截尾；bootstrap置信区间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1  引言与研究设计</w:t>
      </w:r>
    </w:p>
    <w:p>
      <w:pPr>
        <w:pStyle w:val="Heading2"/>
      </w:pPr>
      <w:r>
        <w:rPr>
          <w:rFonts w:ascii="Arial" w:eastAsia="黑体" w:hAnsi="Arial"/>
        </w:rPr>
        <w:t xml:space="preserve">1.1  背景与方法回顾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三参数Weibull分布 F(t)=1−exp{−[(t−γ)/η]^β}（t&gt;γ）广泛用于含最小寿命（位置参数γ）的可靠性建模。其参数估计长期面临两类困难：一是似然函数关于γ的非正则性（γ→t</w:t>
      </w:r>
      <w:r>
        <w:rPr>
          <w:rFonts w:ascii="Times New Roman" w:eastAsia="宋体" w:hAnsi="Times New Roman"/>
          <w:sz w:val="14"/>
          <w:szCs w:val="14"/>
        </w:rPr>
        <w:t xml:space="preserve">(1)</w:t>
      </w:r>
      <w:r>
        <w:rPr>
          <w:rFonts w:ascii="Times New Roman" w:eastAsia="宋体" w:hAnsi="Times New Roman"/>
          <w:sz w:val="21"/>
          <w:szCs w:val="21"/>
        </w:rPr>
        <w:t xml:space="preserve">时似然可发散），二是γ与β、η之间强烈的误差补偿，使各类方法的γ̂呈现大方差与厚尾。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MDM（最小差异法）的出发点是：对给定(β,γ)，每个次序统计量t</w:t>
      </w:r>
      <w:r>
        <w:rPr>
          <w:rFonts w:ascii="Times New Roman" w:eastAsia="宋体" w:hAnsi="Times New Roman"/>
          <w:sz w:val="14"/>
          <w:szCs w:val="14"/>
        </w:rPr>
        <w:t xml:space="preserve">(i)</w:t>
      </w:r>
      <w:r>
        <w:rPr>
          <w:rFonts w:ascii="Times New Roman" w:eastAsia="宋体" w:hAnsi="Times New Roman"/>
          <w:sz w:val="21"/>
          <w:szCs w:val="21"/>
        </w:rPr>
        <w:t xml:space="preserve">可反解出一个伪尺度估计 η̂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=(t</w:t>
      </w:r>
      <w:r>
        <w:rPr>
          <w:rFonts w:ascii="Times New Roman" w:eastAsia="宋体" w:hAnsi="Times New Roman"/>
          <w:sz w:val="14"/>
          <w:szCs w:val="14"/>
        </w:rPr>
        <w:t xml:space="preserve">(i)</w:t>
      </w:r>
      <w:r>
        <w:rPr>
          <w:rFonts w:ascii="Times New Roman" w:eastAsia="宋体" w:hAnsi="Times New Roman"/>
          <w:sz w:val="21"/>
          <w:szCs w:val="21"/>
        </w:rPr>
        <w:t xml:space="preserve">−γ)/x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^(1/β)，其中x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=−ln(1−F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)由中位秩F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=(i−0.3)/(n+0.4)给出。参数取真值时各η̂</w:t>
      </w:r>
      <w:r>
        <w:rPr>
          <w:rFonts w:ascii="Times New Roman" w:eastAsia="宋体" w:hAnsi="Times New Roman"/>
          <w:sz w:val="14"/>
          <w:szCs w:val="14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应彼此一致，故以伪尺度标准差σ(β|γ)为目标，内层求β*(γ)=argmin σ，外层得廓线S(γ)=σ(β*(γ)|γ)。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方法的关键创新在判据：不取廓线极小点（该处梯度为零、曲线平坦、定位方差大），而是求解梯度等于小正偏移值的位置 g(γ)=S′(γ)=offset（本研究固定offset=0.1）。原文在W(2,1000,1000)、n=7的30个随机样本上显示：零判据γ̂范围0～1475，偏移0.1后收窄至约500～1550，而MLE为0～1691、最小二乘法（LSM）为0～1686。本报告第3章在相同设定下复现并核对了这一现象。</w:t>
      </w:r>
    </w:p>
    <w:p>
      <w:pPr>
        <w:pStyle w:val="Heading2"/>
      </w:pPr>
      <w:r>
        <w:rPr>
          <w:rFonts w:ascii="Arial" w:eastAsia="黑体" w:hAnsi="Arial"/>
        </w:rPr>
        <w:t xml:space="preserve">1.2  研究问题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偏差规律：MDM（偏移0.1）的参数估计偏差在什么条件下为正/为负？量级如何随形状参数β0与样本量n变化？随n衰减的速率（衰减指数）是多少？与MLE、LSM相比如何？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截尾适应性：II型截尾、I型定时（右）截尾、I型区间截尾下MDM的表现如何？适用边界（可行性与精度可接受的截尾程度）在哪里？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区间估计：MDM无解析方差与渐近分布理论，如何构造置信区间？参数化bootstrap各变体（percentile/basic/BCa）的实际覆盖率是否达到名义水平？对工程上最关心的B10寿命，单侧置信下限是否可靠？</w:t>
      </w:r>
    </w:p>
    <w:p>
      <w:pPr>
        <w:pStyle w:val="Heading2"/>
      </w:pPr>
      <w:r>
        <w:rPr>
          <w:rFonts w:ascii="Arial" w:eastAsia="黑体" w:hAnsi="Arial"/>
        </w:rPr>
        <w:t xml:space="preserve">1.3  总体设计与约定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真值配置：γ0=η0=1000（位移比γ0/η0=1，与原文算例一致）；形状参数限定β0&gt;1（不研究β≤1的非正则区）。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γ̂的相对偏差与相对RMSE以η0=1000为基准（由于γ0=η0，数值上亦等于相对γ0的百分数）；β̂以β0、η̂以η0、B10以其真值为基准。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B10寿命 B10=γ+η·(−ln0.9)^(1/β) 作为第四个评估目标量纳入全部阶段。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随机数采用numpy SeedSequence分层派生（主种子20260610），全部结果可逐格点精确复现；各格点重复次数：阶段1为1000、阶段2为800（区间截尾500）、阶段3外层300。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与原文的两点已声明差异（均来自《计算说明》的约定）：中位秩采用Bernard近似而非F分布精确中位秩；γ搜索显式限定γ≥0并以截断处理负根。第8章讨论其影响。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关于MLE偏差规律的对照文档182-029未能获得，本报告的MLE基准为同一设计下自行计算的廓线MLE（第2.2节），保证与MDM逐格点可比。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2  方法与实现</w:t>
      </w:r>
    </w:p>
    <w:p>
      <w:pPr>
        <w:pStyle w:val="Heading2"/>
      </w:pPr>
      <w:r>
        <w:rPr>
          <w:rFonts w:ascii="Arial" w:eastAsia="黑体" w:hAnsi="Arial"/>
        </w:rPr>
        <w:t xml:space="preserve">2.1  MDM求解器（按《计算说明》§1–§10）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内层：固定γ，在β∈[0.1,15]上最小化σ(β|γ)。快速实现采用140点对数网格粗定位加黄金分割精化；并以scipy.optimize.minimize_scalar（bounded）作为参考实现，二者一致性见第3.1节。外层：廓线梯度g(γ)按§10.3以有限差分计算，标称步长h=max(|t(1)|,1)×10⁻⁵，并按左右可用空间取h=min(标称步长, 左侧空间/4, 右侧空间/4)，γ≤0或左侧空间不足时前向差分、右侧不足时后向差分、否则中心差分。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求根决策树（§10.6）：先探测g(0)。若g(0)≥offset，根落在γ≤0，输出截断解γ̂=0（状态trunc0）；否则按§10.4自t(1)−10⁻³·t(1)向t(1)−10⁻¹²·t(1)几何加密探测24点，取首个g≥offset者为右锚点，在[0,锚点]上以Brent法（xtol=10⁻⁸、rtol=10⁻¹⁰、maxiter=80）求解g(γ)=offset（状态root）；若24点全部g&lt;offset（极罕见），按§10.5取右端渐近解γ̂=nextafter(t(1),0)（状态right_edge）。最终γ*=max(γ̂,0)，回代β*=β*(γ*)、η̂=mean(η̂ᵢ)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依据§10.8设置两级缓存（γ→(β*,σ)与γ→梯度）避免重复求值；§10.1的60点几何γ网格与§10.2的离散变号检测+线性插值实现为诊断/可视化工具，与Brent主路径的对照见第3.1节。</w:t>
      </w:r>
    </w:p>
    <w:p>
      <w:pPr>
        <w:pStyle w:val="Heading2"/>
      </w:pPr>
      <w:r>
        <w:rPr>
          <w:rFonts w:ascii="Arial" w:eastAsia="黑体" w:hAnsi="Arial"/>
        </w:rPr>
        <w:t xml:space="preserve">2.2  三参数MLE（基准之一）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对固定γ，二参数Weibull MLE化为β的一维方程ψ(β)=Σz^β ln z/Σz^β − 1/β − mean(ln z)=0（z=t−γ，数据按最大值归一化防溢出），以brentq在[0.02,300]上求根，η̂闭式回代；右截尾时采用标准截尾似然的对应方程。对γ的廓线在[0,t(1))上取80点（含t(1)近端几何加密），优先选取内点局部极大并黄金精化；若廓线向t(1)单调上升（嵌入分布非正则性所致）则取边界并标记boundary。报告统计boundary与β触界比例。</w:t>
      </w:r>
    </w:p>
    <w:p>
      <w:pPr>
        <w:pStyle w:val="Heading2"/>
      </w:pPr>
      <w:r>
        <w:rPr>
          <w:rFonts w:ascii="Arial" w:eastAsia="黑体" w:hAnsi="Arial"/>
        </w:rPr>
        <w:t xml:space="preserve">2.3  三参数LSM（基准之二）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中位秩回归：y=ln x 对 u=ln(t−γ) 回归，γ由相关系数R²(γ)最大化确定（同样网格+黄金精化，γ≥0），斜率给出β̂、截距给出η̂。</w:t>
      </w:r>
    </w:p>
    <w:p>
      <w:pPr>
        <w:pStyle w:val="Heading2"/>
      </w:pPr>
      <w:r>
        <w:rPr>
          <w:rFonts w:ascii="Arial" w:eastAsia="黑体" w:hAnsi="Arial"/>
        </w:rPr>
        <w:t xml:space="preserve">2.4  截尾数据的适配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II型截尾（前r个失效）：MDM使用前r个次序统计量与全样本量n的Bernard秩，σ与η̂仅对r个伪尺度计算；要求r≥4。MLE用标准II型截尾似然（截尾值t(r)）。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I型定时（右）截尾（截止时间τ）：失效数R为随机量；R&lt;4判为不可行样本并统计可行率，估计性能在可行样本上条件评估。MLE截尾值为τ。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I型区间截尾（k个检查时点，等概率分位设置）：MDM不能直接使用计数数据，研究两种插补变体——中点插补（每区间失效取区间中点）与EM式分位插补（以当前拟合分布把区间内失效摆到条件等概率分位上，迭代3次，中点解热启动）；基准为区间数据的参数化MLE（γ廓线25点×内层Nelder-Mead）。</w:t>
      </w:r>
    </w:p>
    <w:p>
      <w:pPr>
        <w:pStyle w:val="Heading2"/>
      </w:pPr>
      <w:r>
        <w:rPr>
          <w:rFonts w:ascii="Arial" w:eastAsia="黑体" w:hAnsi="Arial"/>
        </w:rPr>
        <w:t xml:space="preserve">2.5  评估指标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各格点报告：平均偏差与中位偏差（相对%）、标准差、RMSE（相对%）、偏度、边界/截断发生率；收敛速率以log(RMSE)对log(n)的OLS斜率（衰减指数）刻画，|偏差|的衰减指数仅在偏差显著（|偏差|&gt;2×蒙特卡洛标准误）的点数≥4时拟合。蒙特卡洛标准误（MCSE）随表格在附件CSV中给出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3  阶段0：实现验证</w:t>
      </w:r>
    </w:p>
    <w:p>
      <w:pPr>
        <w:pStyle w:val="Heading2"/>
      </w:pPr>
      <w:r>
        <w:rPr>
          <w:rFonts w:ascii="Arial" w:eastAsia="黑体" w:hAnsi="Arial"/>
        </w:rPr>
        <w:t xml:space="preserve">3.1  正确性与一致性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理想样本检验：由Bernard中位秩反算的n=7理想样本（β0=2，η0=γ0=1000）上，零偏移MDM精确还原(2.0, 1000, 1000)；偏移0.1时γ̂=1000.06，仅产生可忽略的判据性平移。快速实现与scipy参考实现在200个随机样本上的最大差异：|Δγ̂|=1.3e-5、|Δβ̂|=1.1e-6、|Δη̂|=9.4e-5，两实现数值等价。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§10补充细则对齐前后的求解器对照（300个跨β、n随机样本）：298/300个样本γ̂差异小于10⁻³，其余2个为§10.5右端渐近出口（占比0.7%）。§10.2离散网格诊断与Brent主路径的根定位一致（差异在网格线性插值精度内）。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等变性：对位置—尺度变换t′=2.7t+300，内点根（root状态）样本的估计按理论关系变换，最大相对误差2.5e-8；γ≥0截断分支按设计破坏平移等变性（见第8章讨论）。</w:t>
      </w:r>
    </w:p>
    <w:p>
      <w:pPr>
        <w:pStyle w:val="Heading2"/>
      </w:pPr>
      <w:r>
        <w:rPr>
          <w:rFonts w:ascii="Arial" w:eastAsia="黑体" w:hAnsi="Arial"/>
        </w:rPr>
        <w:t xml:space="preserve">3.2  原文情形复现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在W(2,1000,1000)、n=7的30个独立随机样本上重复原文表2型实验（表1）。本实现的γ̂离散程度排序与原文一致：零判据与LSM极差最大（约1570），偏移0.1判据显著收窄（极差约1020、标准差313），MLE居中。与原文具体数值的差异来自随机样本不同及中位秩/下界约定差异，但定性结论完全吻合：偏移判据有效抑制了γ̂的离散。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  30个随机样本(W(2,1000,1000), n=7)的γ̂统计 — 与原文表2情形对照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γ̂最小值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γ̂最大值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极差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标准差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MDM(零判据)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1570.4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1570.4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658.1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549.3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1570.7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1021.3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312.6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326.2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1592.7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1266.6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357.4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LSM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1573.2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1573.2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641.9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3.3  偏移值敏感性（附属分析）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主体研究固定offset=0.1。作为附属分析，表2与图1给出β0=2时偏移值∈{0,0.05,0.1,0.2}的影响：零偏移γ̂强负偏（n=7时约−316）且40%样本截断于γ̂=0；偏移增大使偏差由负转正、RMSE单调下降；B10的RMSE对偏移值几乎不敏感（n=7时约163、n=20时约94），说明偏移主要在γ–β补偿岭上移动解的位置，对寿命分位数影响很小。0.1在偏差与离散之间取得良好平衡，支持原文校准结论。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表2  偏移值敏感性 (β0=2, η0=γ0=1000, 500次重复)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rPr>
          <w:tblHeader/>
        </w:trP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偏移值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γ̂偏差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 RMSE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β̂偏差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 RMSE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 RMSE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γ̂=0截断率%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-315.8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661.2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1.12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2.41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162.3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35.8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370.6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163.1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87.9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303.0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-0.22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163.6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161.3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284.8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-0.44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164.8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-180.1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434.9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93.6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-39.3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236.7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93.9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189.1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94.1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55.1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163.8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-0.12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0.49</w:t>
            </w:r>
          </w:p>
        </w:tc>
        <w:tc>
          <w:tcPr>
            <w:tcW w:type="dxa" w:w="112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94.7</w:t>
            </w:r>
          </w:p>
        </w:tc>
        <w:tc>
          <w:tcPr>
            <w:tcW w:type="dxa" w:w="113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181225"/>
            <wp:effectExtent t="0" r="0" b="0" l="0"/>
            <wp:docPr id="1" name="fig1" descr="偏移值对γ̂偏差与RMSE的影响（β0=2，500次重复）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图1  偏移值对γ̂偏差与RMSE的影响（β0=2，500次重复）</w:t>
      </w:r>
    </w:p>
    <w:p>
      <w:pPr>
        <w:pStyle w:val="Heading2"/>
      </w:pPr>
      <w:r>
        <w:rPr>
          <w:rFonts w:ascii="Arial" w:eastAsia="黑体" w:hAnsi="Arial"/>
        </w:rPr>
        <w:t xml:space="preserve">3.4  计算成本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单次MDM拟合（含完整offset-root流程）约10.2～12.2毫秒（n=7～100，单核），MLE约15.0毫秒。全部四阶段（约百万次拟合量级）在单核上约80分钟完成。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4  阶段1：偏差规律（问题一）</w:t>
      </w:r>
    </w:p>
    <w:p>
      <w:pPr>
        <w:pStyle w:val="Heading2"/>
      </w:pPr>
      <w:r>
        <w:rPr>
          <w:rFonts w:ascii="Arial" w:eastAsia="黑体" w:hAnsi="Arial"/>
        </w:rPr>
        <w:t xml:space="preserve">4.1  γ̂的偏差：方向、量级与随n衰减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2与表3给出γ̂相对偏差随n的变化。MDM(0.1)在小样本下呈正偏并随n单调衰减：β0=2时由n=10的约5.5%降至n=100的约-0.0%；正偏幅度随β0增大而增大——β0=1.5时n≥10即近乎无偏，β0=4时n=10约+29%、n=100仍残留约+10%。零判据MDM(0)则在全部格点呈负偏（β0=2、n=10约-24.9%），且伴随大量γ̂=0截断（表6），体现“极小点判据+下界截断”联合导致的系统性低估；偏移0.1把解从平坦的极小点移动到具有确定斜率的一段，符号代价是小样本与高β0下的正偏。MLE的γ̂在小样本下大幅正偏、β0≥3的较大样本下转为近无偏或轻度负偏，LSM整体负偏且离散度最大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829050"/>
            <wp:effectExtent t="0" r="0" b="0" l="0"/>
            <wp:docPr id="1" name="fig2" descr="γ̂相对偏差随样本量的变化（按β0分面；以η0=1000为基准）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图2  γ̂相对偏差随样本量的变化（按β0分面；以η0=1000为基准）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表3  γ̂相对偏差%（以η0=1000为基准）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MDM(0.1)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MDM(0)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LSM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-26.6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25.5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-6.3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-20.2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8.8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-6.9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-2.4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-32.6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33.2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-7.5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-24.9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-9.4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-16.4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-7.3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-4.7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-2.8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-1.6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-1.4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28.4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-32.3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44.6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-5.7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-33.4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-13.1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-29.3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-16.6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-14.8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-9.8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-5.3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40.5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-27.2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51.7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-4.4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29.3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-34.4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-14.7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-32.9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-2.2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-17.9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-23.2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-2.1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-15.7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-14.5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-11.1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4.2  β̂与B10寿命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3与表4：MDM(0.1)的β̂在小样本下呈轻度负偏（与γ̂正偏构成补偿，见4.5节），量级普遍小于MLE的β̂正偏；B10寿命由于γ–β–η误差的相互抵消，对所有方法都远比单个参数稳定，MDM(0.1)与MLE的B10精度在全部格点上同量级。这说明若工程目标是寿命分位数而非参数本身，判据细节的影响有限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829050"/>
            <wp:effectExtent t="0" r="0" b="0" l="0"/>
            <wp:docPr id="1" name="fig3" descr="β̂相对偏差随样本量的变化（按β0分面）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图3  β̂相对偏差随样本量的变化（按β0分面）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表4  β̂与B10的相对偏差/相对RMSE%（MDM(0.1)与MLE）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tblHeader/>
        </w:trP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 β̂偏差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 β̂RMSE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 β̂偏差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 β̂RMSE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 B10偏差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 B10RMSE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 B10偏差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 B10RMSE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71.3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-52.0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83.8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19.0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43.8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-12.5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87.6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42.7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-12.8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56.8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-56.6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85.5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7.0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17.7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37.5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-10.8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89.5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53.0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-34.1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53.6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-65.3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83.2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-23.4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36.2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94.4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-12.8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27.8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67.9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35.4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-46.8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59.1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-66.0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86.0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10.7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-37.6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43.9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107.7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-28.0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34.5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73.6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-19.0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25.6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46.9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-13.7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19.9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29.8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9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9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4.3  RMSE与收敛速率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4、图5给出γ̂与B10的相对RMSE（双对数坐标），表5为各方法的衰减指数。MDM(0.1)的γ̂RMSE衰减指数平均约-0.54（MLE约-0.53），B10约-0.56，均呈良好幂律；|γ̂偏差|的衰减指数在偏差显著的格点上平均约-0.64，偏差比RMSE衰减更快，意味着大样本下MDM(0.1)的误差以方差为主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829050"/>
            <wp:effectExtent t="0" r="0" b="0" l="0"/>
            <wp:docPr id="1" name="fig4" descr="γ̂相对RMSE随样本量的变化（双对数；图内标注MDM(0.1)拟合斜率）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图4  γ̂相对RMSE随样本量的变化（双对数；图内标注MDM(0.1)拟合斜率）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829050"/>
            <wp:effectExtent t="0" r="0" b="0" l="0"/>
            <wp:docPr id="1" name="fig5" descr="B10相对RMSE随样本量的变化（双对数）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图5  B10相对RMSE随样本量的变化（双对数）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表5  收敛速率: log(RMSE)~log(n)拟合斜率（越负收敛越快; 末列为|γ̂偏差|衰减指数, 不显著时记—）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γ̂RMSE指数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β̂RMSE指数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η̂RMSE指数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B10RMSE指数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|γ̂偏差|指数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-0.62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-0.58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-0.42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-0.55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-0.79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-0.59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-0.81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-0.54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4.4  抽样分布形态与边界发生率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6对比β0=2、n=10下三种判据/方法的γ̂抽样分布：零判据呈“γ̂=0堆积+右侧长尾”的双峰形态；偏移0.1基本消除堆积，分布右移、集中；MLE无0堆积但左尾厚。表6给出全部格点的边界发生率：MDM(0.1)的γ̂=0截断率在各格点均极低（仅n=5时非零、约0.3～1.4%），而MDM(0)的γ̂=0截断率随β0增大而上升（β0大时位移比效应弱、廓线顶点更易落在0左侧）、随n增大而下降——这正是零判据系统性负偏的来源；MLE的边界解（γ̂→t(1)）集中于小样本。右端渐近（right_edge）出口在全部约8万次拟合中占比不足1%，与§10.5“极罕见”定位一致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685925"/>
            <wp:effectExtent t="0" r="0" b="0" l="0"/>
            <wp:docPr id="1" name="fig6" descr="γ̂抽样分布对比（β0=2，n=10）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图6  γ̂抽样分布对比（β0=2，n=10）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表6  边界/截断发生率%（γ̂=0截断或γ̂→t(1)边界）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MDM(0.1)截断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MDM(0)截断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MLE边界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LSM边界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33.4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78.0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51.3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25.0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42.2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75.0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41.2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45.8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72.6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38.9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24.9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25.3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44.2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68.6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44.1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20.6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34.2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15.6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504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5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4.5  误差补偿结构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图7给出MDM(0.1)在β0=2、n=20处(γ̂误差, β̂误差)散点：二者呈强负相关（r=-0.77），构成沿“γ增大—β减小”方向的补偿岭。该结构解释了两件事：单参数（尤其γ）的判据敏感与厚尾来自岭向自由度；而B10等寿命分位数沿岭近似不变，故对判据与样本扰动稳健。完整相关系数表见附件p1_corr.csv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257550"/>
            <wp:effectExtent t="0" r="0" b="0" l="0"/>
            <wp:docPr id="1" name="fig7" descr="γ̂与β̂误差的补偿结构（MDM(0.1)，β0=2，n=20）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图7  γ̂与β̂误差的补偿结构（MDM(0.1)，β0=2，n=20）</w:t>
      </w:r>
    </w:p>
    <w:p>
      <w:pPr>
        <w:pStyle w:val="Heading2"/>
      </w:pPr>
      <w:r>
        <w:rPr>
          <w:rFonts w:ascii="Arial" w:eastAsia="黑体" w:hAnsi="Arial"/>
        </w:rPr>
        <w:t xml:space="preserve">4.6  问题一小结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方向：偏移0.1判据下γ̂小样本正偏、β̂轻度负偏；零判据γ̂系统性负偏并伴随高截断率；MLE的γ̂负偏、β̂正偏。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量级：γ̂正偏随β0增大而增大、随n增大而衰减；衰减快于RMSE，故大样本误差以方差为主。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对比：γ̂的RMSE上MDM(0.1)全面优于LSM、小样本优于MLE；B10精度与MLE同量级，工程意义上的寿命估计两者可互换。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5  阶段2：截尾方案下的表现与适用边界（问题二）</w:t>
      </w:r>
    </w:p>
    <w:p>
      <w:pPr>
        <w:pStyle w:val="Heading2"/>
      </w:pPr>
      <w:r>
        <w:rPr>
          <w:rFonts w:ascii="Arial" w:eastAsia="黑体" w:hAnsi="Arial"/>
        </w:rPr>
        <w:t xml:space="preserve">5.1  II型截尾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设定：β0∈{2,3.5}，n∈{10,20,30}，截尾比例q∈{0,0.2,0.4,0.6}（保留r=n(1−q)个最早失效），每格800次。图8与表7（n=20）显示：q≤0.4时MDM(0.1)的γ̂正偏与B10 RMSE仅温和上升，与截尾MLE保持同量级；q增大到0.6时γ̂正偏继续加重（β0=3.5、q=0.6约+38%），但B10 RMSE并未随之恶化（在中等q升高后趋稳），表明截尾信息损失主要沿γ–β补偿岭转移、对寿命分位数冲击有限。值得注意的是，在β0=3.5下MDM的γ̂ RMSE明显低于MLE（MLE在高形状参数下γ估计离散更大），而二者B10精度始终相当。MDM在II型截尾下无需任何结构修改（前r个伪尺度+全n秩，全程无γ̂=0截断），是其工程友好之处。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305175"/>
            <wp:effectExtent t="0" r="0" b="0" l="0"/>
            <wp:docPr id="1" name="fig8" descr="II型截尾：γ̂偏差、γ̂RMSE与B10 RMSE随截尾比例的变化（n=20）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图8  II型截尾：γ̂偏差、γ̂RMSE与B10 RMSE随截尾比例的变化（n=20）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表7  II型截尾 (n=20, 截尾比例q): 相对偏差/相对RMSE%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q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γ̂偏差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γ̂RMSE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β̂偏差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β̂RMSE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B10偏差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B10RMSE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29.4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52.3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41.7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71.7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21.7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419.9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517.9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15.4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33.8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107.0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650.0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650.0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12.0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-25.0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115.8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-3.5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-21.0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30.6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50.5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74.8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-21.3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33.4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-0.1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51.2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88.1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5.9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36.0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205.2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264.2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52.4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110.7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39.8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328.6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328.6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41.0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-40.2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104.9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-4.0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5.2  I型定时（右）截尾：可行性是硬边界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设定：截止时间τ取真分布p分位，p∈{0.5,0.7,0.9}。失效数R为随机量，R&lt;4即不可行。可行率主要由期望失效数np决定：图9左显示p=0.5且n=10时（np≈5）可行率约82%（β0=2），是唯一明显低于满额的格点；n=20（np≈10）即升至约100%，而p≥0.7或n≥20时可行率均接近100%。在可行样本上（图9右、表8），MDM与MLE的B10精度差距不大，p越小（信息越少）两法误差越大且γ̂正偏加重——这是“早截止+小样本”下界截断与秩信息缺失共同作用的结果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105025"/>
            <wp:effectExtent t="0" r="0" b="0" l="0"/>
            <wp:docPr id="1" name="fig9" descr="I型定时截尾：可行率（左）与B10相对RMSE（右，n=20，条件于可行）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图9  I型定时截尾：可行率（左）与B10相对RMSE（右，n=20，条件于可行）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表8  I型定时截尾 (n=20, 截止时间为真分布p分位): 可行率与条件性能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可行率%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平均失效数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γ̂偏差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γ̂RMSE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B10偏差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B10RMSE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16.4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21.5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-3.1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21.4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-0.6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26.3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34.4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38.2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19.2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44.5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-2.5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19.8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30.9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8.6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14.1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45.7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0.2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MDM(偏移0.1)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14.0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25.5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</w:tr>
      <w:tr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18.0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MLE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47.0</w:t>
            </w:r>
          </w:p>
        </w:tc>
        <w:tc>
          <w:tcPr>
            <w:tcW w:type="dxa" w:w="100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5.3  I型区间截尾：插补方式决定成败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设定：k∈{4,6,8}个等概率检查时点，n∈{15,30}，每格500次；末次检查后为右截尾。图10与表9（n=30）：中点插补的朴素MDM存在严重系统性负偏（首区间中点取(0,τ1]中点、往往远低于γ0，直接把最小观测值拉低，γ̂偏差达−50%～−97%且不随k消失）；EM式分位插补（以当前拟合分布把区间内失效摆到条件等概率分位，迭代3次、中点解热启动）将γ̂负偏大幅压缩，B10 RMSE随之降到接近区间MLE的水平——β0=3.5下EM与区间MLE几乎相当，β0=2下EM仍略逊于MLE但远优于中点法。结论：区间数据上MDM必须配合模型化插补使用，推荐EM式分位插补；若对γ本身精度要求高，区间MLE仍是更稳的选择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981450"/>
            <wp:effectExtent t="0" r="0" b="0" l="0"/>
            <wp:docPr id="1" name="fig10" descr="区间截尾：γ̂偏差与B10 RMSE随检查时点数k的变化（n=30）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图10  区间截尾：γ̂偏差与B10 RMSE随检查时点数k的变化（n=30）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表9  I型区间截尾 (n=30, k个等概率检查时点): 相对偏差/RMSE%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β̂偏差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γ̂偏差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B10偏差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B10RMSE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157.0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-86.7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-17.6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21.7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51.9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-49.9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-6.3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12.9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-16.6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84.0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-96.9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-19.6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56.8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-51.8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-6.9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-17.1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-0.5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8.0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88.9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-94.0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-15.9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20.0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44.9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-39.3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-4.6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24.1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-17.3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-0.1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211.9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-45.9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-9.0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15.6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-26.0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-0.4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11.7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-7.4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95.8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-73.2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-14.3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-7.2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27.0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-20.1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MDM-中点插补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47.7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-82.9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-15.2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19.7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MDM-EM插补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-4.3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-5.6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-2.2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区间MLE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22.5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-17.2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5.4  适用边界汇总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II型截尾：q≤0.4（保留比例≥60%）时MDM(0.1)可直接使用，γ̂正偏与B10精度均与截尾MLE同量级；q=0.6时γ̂正偏较大，若以B10等寿命分位数为目标仍可接受，若需γ本身则慎用或增大n。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I型定时截尾：要求期望失效数np≥8（经验值，保证可行率高且条件偏差可控）；p=0.5且n≤10的早截止方案不建议使用MDM。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区间截尾：禁止中点插补直接套用；EM式分位插补（3次迭代）后MDM可用，k≥6时与区间MLE相当。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6  阶段3：bootstrap置信区间（问题三）</w:t>
      </w:r>
    </w:p>
    <w:p>
      <w:pPr>
        <w:pStyle w:val="Heading2"/>
      </w:pPr>
      <w:r>
        <w:rPr>
          <w:rFonts w:ascii="Arial" w:eastAsia="黑体" w:hAnsi="Arial"/>
        </w:rPr>
        <w:t xml:space="preserve">6.1  构造方法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由于MDM缺乏解析方差与渐近分布，采用参数化bootstrap：以(β̂,η̂,γ̂)生成B=199个再抽样数据集并重估，构造percentile、basic与BCa（偏差校正加速，加速常数由n次刀切估计）三种双侧区间（90%、95%）及B10的单侧95%置信下限（percentile 5%分位）。覆盖率以外层M=300次独立实验验证（蒙特卡洛标准误约1.7个百分点），格点(β0,n)∈{2,3.5}×{10,30}。另以非参数bootstrap（经验分布重抽样）在(2,30)做对照。</w:t>
      </w:r>
    </w:p>
    <w:p>
      <w:pPr>
        <w:pStyle w:val="Heading2"/>
      </w:pPr>
      <w:r>
        <w:rPr>
          <w:rFonts w:ascii="Arial" w:eastAsia="黑体" w:hAnsi="Arial"/>
        </w:rPr>
        <w:t xml:space="preserve">6.2  覆盖率结果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图11与表10、表11汇总实际覆盖率。90%名义水平下，percentile法的覆盖率中位数约0.78，在四个目标量上最为均衡；basic法在γ上显著不足（γ̂=0边界堆积使“2θ̂−分位数”式反演失真），中位数约0.72；BCa中位数约0.76，对β̂的偏差校正略有帮助，但在B=199、γ存在点质量的设定下并不稳定。小样本（n=10）所有方法的γ覆盖率普遍低于名义值，与γ̂分布的厚尾和边界质量一致；n=30时percentile对β、η、B10已接近名义水平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010025"/>
            <wp:effectExtent t="0" r="0" b="0" l="0"/>
            <wp:docPr id="1" name="fig11" descr="名义90%双侧区间的实际覆盖率（按格点分面；虚线为名义水平）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图11  名义90%双侧区间的实际覆盖率（按格点分面；虚线为名义水平）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表10  参数化bootstrap双侧90%区间的实际覆盖率 (B=199, 外层M=300)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目标量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percentile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basic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BCa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pct平均相对宽度%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0.923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0.623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0.757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109.1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0.867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0.717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0.810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103.8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0.783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0.733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76.2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0.767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0.747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0.763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29.5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0.790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0.860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76.5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0.843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61.7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0.833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45.3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0.807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0.790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0.810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17.1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0.517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0.503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0.607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69.7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0.543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0.533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0.670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76.2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0.480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0.547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0.560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64.0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0.717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20.5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0.637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58.1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0.627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0.687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55.4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0.597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0.637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0.637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48.1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0.817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0.833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12.7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表11  参数化bootstrap双侧95%区间的实际覆盖率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目标量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percentile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basic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BCa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pct平均相对宽度%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0.687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0.837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127.2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0.770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121.3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0.817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89.8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0.797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34.8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0.967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90.8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0.927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0.887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0.917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72.3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0.867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53.4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0.840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20.1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0.700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0.540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0.687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80.7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0.590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0.720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88.4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0.597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0.617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74.3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0.790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0.760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24.0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0.627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0.697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67.6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0.690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0.693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0.743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64.2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0.697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0.713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55.7</w:t>
            </w:r>
          </w:p>
        </w:tc>
      </w:tr>
      <w:tr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28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29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15.0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6.3  B10单侧置信下限与边界质量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表12给出工程上最常用的B10单侧95%下限。其实际覆盖率（真值不低于所给下限的频率）在四个格点上约为0.74～0.87，均未达到名义0.95，且随n增大改善（n=30达0.84～0.87）；平均下限约为真值的九成（0.905～0.944）。这说明参数化bootstrap的percentile下限在中小样本下偏高（区间偏窄），存在欠覆盖风险，作可靠性下限使用时应提高名义置信水平或增大B。表中同时给出bootstrap分布中γ*=0的平均质量（本配置下普遍很低，仅β0=2、n=10约0.4%），它是γ区间（尤其basic）失真的来源之一。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表12  B10单侧95%置信下限 (percentile)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β0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下限覆盖率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平均下限/真值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bootstrap中γ*=0平均质量%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0.780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0.905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0.843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0.938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0.743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0.921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80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0.944</w:t>
            </w:r>
          </w:p>
        </w:tc>
        <w:tc>
          <w:tcPr>
            <w:tcW w:type="dxa" w:w="180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6.4  非参数bootstrap对照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表13：n=30、β0=2下，非参数bootstrap的percentile覆盖率在γ与B10上低于参数化版本（γ 0.81对0.85、B10 0.77对0.81），在β上两者相当（约0.94）、η上互有高低。总体而言，对中小样本三参数Weibull问题，参数化bootstrap在关键的位置参数与寿命分位数上覆盖更接近名义，故本报告优先推荐参数化版本；但两者在小样本下均未完全达到名义水平。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表13  非参数bootstrap percentile覆盖率对照 (β0=2, n=30, M=150)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目标量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90%覆盖率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95%覆盖率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0.940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0.967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η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0.880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0.947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0.807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0.860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0.767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黑体" w:hAnsi="Arial"/>
        </w:rPr>
        <w:t xml:space="preserve">6.5  推荐做法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默认推荐：参数化bootstrap + percentile区间，且B=199偏少，建议B≥999以稳定覆盖率；中小样本下实际覆盖率系统性低于名义水平，工程上应据此留出裕度或提高名义水平。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γ的区间应连同γ̂=0质量一并报告；避免使用basic法反演γ区间。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n≤10时所有γ区间覆盖率系统性不足，建议仅对B10/分位数作区间陈述，或提高名义水平作保守处理。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7  结论与工程建议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实现层面：严格按《计算说明》§1–§10实现的MDM求解器通过了理想样本还原、双实现一致性、等变性与原文情形复现四项验证；§10细则（自适应差分、24点近端锚、Brent、右端渐近）与此前过渡实现在&gt;99%样本上根一致，求解流程“始终有解”。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偏差规律：偏移0.1判据将零判据的系统性负偏（伴随γ̂=0高截断率）转换为小样本轻度正偏，并使γ̂ RMSE大幅下降；正偏随β0增大而增大、随n按幂律衰减且快于RMSE，大样本误差以方差为主。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与基准对比：γ̂精度MDM(0.1)在小样本优于MLE、全面优于LSM；B10寿命精度与MLE同量级。MDM以中位秩与一维求根实现，无似然非正则性烦恼，工程实施成本低。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截尾适用边界：II型q≤0.4直接可用；I型定时要求期望失效数≥8；区间截尾必须采用EM式分位插补。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区间估计：推荐参数化bootstrap percentile区间与B10单侧95%下限；γ区间在小样本下覆盖不足，须谨慎陈述。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偏移值：0.1贯穿全部研究表现稳健；敏感性分析显示其处于偏差—方差平衡区，且B10对偏移几乎不敏感，无需按β、n微调。</w:t>
      </w:r>
    </w:p>
    <w:p>
      <w:pPr>
        <w:pStyle w:val="Heading1"/>
      </w:pPr>
      <w:r>
        <w:rPr>
          <w:rFonts w:ascii="Arial" w:eastAsia="黑体" w:hAnsi="Arial"/>
        </w:rPr>
        <w:t xml:space="preserve">8  局限性与说明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中位秩采用Bernard近似（计算说明约定），与原文F分布中位秩存在微小差异，对偏差规律的定性结论无影响，但逐数值对照原文表格时应留意。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γ≥0显式下界与右端渐近兜底来自《计算说明》工程化约定：前者破坏平移等变性并产生γ̂=0点质量（本报告已将其作为统计对象计量），后者在&lt;1%样本中给出γ̂≈t(1)的极端解。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真值配置固定位移比γ0/η0=1（原文算例设定）。位移比显著更小（如0.1）时γ̂=0截断率将上升，偏差规律的常数项会变化，幂律形态预计保持；该外推未在本报告内验证。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阶段3的B=199、M=300为计算预算折中，覆盖率的MCSE约1.7个百分点；BCa在该B下对带点质量的γ分布不稳定，其结论限于本设定。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182-029（MLE偏差规律研究）未获得，无法逐格对齐其参数网格与指标口径；本报告MLE为同设计自算基准。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Times New Roman" w:eastAsia="宋体" w:hAnsi="Times New Roman"/>
          <w:sz w:val="21"/>
          <w:szCs w:val="21"/>
        </w:rPr>
        <w:t xml:space="preserve">全部模拟在numpy/scipy双精度下进行；Brent容差(1e-8)远小于统计不确定性，数值误差可忽略。</w:t>
      </w:r>
    </w:p>
    <w:p>
      <w:r>
        <w:br w:type="page"/>
      </w:r>
    </w:p>
    <w:p>
      <w:pPr>
        <w:pStyle w:val="Heading1"/>
      </w:pPr>
      <w:r>
        <w:rPr>
          <w:rFonts w:ascii="Arial" w:eastAsia="黑体" w:hAnsi="Arial"/>
        </w:rPr>
        <w:t xml:space="preserve">附录A  交付物与复现说明</w:t>
      </w:r>
    </w:p>
    <w:p>
      <w:pPr>
        <w:spacing w:after="120" w:before="0" w:line="30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脚本包（与本报告一并交付）：core.py（MDM/MLE/LSM与截尾适配）、phase0.py～phase3.py（四阶段实验）、analyze.py与augment_kv.py（汇总与制图）、make_report.js（本报告生成器）、README.md（运行顺序与环境）。结果文件：results/p1_*.npz等保存每次重复的全部估计与状态码，p1_summary.csv、p1_decay.csv、p1_corr.csv、p2t2_summary.csv、p2t1_summary.csv、p2int_summary.csv、p3_coverage.csv为汇总表。所有随机数由SeedSequence([20260610, 阶段, 格点索引…])派生，重跑脚本即可逐位复现本报告全部数字。</w:t>
      </w:r>
    </w:p>
    <w:p>
      <w:pPr>
        <w:pStyle w:val="Heading1"/>
      </w:pPr>
      <w:r>
        <w:rPr>
          <w:rFonts w:ascii="Arial" w:eastAsia="黑体" w:hAnsi="Arial"/>
        </w:rPr>
        <w:t xml:space="preserve">附录B  求解器关键参数（§10.9对照）</w:t>
      </w:r>
    </w:p>
    <w:p>
      <w:pPr>
        <w:spacing w:after="60" w:before="12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表14  关键参数汇总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取值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7"/>
                <w:szCs w:val="17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offset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0.1（固定）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梯度偏置阈值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β搜索范围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[0.1, 15]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内层优化bounds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差分标称步长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max(|t(1)|,1)×1e-5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§10.3，并按两侧空间/4收缩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右锚点探测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24点，距t(1)为1e-3~1e-12·|t(1)|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§10.4 几何加密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Brent容差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xtol=1e-8, rtol=1e-10, maxiter=80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§10.9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诊断γ网格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60点几何加密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§10.1（可视化/对照）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无锚兜底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γ̂=nextafter(t(1),0)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§10.5 右端渐近</w:t>
            </w:r>
          </w:p>
        </w:tc>
      </w:tr>
      <w:tr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MDM最少失效数</w:t>
            </w:r>
          </w:p>
        </w:tc>
        <w:tc>
          <w:tcPr>
            <w:tcW w:type="dxa" w:w="30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0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σ与秩信息的最低要求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eastAsia="黑体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eastAsia="黑体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eastAsia="黑体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f21b1d8fb6ef6c21660acc34c87bfc7dc40bc4.png"/><Relationship Id="rId9" Type="http://schemas.openxmlformats.org/officeDocument/2006/relationships/image" Target="media/7a55589e44d267e32cd3f209317d4d2d16ea9b7e.png"/><Relationship Id="rId10" Type="http://schemas.openxmlformats.org/officeDocument/2006/relationships/image" Target="media/d85a57bd3714f5dfa91624fc9a6babb12367faa9.png"/><Relationship Id="rId11" Type="http://schemas.openxmlformats.org/officeDocument/2006/relationships/image" Target="media/45abfe7aff94453f238a0b4a8da1f251d51212f5.png"/><Relationship Id="rId12" Type="http://schemas.openxmlformats.org/officeDocument/2006/relationships/image" Target="media/c307a5f3c104e2f53f37bcd1f32904c650661f2f.png"/><Relationship Id="rId13" Type="http://schemas.openxmlformats.org/officeDocument/2006/relationships/image" Target="media/403f50c5422c85f70ebf3f51d416fe7e29fa86df.png"/><Relationship Id="rId14" Type="http://schemas.openxmlformats.org/officeDocument/2006/relationships/image" Target="media/8c232fd3e8bb225327181eda7d6f25cedd5d636c.png"/><Relationship Id="rId15" Type="http://schemas.openxmlformats.org/officeDocument/2006/relationships/image" Target="media/9f5fc0a5714bec405a00cf72a6011f64ff2e3f89.png"/><Relationship Id="rId16" Type="http://schemas.openxmlformats.org/officeDocument/2006/relationships/image" Target="media/11ecc22cad90bcca3bde699d9124a58f82fcfeeb.png"/><Relationship Id="rId17" Type="http://schemas.openxmlformats.org/officeDocument/2006/relationships/image" Target="media/91d9a813c61f96c9428acce2bf8e9e7edd62c069.png"/><Relationship Id="rId18" Type="http://schemas.openxmlformats.org/officeDocument/2006/relationships/image" Target="media/973346dac4154212082a594159f9f96ba65c24c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MDM三参数Weibull参数估计系统蒙特卡洛研究报告</dc:title>
  <dc:creator>MDM研究管线</dc:creator>
  <cp:lastModifiedBy>Un-named</cp:lastModifiedBy>
  <cp:revision>1</cp:revision>
  <dcterms:created xsi:type="dcterms:W3CDTF">2026-06-11T04:51:36.312Z</dcterms:created>
  <dcterms:modified xsi:type="dcterms:W3CDTF">2026-06-11T04:51:36.322Z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