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bin" ContentType="application/vnd.openxmlformats-officedocument.oleObject"/>
  <Default Extension="wmf" ContentType="image/x-wmf"/>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1"/>
        <w:keepNext/>
        <w:pageBreakBefore/>
        <w:jc w:val="left"/>
        <w:rPr>
          <w:sz w:val="30"/>
          <w:szCs w:val="30"/>
        </w:rPr>
      </w:pPr>
      <w:r>
        <w:rPr>
          <w:rFonts w:hint="eastAsia"/>
          <w:sz w:val="30"/>
          <w:szCs w:val="30"/>
        </w:rPr>
        <w:t>1　问题描述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此前计算覆盖以下参数组合、方法和样本量：</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300"/>
        <w:gridCol w:w="7006"/>
      </w:tblGrid>
      <w:tr>
        <w:trPr>
          <w:cantSplit/>
          <w:tblHeader/>
        </w:trPr>
        <w:tc>
          <w:tcPr>
            <w:tcW w:type="dxa" w:w="1300"/>
            <w:vAlign w:val="center"/>
          </w:tcPr>
          <w:p>
            <w:pPr>
              <w:keepNext/>
              <w:snapToGrid w:val="0"/>
              <w:spacing w:before="40" w:after="40" w:line="240" w:lineRule="auto"/>
              <w:ind w:firstLine="0"/>
              <w:jc w:val="left"/>
            </w:pPr>
            <w:r>
              <w:rPr>
                <w:rFonts w:eastAsia="仿宋_GB2312"/>
                <w:b/>
                <w:sz w:val="21"/>
                <w:szCs w:val="24"/>
              </w:rPr>
              <w:t>项目</w:t>
            </w:r>
          </w:p>
        </w:tc>
        <w:tc>
          <w:tcPr>
            <w:tcW w:type="dxa" w:w="7006"/>
            <w:vAlign w:val="center"/>
          </w:tcPr>
          <w:p>
            <w:pPr>
              <w:keepNext/>
              <w:snapToGrid w:val="0"/>
              <w:spacing w:before="40" w:after="40" w:line="240" w:lineRule="auto"/>
              <w:ind w:firstLine="0"/>
              <w:jc w:val="left"/>
            </w:pPr>
            <w:r>
              <w:rPr>
                <w:rFonts w:eastAsia="仿宋_GB2312"/>
                <w:b/>
                <w:sz w:val="21"/>
                <w:szCs w:val="24"/>
              </w:rPr>
              <w:t>设置</w:t>
            </w:r>
          </w:p>
        </w:tc>
      </w:tr>
      <w:tr>
        <w:trPr>
          <w:cantSplit/>
        </w:trPr>
        <w:tc>
          <w:tcPr>
            <w:tcW w:type="dxa" w:w="1300"/>
            <w:vAlign w:val="center"/>
          </w:tcPr>
          <w:p>
            <w:pPr>
              <w:keepNext/>
              <w:snapToGrid w:val="0"/>
              <w:spacing w:before="40" w:after="40" w:line="240" w:lineRule="auto"/>
              <w:ind w:firstLine="0"/>
              <w:jc w:val="left"/>
            </w:pPr>
            <w:r>
              <w:rPr>
                <w:rFonts w:eastAsia="仿宋_GB2312"/>
                <w:b w:val="0"/>
                <w:sz w:val="21"/>
                <w:szCs w:val="24"/>
              </w:rPr>
              <w:t>参数组合</w:t>
            </w:r>
          </w:p>
        </w:tc>
        <w:tc>
          <w:tcPr>
            <w:tcW w:type="dxa" w:w="7006"/>
            <w:vAlign w:val="center"/>
          </w:tcPr>
          <w:p>
            <w:pPr>
              <w:keepNext/>
              <w:snapToGrid w:val="0"/>
              <w:spacing w:before="40" w:after="40" w:line="240" w:lineRule="auto"/>
              <w:ind w:firstLine="0"/>
              <w:jc w:val="left"/>
            </w:pPr>
            <w:r>
              <w:rPr>
                <w:rFonts w:eastAsia="仿宋_GB2312"/>
                <w:b w:val="0"/>
                <w:sz w:val="21"/>
                <w:szCs w:val="24"/>
              </w:rPr>
              <w:t>β=1.5、2、3、5，η=100、γ=500；β=1.5、2、3、5，η=1000、γ=500；β=2、3，η=1000、γ=1000；β=2、3、5，η=1000、γ=3000。共13个组合</w:t>
            </w:r>
          </w:p>
        </w:tc>
      </w:tr>
      <w:tr>
        <w:trPr>
          <w:cantSplit/>
        </w:trPr>
        <w:tc>
          <w:tcPr>
            <w:tcW w:type="dxa" w:w="1300"/>
            <w:vAlign w:val="center"/>
          </w:tcPr>
          <w:p>
            <w:pPr>
              <w:keepNext/>
              <w:snapToGrid w:val="0"/>
              <w:spacing w:before="40" w:after="40" w:line="240" w:lineRule="auto"/>
              <w:ind w:firstLine="0"/>
              <w:jc w:val="left"/>
            </w:pPr>
            <w:r>
              <w:rPr>
                <w:rFonts w:eastAsia="仿宋_GB2312"/>
                <w:b w:val="0"/>
                <w:sz w:val="21"/>
                <w:szCs w:val="24"/>
              </w:rPr>
              <w:t>估计方法</w:t>
            </w:r>
          </w:p>
        </w:tc>
        <w:tc>
          <w:tcPr>
            <w:tcW w:type="dxa" w:w="7006"/>
            <w:vAlign w:val="center"/>
          </w:tcPr>
          <w:p>
            <w:pPr>
              <w:keepNext/>
              <w:snapToGrid w:val="0"/>
              <w:spacing w:before="40" w:after="40" w:line="240" w:lineRule="auto"/>
              <w:ind w:firstLine="0"/>
              <w:jc w:val="left"/>
            </w:pPr>
            <w:r>
              <w:rPr>
                <w:rFonts w:eastAsia="仿宋_GB2312"/>
                <w:b w:val="0"/>
                <w:sz w:val="21"/>
                <w:szCs w:val="24"/>
              </w:rPr>
              <w:t>MDM δ=0.10、0.15、0.20，LSE、LRE、WMLE、MLE、MMLE，共8种设置</w:t>
            </w:r>
          </w:p>
        </w:tc>
      </w:tr>
      <w:tr>
        <w:trPr>
          <w:cantSplit/>
        </w:trPr>
        <w:tc>
          <w:tcPr>
            <w:tcW w:type="dxa" w:w="1300"/>
            <w:vAlign w:val="center"/>
          </w:tcPr>
          <w:p>
            <w:pPr>
              <w:keepNext w:val="0"/>
              <w:snapToGrid w:val="0"/>
              <w:spacing w:before="40" w:after="40" w:line="240" w:lineRule="auto"/>
              <w:ind w:firstLine="0"/>
              <w:jc w:val="left"/>
            </w:pPr>
            <w:r>
              <w:rPr>
                <w:rFonts w:eastAsia="仿宋_GB2312"/>
                <w:b w:val="0"/>
                <w:sz w:val="21"/>
                <w:szCs w:val="24"/>
              </w:rPr>
              <w:t>样本量n</w:t>
            </w:r>
          </w:p>
        </w:tc>
        <w:tc>
          <w:tcPr>
            <w:tcW w:type="dxa" w:w="7006"/>
            <w:vAlign w:val="center"/>
          </w:tcPr>
          <w:p>
            <w:pPr>
              <w:keepNext w:val="0"/>
              <w:snapToGrid w:val="0"/>
              <w:spacing w:before="40" w:after="40" w:line="240" w:lineRule="auto"/>
              <w:ind w:firstLine="0"/>
              <w:jc w:val="left"/>
            </w:pPr>
            <w:r>
              <w:rPr>
                <w:rFonts w:eastAsia="仿宋_GB2312"/>
                <w:b w:val="0"/>
                <w:sz w:val="21"/>
                <w:szCs w:val="24"/>
              </w:rPr>
              <w:t>7、15、30，每个参数组合、每档n各50组</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估计结果中，部分参数与真值存在明显偏差。例如，W(2,100,500)、n=15的第36组样本得到以下结果。</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2076"/>
        <w:gridCol w:w="2076"/>
        <w:gridCol w:w="2076"/>
        <w:gridCol w:w="2076"/>
      </w:tblGrid>
      <w:tr>
        <w:trPr>
          <w:cantSplit/>
          <w:tblHeader/>
        </w:trPr>
        <w:tc>
          <w:tcPr>
            <w:tcW w:type="dxa" w:w="2076"/>
            <w:vAlign w:val="center"/>
          </w:tcPr>
          <w:p>
            <w:pPr>
              <w:keepNext/>
              <w:snapToGrid w:val="0"/>
              <w:spacing w:before="40" w:after="40" w:line="240" w:lineRule="auto"/>
              <w:ind w:firstLine="0"/>
              <w:jc w:val="center"/>
            </w:pPr>
            <w:r>
              <w:rPr>
                <w:rFonts w:eastAsia="仿宋_GB2312"/>
                <w:b/>
                <w:sz w:val="21"/>
                <w:szCs w:val="24"/>
              </w:rPr>
              <w:t>方法</w:t>
            </w:r>
          </w:p>
        </w:tc>
        <w:tc>
          <w:tcPr>
            <w:tcW w:type="dxa" w:w="2076"/>
            <w:vAlign w:val="center"/>
          </w:tcPr>
          <w:p>
            <w:pPr>
              <w:keepNext/>
              <w:snapToGrid w:val="0"/>
              <w:spacing w:before="40" w:after="40" w:line="240" w:lineRule="auto"/>
              <w:ind w:firstLine="0"/>
              <w:jc w:val="center"/>
            </w:pPr>
            <w:r>
              <w:rPr>
                <w:rFonts w:eastAsia="仿宋_GB2312"/>
                <w:b/>
                <w:sz w:val="21"/>
                <w:szCs w:val="24"/>
              </w:rPr>
              <w:t>形状β</w:t>
            </w:r>
          </w:p>
        </w:tc>
        <w:tc>
          <w:tcPr>
            <w:tcW w:type="dxa" w:w="2076"/>
            <w:vAlign w:val="center"/>
          </w:tcPr>
          <w:p>
            <w:pPr>
              <w:keepNext/>
              <w:snapToGrid w:val="0"/>
              <w:spacing w:before="40" w:after="40" w:line="240" w:lineRule="auto"/>
              <w:ind w:firstLine="0"/>
              <w:jc w:val="center"/>
            </w:pPr>
            <w:r>
              <w:rPr>
                <w:rFonts w:eastAsia="仿宋_GB2312"/>
                <w:b/>
                <w:sz w:val="21"/>
                <w:szCs w:val="24"/>
              </w:rPr>
              <w:t>尺度η</w:t>
            </w:r>
          </w:p>
        </w:tc>
        <w:tc>
          <w:tcPr>
            <w:tcW w:type="dxa" w:w="2076"/>
            <w:vAlign w:val="center"/>
          </w:tcPr>
          <w:p>
            <w:pPr>
              <w:keepNext/>
              <w:snapToGrid w:val="0"/>
              <w:spacing w:before="40" w:after="40" w:line="240" w:lineRule="auto"/>
              <w:ind w:firstLine="0"/>
              <w:jc w:val="center"/>
            </w:pPr>
            <w:r>
              <w:rPr>
                <w:rFonts w:eastAsia="仿宋_GB2312"/>
                <w:b/>
                <w:sz w:val="21"/>
                <w:szCs w:val="24"/>
              </w:rPr>
              <w:t>位置γ</w:t>
            </w:r>
          </w:p>
        </w:tc>
      </w:tr>
      <w:tr>
        <w:trPr>
          <w:cantSplit/>
        </w:trPr>
        <w:tc>
          <w:tcPr>
            <w:tcW w:type="dxa" w:w="2076"/>
            <w:vAlign w:val="center"/>
          </w:tcPr>
          <w:p>
            <w:pPr>
              <w:keepNext/>
              <w:snapToGrid w:val="0"/>
              <w:spacing w:before="40" w:after="40" w:line="240" w:lineRule="auto"/>
              <w:ind w:firstLine="0"/>
              <w:jc w:val="center"/>
            </w:pPr>
            <w:r>
              <w:rPr>
                <w:rFonts w:eastAsia="仿宋_GB2312"/>
                <w:b w:val="0"/>
                <w:sz w:val="21"/>
                <w:szCs w:val="24"/>
              </w:rPr>
              <w:t>真值</w:t>
            </w:r>
          </w:p>
        </w:tc>
        <w:tc>
          <w:tcPr>
            <w:tcW w:type="dxa" w:w="2076"/>
            <w:vAlign w:val="center"/>
          </w:tcPr>
          <w:p>
            <w:pPr>
              <w:keepNext/>
              <w:snapToGrid w:val="0"/>
              <w:spacing w:before="40" w:after="40" w:line="240" w:lineRule="auto"/>
              <w:ind w:firstLine="0"/>
              <w:jc w:val="center"/>
            </w:pPr>
            <w:r>
              <w:rPr>
                <w:rFonts w:eastAsia="仿宋_GB2312"/>
                <w:b w:val="0"/>
                <w:sz w:val="21"/>
                <w:szCs w:val="24"/>
              </w:rPr>
              <w:t>2</w:t>
            </w:r>
          </w:p>
        </w:tc>
        <w:tc>
          <w:tcPr>
            <w:tcW w:type="dxa" w:w="2076"/>
            <w:vAlign w:val="center"/>
          </w:tcPr>
          <w:p>
            <w:pPr>
              <w:keepNext/>
              <w:snapToGrid w:val="0"/>
              <w:spacing w:before="40" w:after="40" w:line="240" w:lineRule="auto"/>
              <w:ind w:firstLine="0"/>
              <w:jc w:val="center"/>
            </w:pPr>
            <w:r>
              <w:rPr>
                <w:rFonts w:eastAsia="仿宋_GB2312"/>
                <w:b w:val="0"/>
                <w:sz w:val="21"/>
                <w:szCs w:val="24"/>
              </w:rPr>
              <w:t>100</w:t>
            </w:r>
          </w:p>
        </w:tc>
        <w:tc>
          <w:tcPr>
            <w:tcW w:type="dxa" w:w="2076"/>
            <w:vAlign w:val="center"/>
          </w:tcPr>
          <w:p>
            <w:pPr>
              <w:keepNext/>
              <w:snapToGrid w:val="0"/>
              <w:spacing w:before="40" w:after="40" w:line="240" w:lineRule="auto"/>
              <w:ind w:firstLine="0"/>
              <w:jc w:val="center"/>
            </w:pPr>
            <w:r>
              <w:rPr>
                <w:rFonts w:eastAsia="仿宋_GB2312"/>
                <w:b w:val="0"/>
                <w:sz w:val="21"/>
                <w:szCs w:val="24"/>
              </w:rPr>
              <w:t>500</w:t>
            </w:r>
          </w:p>
        </w:tc>
      </w:tr>
      <w:tr>
        <w:trPr>
          <w:cantSplit/>
        </w:trPr>
        <w:tc>
          <w:tcPr>
            <w:tcW w:type="dxa" w:w="2076"/>
            <w:vAlign w:val="center"/>
          </w:tcPr>
          <w:p>
            <w:pPr>
              <w:keepNext/>
              <w:snapToGrid w:val="0"/>
              <w:spacing w:before="40" w:after="40" w:line="240" w:lineRule="auto"/>
              <w:ind w:firstLine="0"/>
              <w:jc w:val="center"/>
            </w:pPr>
            <w:r>
              <w:rPr>
                <w:rFonts w:eastAsia="仿宋_GB2312"/>
                <w:b w:val="0"/>
                <w:sz w:val="21"/>
                <w:szCs w:val="24"/>
              </w:rPr>
              <w:t>LSE</w:t>
            </w:r>
          </w:p>
        </w:tc>
        <w:tc>
          <w:tcPr>
            <w:tcW w:type="dxa" w:w="2076"/>
            <w:vAlign w:val="center"/>
          </w:tcPr>
          <w:p>
            <w:pPr>
              <w:keepNext/>
              <w:snapToGrid w:val="0"/>
              <w:spacing w:before="40" w:after="40" w:line="240" w:lineRule="auto"/>
              <w:ind w:firstLine="0"/>
              <w:jc w:val="center"/>
            </w:pPr>
            <w:r>
              <w:rPr>
                <w:rFonts w:eastAsia="仿宋_GB2312"/>
                <w:b/>
                <w:sz w:val="21"/>
                <w:szCs w:val="24"/>
              </w:rPr>
              <w:t>21.70</w:t>
            </w:r>
          </w:p>
        </w:tc>
        <w:tc>
          <w:tcPr>
            <w:tcW w:type="dxa" w:w="2076"/>
            <w:vAlign w:val="center"/>
          </w:tcPr>
          <w:p>
            <w:pPr>
              <w:keepNext/>
              <w:snapToGrid w:val="0"/>
              <w:spacing w:before="40" w:after="40" w:line="240" w:lineRule="auto"/>
              <w:ind w:firstLine="0"/>
              <w:jc w:val="center"/>
            </w:pPr>
            <w:r>
              <w:rPr>
                <w:rFonts w:eastAsia="仿宋_GB2312"/>
                <w:b/>
                <w:sz w:val="21"/>
                <w:szCs w:val="24"/>
              </w:rPr>
              <w:t>609.36</w:t>
            </w:r>
          </w:p>
        </w:tc>
        <w:tc>
          <w:tcPr>
            <w:tcW w:type="dxa" w:w="2076"/>
            <w:vAlign w:val="center"/>
          </w:tcPr>
          <w:p>
            <w:pPr>
              <w:keepNext/>
              <w:snapToGrid w:val="0"/>
              <w:spacing w:before="40" w:after="40" w:line="240" w:lineRule="auto"/>
              <w:ind w:firstLine="0"/>
              <w:jc w:val="center"/>
            </w:pPr>
            <w:r>
              <w:rPr>
                <w:rFonts w:eastAsia="仿宋_GB2312"/>
                <w:b/>
                <w:sz w:val="21"/>
                <w:szCs w:val="24"/>
              </w:rPr>
              <w:t>0</w:t>
            </w:r>
          </w:p>
        </w:tc>
      </w:tr>
      <w:tr>
        <w:trPr>
          <w:cantSplit/>
        </w:trPr>
        <w:tc>
          <w:tcPr>
            <w:tcW w:type="dxa" w:w="2076"/>
            <w:vAlign w:val="center"/>
          </w:tcPr>
          <w:p>
            <w:pPr>
              <w:keepNext/>
              <w:snapToGrid w:val="0"/>
              <w:spacing w:before="40" w:after="40" w:line="240" w:lineRule="auto"/>
              <w:ind w:firstLine="0"/>
              <w:jc w:val="center"/>
            </w:pPr>
            <w:r>
              <w:rPr>
                <w:rFonts w:eastAsia="仿宋_GB2312"/>
                <w:b w:val="0"/>
                <w:sz w:val="21"/>
                <w:szCs w:val="24"/>
              </w:rPr>
              <w:t>LRE</w:t>
            </w:r>
          </w:p>
        </w:tc>
        <w:tc>
          <w:tcPr>
            <w:tcW w:type="dxa" w:w="2076"/>
            <w:vAlign w:val="center"/>
          </w:tcPr>
          <w:p>
            <w:pPr>
              <w:keepNext/>
              <w:snapToGrid w:val="0"/>
              <w:spacing w:before="40" w:after="40" w:line="240" w:lineRule="auto"/>
              <w:ind w:firstLine="0"/>
              <w:jc w:val="center"/>
            </w:pPr>
            <w:r>
              <w:rPr>
                <w:rFonts w:eastAsia="仿宋_GB2312"/>
                <w:b/>
                <w:sz w:val="21"/>
                <w:szCs w:val="24"/>
              </w:rPr>
              <w:t>18.80</w:t>
            </w:r>
          </w:p>
        </w:tc>
        <w:tc>
          <w:tcPr>
            <w:tcW w:type="dxa" w:w="2076"/>
            <w:vAlign w:val="center"/>
          </w:tcPr>
          <w:p>
            <w:pPr>
              <w:keepNext/>
              <w:snapToGrid w:val="0"/>
              <w:spacing w:before="40" w:after="40" w:line="240" w:lineRule="auto"/>
              <w:ind w:firstLine="0"/>
              <w:jc w:val="center"/>
            </w:pPr>
            <w:r>
              <w:rPr>
                <w:rFonts w:eastAsia="仿宋_GB2312"/>
                <w:b/>
                <w:sz w:val="21"/>
                <w:szCs w:val="24"/>
              </w:rPr>
              <w:t>522.81</w:t>
            </w:r>
          </w:p>
        </w:tc>
        <w:tc>
          <w:tcPr>
            <w:tcW w:type="dxa" w:w="2076"/>
            <w:vAlign w:val="center"/>
          </w:tcPr>
          <w:p>
            <w:pPr>
              <w:keepNext/>
              <w:snapToGrid w:val="0"/>
              <w:spacing w:before="40" w:after="40" w:line="240" w:lineRule="auto"/>
              <w:ind w:firstLine="0"/>
              <w:jc w:val="center"/>
            </w:pPr>
            <w:r>
              <w:rPr>
                <w:rFonts w:eastAsia="仿宋_GB2312"/>
                <w:b/>
                <w:sz w:val="21"/>
                <w:szCs w:val="24"/>
              </w:rPr>
              <w:t>85.73</w:t>
            </w:r>
          </w:p>
        </w:tc>
      </w:tr>
      <w:tr>
        <w:trPr>
          <w:cantSplit/>
        </w:trPr>
        <w:tc>
          <w:tcPr>
            <w:tcW w:type="dxa" w:w="2076"/>
            <w:vAlign w:val="center"/>
          </w:tcPr>
          <w:p>
            <w:pPr>
              <w:keepNext w:val="0"/>
              <w:snapToGrid w:val="0"/>
              <w:spacing w:before="40" w:after="40" w:line="240" w:lineRule="auto"/>
              <w:ind w:firstLine="0"/>
              <w:jc w:val="center"/>
            </w:pPr>
            <w:r>
              <w:rPr>
                <w:rFonts w:eastAsia="仿宋_GB2312"/>
                <w:b w:val="0"/>
                <w:sz w:val="21"/>
                <w:szCs w:val="24"/>
              </w:rPr>
              <w:t>MLE</w:t>
            </w:r>
          </w:p>
        </w:tc>
        <w:tc>
          <w:tcPr>
            <w:tcW w:type="dxa" w:w="2076"/>
            <w:vAlign w:val="center"/>
          </w:tcPr>
          <w:p>
            <w:pPr>
              <w:keepNext w:val="0"/>
              <w:snapToGrid w:val="0"/>
              <w:spacing w:before="40" w:after="40" w:line="240" w:lineRule="auto"/>
              <w:ind w:firstLine="0"/>
              <w:jc w:val="center"/>
            </w:pPr>
            <w:r>
              <w:rPr>
                <w:rFonts w:eastAsia="仿宋_GB2312"/>
                <w:b/>
                <w:sz w:val="21"/>
                <w:szCs w:val="24"/>
              </w:rPr>
              <w:t>23.54</w:t>
            </w:r>
          </w:p>
        </w:tc>
        <w:tc>
          <w:tcPr>
            <w:tcW w:type="dxa" w:w="2076"/>
            <w:vAlign w:val="center"/>
          </w:tcPr>
          <w:p>
            <w:pPr>
              <w:keepNext w:val="0"/>
              <w:snapToGrid w:val="0"/>
              <w:spacing w:before="40" w:after="40" w:line="240" w:lineRule="auto"/>
              <w:ind w:firstLine="0"/>
              <w:jc w:val="center"/>
            </w:pPr>
            <w:r>
              <w:rPr>
                <w:rFonts w:eastAsia="仿宋_GB2312"/>
                <w:b/>
                <w:sz w:val="21"/>
                <w:szCs w:val="24"/>
              </w:rPr>
              <w:t>608.35</w:t>
            </w:r>
          </w:p>
        </w:tc>
        <w:tc>
          <w:tcPr>
            <w:tcW w:type="dxa" w:w="2076"/>
            <w:vAlign w:val="center"/>
          </w:tcPr>
          <w:p>
            <w:pPr>
              <w:keepNext w:val="0"/>
              <w:snapToGrid w:val="0"/>
              <w:spacing w:before="40" w:after="40" w:line="240" w:lineRule="auto"/>
              <w:ind w:firstLine="0"/>
              <w:jc w:val="center"/>
            </w:pPr>
            <w:r>
              <w:rPr>
                <w:rFonts w:eastAsia="仿宋_GB2312"/>
                <w:b/>
                <w:sz w:val="21"/>
                <w:szCs w:val="24"/>
              </w:rPr>
              <w:t>0</w:t>
            </w:r>
          </w:p>
        </w:tc>
      </w:tr>
    </w:tbl>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本报告将形状估计值达到真值的3倍，或不超过真值1/3的结果称为明显异常估计：</w:t>
      </w:r>
    </w:p>
    <w:p>
      <w:pPr>
        <w:pStyle w:val="MTDisplayEquation"/>
        <w:keepNext w:val="0"/>
        <w:keepLines/>
        <w:spacing w:line="240" w:lineRule="auto" w:before="100" w:after="140"/>
        <w:tabs>
          <w:tab w:val="clear" w:pos="7140"/>
          <w:tab w:val="center" w:pos="4153"/>
          <w:tab w:val="right" w:pos="8306"/>
        </w:tabs>
      </w:pPr>
      <w:r>
        <w:tab/>
        <w:object w:dxaOrig="2196" w:dyaOrig="501" w14:anchorId="7C349B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1" type="#_x0000_t75" style="width:109.789pt;height:25.068pt" o:ole="">
            <v:imagedata r:id="rIdReport2Math1_media" o:title=""/>
          </v:shape>
          <o:OLEObject Type="Embed" ProgID="Equation.DSMT4" ShapeID="_x0000_i2001" DrawAspect="Content" ObjectID="_2000000001" r:id="rIdReport2Math1_embeddings"/>
        </w:object>
        <w:tab/>
        <w:t>(1)</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式（1）中，β为形状真值，β̂为估计值；图1按此判据统计异常频率。</w:t>
      </w:r>
    </w:p>
    <w:p>
      <w:pPr>
        <w:keepNext/>
        <w:keepLines/>
        <w:spacing w:line="240" w:lineRule="auto" w:before="120" w:after="60"/>
        <w:ind w:firstLine="0"/>
        <w:jc w:val="center"/>
      </w:pPr>
      <w:r>
        <w:drawing>
          <wp:inline xmlns:a="http://schemas.openxmlformats.org/drawingml/2006/main" xmlns:pic="http://schemas.openxmlformats.org/drawingml/2006/picture">
            <wp:extent cx="5274310" cy="4315345"/>
            <wp:docPr id="1" name="Picture 1"/>
            <wp:cNvGraphicFramePr>
              <a:graphicFrameLocks noChangeAspect="1"/>
            </wp:cNvGraphicFramePr>
            <a:graphic>
              <a:graphicData uri="http://schemas.openxmlformats.org/drawingml/2006/picture">
                <pic:pic>
                  <pic:nvPicPr>
                    <pic:cNvPr id="0" name="图1_明显异常估计频率.png"/>
                    <pic:cNvPicPr/>
                  </pic:nvPicPr>
                  <pic:blipFill>
                    <a:blip r:embed="rId9"/>
                    <a:stretch>
                      <a:fillRect/>
                    </a:stretch>
                  </pic:blipFill>
                  <pic:spPr>
                    <a:xfrm>
                      <a:off x="0" y="0"/>
                      <a:ext cx="5274310" cy="4315345"/>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图1｜明显异常估计的发生频率随参数条件、样本量和方法而异。</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明显异常总体在大形状、小样本下更常见，增大样本量后减轻。LSE、LRE出现较多，MDM、WMLE和MMLE相对较少。</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本报告对照正常与异常样本，沿各方法的估计流程分析偏差形成的环节，以解释明显异常估计怎样产生，以及某些参数条件和方法为何更容易出现。</w:t>
      </w:r>
    </w:p>
    <w:p>
      <w:pPr>
        <w:pStyle w:val="1"/>
        <w:keepNext/>
        <w:pageBreakBefore/>
        <w:jc w:val="left"/>
        <w:rPr>
          <w:sz w:val="30"/>
          <w:szCs w:val="30"/>
        </w:rPr>
      </w:pPr>
      <w:r>
        <w:rPr>
          <w:rFonts w:hint="eastAsia"/>
          <w:sz w:val="30"/>
          <w:szCs w:val="30"/>
        </w:rPr>
        <w:t>2　明显异常估计的形成过程</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2.1节追踪典型异常在哪个估计环节形成；2.2节归纳这些个案背后的共同样本特征；2.3节比较不同方法怎样将这些特征转化为不同的参数响应。</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本报告将明显异常区分为两类：一类是在当前方法准则下确实存在的偏离真值的优选参数组合；另一类由搜索、停止或候选接受环节造成。</w:t>
      </w:r>
    </w:p>
    <w:p>
      <w:pPr>
        <w:pStyle w:val="2"/>
        <w:keepNext/>
        <w:rPr>
          <w:rFonts w:ascii="宋体" w:eastAsia="宋体" w:hAnsi="宋体"/>
          <w:b w:val="0"/>
          <w:sz w:val="28"/>
          <w:szCs w:val="28"/>
        </w:rPr>
      </w:pPr>
      <w:r>
        <w:rPr>
          <w:rFonts w:ascii="宋体" w:eastAsia="宋体" w:hAnsi="宋体"/>
          <w:b w:val="0"/>
          <w:sz w:val="28"/>
          <w:szCs w:val="28"/>
        </w:rPr>
        <w:t>2.1　各方法的典型形成过程</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组图上排为正常样本，下排为异常样本，星号标记原估计。γ₀、η₀为位置、尺度真值，部分坐标以γ/γ₀、(x₍ᵢ₎−γ̂)/η₀表示位置和样本距离。热力图空白格表示0次。</w:t>
      </w:r>
    </w:p>
    <w:p>
      <w:pPr>
        <w:pStyle w:val="3"/>
        <w:keepNext/>
        <w:jc w:val="left"/>
        <w:rPr>
          <w:rFonts w:ascii="宋体" w:eastAsia="宋体" w:hAnsi="宋体"/>
          <w:b w:val="0"/>
          <w:sz w:val="28"/>
          <w:szCs w:val="28"/>
        </w:rPr>
      </w:pPr>
      <w:r>
        <w:rPr>
          <w:rFonts w:ascii="宋体" w:eastAsia="宋体" w:hAnsi="宋体"/>
          <w:b/>
          <w:sz w:val="24"/>
          <w:szCs w:val="28"/>
        </w:rPr>
        <w:t>2.1.1　MDM</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MDM让同一组样本反算的尺度尽量一致：在每个候选γ下找标准差最小的形状，再用这一最小标准差的梯度确定位置，最后取伪尺度均值作为尺度估计。</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排序观测的累计概率先由秩估计得到：</w:t>
      </w:r>
    </w:p>
    <w:p>
      <w:pPr>
        <w:pStyle w:val="MTDisplayEquation"/>
        <w:keepNext w:val="0"/>
        <w:keepLines/>
        <w:spacing w:line="240" w:lineRule="auto" w:before="100" w:after="140"/>
        <w:tabs>
          <w:tab w:val="clear" w:pos="7140"/>
          <w:tab w:val="center" w:pos="4153"/>
          <w:tab w:val="right" w:pos="8306"/>
        </w:tabs>
      </w:pPr>
      <w:r>
        <w:tab/>
        <w:object w:dxaOrig="6103" w:dyaOrig="576" w14:anchorId="4AD873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2" type="#_x0000_t75" style="width:305.135pt;height:28.806pt" o:ole="">
            <v:imagedata r:id="rIdReport2Math2_media" o:title=""/>
          </v:shape>
          <o:OLEObject Type="Embed" ProgID="Equation.DSMT4" ShapeID="_x0000_i2002" DrawAspect="Content" ObjectID="_2000000002" r:id="rIdReport2Math2_embeddings"/>
        </w:object>
        <w:tab/>
        <w:t>(2)</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t₍ᵢ₎为第i个排序观测，F̂(t₍ᵢ₎)为累计概率估计，</w:t>
      </w:r>
      <w:r>
        <w:object w:dxaOrig="1435" w:dyaOrig="248" w14:anchorId="737C2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3" type="#_x0000_t75" style="width:71.760pt;height:12.402pt" o:ole="">
            <v:imagedata r:id="rIdReport2Math3_media" o:title=""/>
          </v:shape>
          <o:OLEObject Type="Embed" ProgID="Equation.DSMT4" ShapeID="_x0000_i2003" DrawAspect="Content" ObjectID="_2000000003" r:id="rIdReport2Math3_embeddings"/>
        </w:object>
      </w:r>
      <w:r>
        <w:rPr>
          <w:rFonts w:eastAsia="仿宋_GB2312"/>
          <w:b w:val="0"/>
          <w:sz w:val="24"/>
          <w:szCs w:val="24"/>
        </w:rPr>
        <w:t>为相应自由度的F分布中位数。式（2）使用精确中位秩，本批程序及过程图采用Bernard近似</w:t>
      </w:r>
      <w:r>
        <w:object w:dxaOrig="2904" w:dyaOrig="336" w14:anchorId="27B8E3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4" type="#_x0000_t75" style="width:145.206pt;height:16.818pt" o:ole="">
            <v:imagedata r:id="rIdReport2Math4_media" o:title=""/>
          </v:shape>
          <o:OLEObject Type="Embed" ProgID="Equation.DSMT4" ShapeID="_x0000_i2004" DrawAspect="Content" ObjectID="_2000000004" r:id="rIdReport2Math4_embeddings"/>
        </w:object>
      </w:r>
      <w:r>
        <w:rPr>
          <w:rFonts w:eastAsia="仿宋_GB2312"/>
          <w:b w:val="0"/>
          <w:sz w:val="24"/>
          <w:szCs w:val="24"/>
        </w:rPr>
        <w:t>。</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给定γ和β，将式（2）的累计概率代入尺度反算关系，每个观测的尺度伪估计量为：</w:t>
      </w:r>
    </w:p>
    <w:p>
      <w:pPr>
        <w:pStyle w:val="MTDisplayEquation"/>
        <w:keepNext w:val="0"/>
        <w:keepLines/>
        <w:spacing w:line="240" w:lineRule="auto" w:before="100" w:after="140"/>
        <w:tabs>
          <w:tab w:val="clear" w:pos="7140"/>
          <w:tab w:val="center" w:pos="4153"/>
          <w:tab w:val="right" w:pos="8306"/>
        </w:tabs>
      </w:pPr>
      <w:r>
        <w:tab/>
        <w:object w:dxaOrig="4815" w:dyaOrig="672" w14:anchorId="488D1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5" type="#_x0000_t75" style="width:240.743pt;height:33.612pt" o:ole="">
            <v:imagedata r:id="rIdReport2Math5_media" o:title=""/>
          </v:shape>
          <o:OLEObject Type="Embed" ProgID="Equation.DSMT4" ShapeID="_x0000_i2005" DrawAspect="Content" ObjectID="_2000000005" r:id="rIdReport2Math5_embeddings"/>
        </w:object>
        <w:tab/>
        <w:t>(3)</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式（3）的η̂ᵢ为第i个观测反算的伪尺度，ση(γ,β)为这n个伪尺度的标准差。原文从最小观测逐步递减候选位置γⱼ，对每个位置尝试候选形状βₖ；j、k为候选编号。将这个过程写成关于γ的条件最小化：</w:t>
      </w:r>
    </w:p>
    <w:p>
      <w:pPr>
        <w:pStyle w:val="MTDisplayEquation"/>
        <w:keepNext w:val="0"/>
        <w:keepLines/>
        <w:spacing w:line="240" w:lineRule="auto" w:before="100" w:after="140"/>
        <w:tabs>
          <w:tab w:val="clear" w:pos="7140"/>
          <w:tab w:val="center" w:pos="4153"/>
          <w:tab w:val="right" w:pos="8306"/>
        </w:tabs>
      </w:pPr>
      <w:r>
        <w:tab/>
        <w:object w:dxaOrig="2632" w:dyaOrig="872" w14:anchorId="563DB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6" type="#_x0000_t75" style="width:131.608pt;height:43.613pt" o:ole="">
            <v:imagedata r:id="rIdReport2Math6_media" o:title=""/>
          </v:shape>
          <o:OLEObject Type="Embed" ProgID="Equation.DSMT4" ShapeID="_x0000_i2006" DrawAspect="Content" ObjectID="_2000000006" r:id="rIdReport2Math6_embeddings"/>
        </w:object>
        <w:tab/>
        <w:t>(4)</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本批形状搜索上限为15；当真形状为5时，高估界限同为15。式（4）的最小化在候选形状范围内进行，ση,min(γ)为该位置的最小标准差，β̂(γ)为达到最低点的形状。比较式（4）在相邻位置的最小标准差，得到差分梯度：</w:t>
      </w:r>
    </w:p>
    <w:p>
      <w:pPr>
        <w:pStyle w:val="MTDisplayEquation"/>
        <w:keepNext w:val="0"/>
        <w:keepLines/>
        <w:spacing w:line="240" w:lineRule="auto" w:before="100" w:after="140"/>
        <w:tabs>
          <w:tab w:val="clear" w:pos="7140"/>
          <w:tab w:val="center" w:pos="4153"/>
          <w:tab w:val="right" w:pos="8306"/>
        </w:tabs>
      </w:pPr>
      <w:r>
        <w:tab/>
        <w:object w:dxaOrig="3516" w:dyaOrig="580" w14:anchorId="6DA9C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7" type="#_x0000_t75" style="width:175.824pt;height:28.976pt" o:ole="">
            <v:imagedata r:id="rIdReport2Math7_media" o:title=""/>
          </v:shape>
          <o:OLEObject Type="Embed" ProgID="Equation.DSMT4" ShapeID="_x0000_i2007" DrawAspect="Content" ObjectID="_2000000007" r:id="rIdReport2Math7_embeddings"/>
        </w:object>
        <w:tab/>
        <w:t>(5)</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∇γ为条件最小标准差对γ的梯度，Δγ为位置增量。MDM用正偏移值δ代替零梯度判据，本节取δ=0.20；式（5）的梯度达到δ时确定γ̂，再按式（4）取该位置下标准差最低点的形状为β̂。</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确定γ̂和β̂后，尺度取伪尺度的平均值：</w:t>
      </w:r>
    </w:p>
    <w:p>
      <w:pPr>
        <w:pStyle w:val="MTDisplayEquation"/>
        <w:keepNext w:val="0"/>
        <w:keepLines/>
        <w:spacing w:line="240" w:lineRule="auto" w:before="100" w:after="140"/>
        <w:tabs>
          <w:tab w:val="clear" w:pos="7140"/>
          <w:tab w:val="center" w:pos="4153"/>
          <w:tab w:val="right" w:pos="8306"/>
        </w:tabs>
      </w:pPr>
      <w:r>
        <w:tab/>
        <w:object w:dxaOrig="3759" w:dyaOrig="747" w14:anchorId="1AEBB0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8" type="#_x0000_t75" style="width:187.940pt;height:37.328pt" o:ole="">
            <v:imagedata r:id="rIdReport2Math8_media" o:title=""/>
          </v:shape>
          <o:OLEObject Type="Embed" ProgID="Equation.DSMT4" ShapeID="_x0000_i2008" DrawAspect="Content" ObjectID="_2000000008" r:id="rIdReport2Math8_embeddings"/>
        </w:object>
        <w:tab/>
        <w:t>(6)</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式（6）中F(t₍ᵢ₎)采用式（2）后的Bernard近似。对每个γ按式（4）求条件形状β̂(γ)，再按式（6）取伪尺度均值，得到条件尺度曲线：</w:t>
      </w:r>
    </w:p>
    <w:p>
      <w:pPr>
        <w:pStyle w:val="MTDisplayEquation"/>
        <w:keepNext w:val="0"/>
        <w:keepLines/>
        <w:spacing w:line="240" w:lineRule="auto" w:before="100" w:after="140"/>
        <w:tabs>
          <w:tab w:val="clear" w:pos="7140"/>
          <w:tab w:val="center" w:pos="4153"/>
          <w:tab w:val="right" w:pos="8306"/>
        </w:tabs>
      </w:pPr>
      <w:r>
        <w:tab/>
        <w:object w:dxaOrig="3939" w:dyaOrig="702" w14:anchorId="243FA5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9" type="#_x0000_t75" style="width:196.938pt;height:35.088pt" o:ole="">
            <v:imagedata r:id="rIdReport2Math9_media" o:title=""/>
          </v:shape>
          <o:OLEObject Type="Embed" ProgID="Equation.DSMT4" ShapeID="_x0000_i2009" DrawAspect="Content" ObjectID="_2000000009" r:id="rIdReport2Math9_embeddings"/>
        </w:object>
        <w:tab/>
        <w:t>(7)</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图3、4分别按式（5）、（4）、（7）展示梯度定位、所选位置下的形状选择和条件尺度。明显异常分为阈值交点低估和程序回退高估。</w:t>
      </w:r>
    </w:p>
    <w:p>
      <w:pPr>
        <w:keepNext/>
        <w:keepLines/>
        <w:spacing w:line="240" w:lineRule="auto" w:before="120" w:after="60"/>
        <w:ind w:firstLine="0"/>
        <w:jc w:val="center"/>
      </w:pPr>
      <w:r>
        <w:drawing>
          <wp:inline xmlns:a="http://schemas.openxmlformats.org/drawingml/2006/main" xmlns:pic="http://schemas.openxmlformats.org/drawingml/2006/picture">
            <wp:extent cx="5274310" cy="2950038"/>
            <wp:docPr id="2" name="Picture 2"/>
            <wp:cNvGraphicFramePr>
              <a:graphicFrameLocks noChangeAspect="1"/>
            </wp:cNvGraphicFramePr>
            <a:graphic>
              <a:graphicData uri="http://schemas.openxmlformats.org/drawingml/2006/picture">
                <pic:pic>
                  <pic:nvPicPr>
                    <pic:cNvPr id="0" name="异常分类_MDM_三子图.png"/>
                    <pic:cNvPicPr/>
                  </pic:nvPicPr>
                  <pic:blipFill>
                    <a:blip r:embed="rId10"/>
                    <a:stretch>
                      <a:fillRect/>
                    </a:stretch>
                  </pic:blipFill>
                  <pic:spPr>
                    <a:xfrm>
                      <a:off x="0" y="0"/>
                      <a:ext cx="5274310" cy="2950038"/>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图2｜MDM（δ=0.20）各类明显异常估计的发生次数。</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（1）阈值交点的低估。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W(2,1000,3000)、n=7的正常与异常样本如下：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正常·第47组</w:t>
            </w:r>
          </w:p>
        </w:tc>
        <w:tc>
          <w:tcPr>
            <w:tcW w:type="dxa" w:w="900"/>
            <w:vAlign w:val="center"/>
          </w:tcPr>
          <w:p>
            <w:pPr>
              <w:keepNext/>
              <w:snapToGrid w:val="0"/>
              <w:spacing w:before="40" w:after="40" w:line="240" w:lineRule="auto"/>
              <w:ind w:firstLine="0"/>
              <w:jc w:val="center"/>
            </w:pPr>
            <w:r>
              <w:rPr>
                <w:rFonts w:eastAsia="仿宋_GB2312"/>
                <w:b w:val="0"/>
                <w:sz w:val="21"/>
                <w:szCs w:val="24"/>
              </w:rPr>
              <w:t>2.09</w:t>
            </w:r>
          </w:p>
        </w:tc>
        <w:tc>
          <w:tcPr>
            <w:tcW w:type="dxa" w:w="1200"/>
            <w:vAlign w:val="center"/>
          </w:tcPr>
          <w:p>
            <w:pPr>
              <w:keepNext/>
              <w:snapToGrid w:val="0"/>
              <w:spacing w:before="40" w:after="40" w:line="240" w:lineRule="auto"/>
              <w:ind w:firstLine="0"/>
              <w:jc w:val="center"/>
            </w:pPr>
            <w:r>
              <w:rPr>
                <w:rFonts w:eastAsia="仿宋_GB2312"/>
                <w:b w:val="0"/>
                <w:sz w:val="21"/>
                <w:szCs w:val="24"/>
              </w:rPr>
              <w:t>1024.48</w:t>
            </w:r>
          </w:p>
        </w:tc>
        <w:tc>
          <w:tcPr>
            <w:tcW w:type="dxa" w:w="1200"/>
            <w:vAlign w:val="center"/>
          </w:tcPr>
          <w:p>
            <w:pPr>
              <w:keepNext/>
              <w:snapToGrid w:val="0"/>
              <w:spacing w:before="40" w:after="40" w:line="240" w:lineRule="auto"/>
              <w:ind w:firstLine="0"/>
              <w:jc w:val="center"/>
            </w:pPr>
            <w:r>
              <w:rPr>
                <w:rFonts w:eastAsia="仿宋_GB2312"/>
                <w:b w:val="0"/>
                <w:sz w:val="21"/>
                <w:szCs w:val="24"/>
              </w:rPr>
              <w:t>3088.73</w:t>
            </w:r>
          </w:p>
        </w:tc>
        <w:tc>
          <w:tcPr>
            <w:tcW w:type="dxa" w:w="3606"/>
            <w:vAlign w:val="center"/>
          </w:tcPr>
          <w:p>
            <w:pPr>
              <w:keepNext/>
              <w:snapToGrid w:val="0"/>
              <w:spacing w:before="40" w:after="40" w:line="240" w:lineRule="auto"/>
              <w:ind w:firstLine="0"/>
              <w:jc w:val="left"/>
            </w:pPr>
            <w:r>
              <w:rPr>
                <w:rFonts w:eastAsia="仿宋_GB2312"/>
                <w:b w:val="0"/>
                <w:sz w:val="21"/>
                <w:szCs w:val="24"/>
              </w:rPr>
              <w:t>3383.42，3628.37，3855.72，4074.24，4208.83，4276.07，4388.99</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异常·第35组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0.55</w:t>
            </w:r>
          </w:p>
        </w:tc>
        <w:tc>
          <w:tcPr>
            <w:tcW w:type="dxa" w:w="1200"/>
            <w:vAlign w:val="center"/>
          </w:tcPr>
          <w:p>
            <w:pPr>
              <w:keepNext w:val="0"/>
              <w:snapToGrid w:val="0"/>
              <w:spacing w:before="40" w:after="40" w:line="240" w:lineRule="auto"/>
              <w:ind w:firstLine="0"/>
              <w:jc w:val="center"/>
            </w:pPr>
            <w:r>
              <w:rPr>
                <w:rFonts w:eastAsia="仿宋_GB2312"/>
                <w:b w:val="0"/>
                <w:sz w:val="21"/>
                <w:szCs w:val="24"/>
              </w:rPr>
              <w:t>260.62</w:t>
            </w:r>
          </w:p>
        </w:tc>
        <w:tc>
          <w:tcPr>
            <w:tcW w:type="dxa" w:w="1200"/>
            <w:vAlign w:val="center"/>
          </w:tcPr>
          <w:p>
            <w:pPr>
              <w:keepNext w:val="0"/>
              <w:snapToGrid w:val="0"/>
              <w:spacing w:before="40" w:after="40" w:line="240" w:lineRule="auto"/>
              <w:ind w:firstLine="0"/>
              <w:jc w:val="center"/>
            </w:pPr>
            <w:r>
              <w:rPr>
                <w:rFonts w:eastAsia="仿宋_GB2312"/>
                <w:b w:val="0"/>
                <w:sz w:val="21"/>
                <w:szCs w:val="24"/>
              </w:rPr>
              <w:t>3211.67</w:t>
            </w:r>
          </w:p>
        </w:tc>
        <w:tc>
          <w:tcPr>
            <w:tcW w:type="dxa" w:w="3606"/>
            <w:vAlign w:val="center"/>
          </w:tcPr>
          <w:p>
            <w:pPr>
              <w:keepNext w:val="0"/>
              <w:snapToGrid w:val="0"/>
              <w:spacing w:before="40" w:after="40" w:line="240" w:lineRule="auto"/>
              <w:ind w:firstLine="0"/>
              <w:jc w:val="left"/>
            </w:pPr>
            <w:r>
              <w:rPr>
                <w:rFonts w:eastAsia="仿宋_GB2312"/>
                <w:b w:val="0"/>
                <w:sz w:val="21"/>
                <w:szCs w:val="24"/>
              </w:rPr>
              <w:t>3215.58，3239.54，3271.70，3274.68，3591.22，3601.65，4698.54</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图3对照式（5）的阈值交点及式（4）、（7）对应的形状和尺度。</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3" name="Picture 3"/>
            <wp:cNvGraphicFramePr>
              <a:graphicFrameLocks noChangeAspect="1"/>
            </wp:cNvGraphicFramePr>
            <a:graphic>
              <a:graphicData uri="http://schemas.openxmlformats.org/drawingml/2006/picture">
                <pic:pic>
                  <pic:nvPicPr>
                    <pic:cNvPr id="0" name="配对情形_MDM_low.png"/>
                    <pic:cNvPicPr/>
                  </pic:nvPicPr>
                  <pic:blipFill>
                    <a:blip r:embed="rId11"/>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图3｜第35组的阈值交点接近最小观测，随后得到较小形状和尺度。</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第47组在γ=3088.73处达到δ=0.20，交点距最小观测294.69，形状和尺度接近真值。第35组有四个观测集中在样本下端，最大观测明显较远；其梯度在真位置处为−0.225，直到γ=3211.67、距最小观测3.91时才达到δ。</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在这一位置，首个与最大观测距γ分别为3.91和1486.87。减小β会拉开理论分位距离，使这些观测反算的伪尺度更接近。式（4）的标准差最低点因此对应β=0.55，式（7）的伪尺度均值为260.62。与真位置处的条件估计β=1.68、η=606.71相比，靠右的阈值交点进一步压低形状和尺度，形成明显异常估计。</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（2）程序回退造成的高估。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W(2,1000,3000)、n=7的正常与异常样本如下：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正常·第47组</w:t>
            </w:r>
          </w:p>
        </w:tc>
        <w:tc>
          <w:tcPr>
            <w:tcW w:type="dxa" w:w="900"/>
            <w:vAlign w:val="center"/>
          </w:tcPr>
          <w:p>
            <w:pPr>
              <w:keepNext/>
              <w:snapToGrid w:val="0"/>
              <w:spacing w:before="40" w:after="40" w:line="240" w:lineRule="auto"/>
              <w:ind w:firstLine="0"/>
              <w:jc w:val="center"/>
            </w:pPr>
            <w:r>
              <w:rPr>
                <w:rFonts w:eastAsia="仿宋_GB2312"/>
                <w:b w:val="0"/>
                <w:sz w:val="21"/>
                <w:szCs w:val="24"/>
              </w:rPr>
              <w:t>2.09</w:t>
            </w:r>
          </w:p>
        </w:tc>
        <w:tc>
          <w:tcPr>
            <w:tcW w:type="dxa" w:w="1200"/>
            <w:vAlign w:val="center"/>
          </w:tcPr>
          <w:p>
            <w:pPr>
              <w:keepNext/>
              <w:snapToGrid w:val="0"/>
              <w:spacing w:before="40" w:after="40" w:line="240" w:lineRule="auto"/>
              <w:ind w:firstLine="0"/>
              <w:jc w:val="center"/>
            </w:pPr>
            <w:r>
              <w:rPr>
                <w:rFonts w:eastAsia="仿宋_GB2312"/>
                <w:b w:val="0"/>
                <w:sz w:val="21"/>
                <w:szCs w:val="24"/>
              </w:rPr>
              <w:t>1024.48</w:t>
            </w:r>
          </w:p>
        </w:tc>
        <w:tc>
          <w:tcPr>
            <w:tcW w:type="dxa" w:w="1200"/>
            <w:vAlign w:val="center"/>
          </w:tcPr>
          <w:p>
            <w:pPr>
              <w:keepNext/>
              <w:snapToGrid w:val="0"/>
              <w:spacing w:before="40" w:after="40" w:line="240" w:lineRule="auto"/>
              <w:ind w:firstLine="0"/>
              <w:jc w:val="center"/>
            </w:pPr>
            <w:r>
              <w:rPr>
                <w:rFonts w:eastAsia="仿宋_GB2312"/>
                <w:b w:val="0"/>
                <w:sz w:val="21"/>
                <w:szCs w:val="24"/>
              </w:rPr>
              <w:t>3088.73</w:t>
            </w:r>
          </w:p>
        </w:tc>
        <w:tc>
          <w:tcPr>
            <w:tcW w:type="dxa" w:w="3606"/>
            <w:vAlign w:val="center"/>
          </w:tcPr>
          <w:p>
            <w:pPr>
              <w:keepNext/>
              <w:snapToGrid w:val="0"/>
              <w:spacing w:before="40" w:after="40" w:line="240" w:lineRule="auto"/>
              <w:ind w:firstLine="0"/>
              <w:jc w:val="left"/>
            </w:pPr>
            <w:r>
              <w:rPr>
                <w:rFonts w:eastAsia="仿宋_GB2312"/>
                <w:b w:val="0"/>
                <w:sz w:val="21"/>
                <w:szCs w:val="24"/>
              </w:rPr>
              <w:t>3383.42，3628.37，3855.72，4074.24，4208.83，4276.07，4388.99</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异常·第5组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6.43</w:t>
            </w:r>
          </w:p>
        </w:tc>
        <w:tc>
          <w:tcPr>
            <w:tcW w:type="dxa" w:w="1200"/>
            <w:vAlign w:val="center"/>
          </w:tcPr>
          <w:p>
            <w:pPr>
              <w:keepNext w:val="0"/>
              <w:snapToGrid w:val="0"/>
              <w:spacing w:before="40" w:after="40" w:line="240" w:lineRule="auto"/>
              <w:ind w:firstLine="0"/>
              <w:jc w:val="center"/>
            </w:pPr>
            <w:r>
              <w:rPr>
                <w:rFonts w:eastAsia="仿宋_GB2312"/>
                <w:b w:val="0"/>
                <w:sz w:val="21"/>
                <w:szCs w:val="24"/>
              </w:rPr>
              <w:t>568.02</w:t>
            </w:r>
          </w:p>
        </w:tc>
        <w:tc>
          <w:tcPr>
            <w:tcW w:type="dxa" w:w="1200"/>
            <w:vAlign w:val="center"/>
          </w:tcPr>
          <w:p>
            <w:pPr>
              <w:keepNext w:val="0"/>
              <w:snapToGrid w:val="0"/>
              <w:spacing w:before="40" w:after="40" w:line="240" w:lineRule="auto"/>
              <w:ind w:firstLine="0"/>
              <w:jc w:val="center"/>
            </w:pPr>
            <w:r>
              <w:rPr>
                <w:rFonts w:eastAsia="仿宋_GB2312"/>
                <w:b w:val="0"/>
                <w:sz w:val="21"/>
                <w:szCs w:val="24"/>
              </w:rPr>
              <w:t>3301.70</w:t>
            </w:r>
          </w:p>
        </w:tc>
        <w:tc>
          <w:tcPr>
            <w:tcW w:type="dxa" w:w="3606"/>
            <w:vAlign w:val="center"/>
          </w:tcPr>
          <w:p>
            <w:pPr>
              <w:keepNext w:val="0"/>
              <w:snapToGrid w:val="0"/>
              <w:spacing w:before="40" w:after="40" w:line="240" w:lineRule="auto"/>
              <w:ind w:firstLine="0"/>
              <w:jc w:val="left"/>
            </w:pPr>
            <w:r>
              <w:rPr>
                <w:rFonts w:eastAsia="仿宋_GB2312"/>
                <w:b w:val="0"/>
                <w:sz w:val="21"/>
                <w:szCs w:val="24"/>
              </w:rPr>
              <w:t>3301.70，3818.64，3840.65，3938.63，3979.78，4031.52，4091.30</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图4对照式（5）的内部交点与右端回退位置，以及式（4）、（7）对应的形状和尺度。</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4" name="Picture 4"/>
            <wp:cNvGraphicFramePr>
              <a:graphicFrameLocks noChangeAspect="1"/>
            </wp:cNvGraphicFramePr>
            <a:graphic>
              <a:graphicData uri="http://schemas.openxmlformats.org/drawingml/2006/picture">
                <pic:pic>
                  <pic:nvPicPr>
                    <pic:cNvPr id="0" name="配对情形_MDM_edge.png"/>
                    <pic:cNvPicPr/>
                  </pic:nvPicPr>
                  <pic:blipFill>
                    <a:blip r:embed="rId12"/>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图4｜第5组已检出交点，但程序未采用，右端回退后得到形状高估。</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47组按内部交点返回估计。第5组的高估起于程序的交点处理问题：曲线在γ≈3098.95、3248.08两处达到δ=0.20，离散扫描已检出交点，但最终选参分支未采用这一结果。该分支只根据γ=0与最小观测附近的梯度构造求根区间；24个右端探测点从γ≈3298.40开始，已越过两个交点，梯度均低于δ，程序于是回退到γ≈3301.70。</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5组的最小观测较孤立，其余观测集中。回退位置使首个伪尺度接近零，标准差由其余伪尺度的水平和离散程度共同决定。在该位置，增大形状使其余伪尺度更集中、标准差下降，式（4）的最低点对应β=6.43，按式（6）取伪尺度均值得568.02。</w:t>
      </w:r>
    </w:p>
    <w:p>
      <w:pPr>
        <w:pStyle w:val="3"/>
        <w:keepNext/>
        <w:jc w:val="left"/>
        <w:rPr>
          <w:rFonts w:ascii="宋体" w:eastAsia="宋体" w:hAnsi="宋体"/>
          <w:b w:val="0"/>
          <w:sz w:val="28"/>
          <w:szCs w:val="28"/>
        </w:rPr>
      </w:pPr>
      <w:r>
        <w:rPr>
          <w:rFonts w:ascii="宋体" w:eastAsia="宋体" w:hAnsi="宋体"/>
          <w:b/>
          <w:sz w:val="24"/>
          <w:szCs w:val="28"/>
        </w:rPr>
        <w:t>2.1.2　LSE</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LSE对每个候选位置γ拟合一条直线，选择拟合程度最好的位置，再由斜率和截距恢复形状与尺度。其依据是Weibull变量的对数距离关系：</w:t>
      </w:r>
    </w:p>
    <w:p>
      <w:pPr>
        <w:pStyle w:val="MTDisplayEquation"/>
        <w:keepNext w:val="0"/>
        <w:keepLines/>
        <w:spacing w:line="240" w:lineRule="auto" w:before="100" w:after="140"/>
        <w:tabs>
          <w:tab w:val="clear" w:pos="7140"/>
          <w:tab w:val="center" w:pos="4153"/>
          <w:tab w:val="right" w:pos="8306"/>
        </w:tabs>
      </w:pPr>
      <w:r>
        <w:tab/>
        <w:object w:dxaOrig="2334" w:dyaOrig="537" w14:anchorId="02F590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0" type="#_x0000_t75" style="width:116.689pt;height:26.868pt" o:ole="">
            <v:imagedata r:id="rIdReport2Math10_media" o:title=""/>
          </v:shape>
          <o:OLEObject Type="Embed" ProgID="Equation.DSMT4" ShapeID="_x0000_i2010" DrawAspect="Content" ObjectID="_2000000010" r:id="rIdReport2Math10_embeddings"/>
        </w:object>
        <w:tab/>
        <w:t>(8)</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X为Weibull随机变量，Z=βln[(X−γ)/η]为标准对数Weibull变量。对式（8）中的n个变量排序后取期望，得到：</w:t>
      </w:r>
    </w:p>
    <w:p>
      <w:pPr>
        <w:pStyle w:val="MTDisplayEquation"/>
        <w:keepNext w:val="0"/>
        <w:keepLines/>
        <w:spacing w:line="240" w:lineRule="auto" w:before="100" w:after="140"/>
        <w:tabs>
          <w:tab w:val="clear" w:pos="7140"/>
          <w:tab w:val="center" w:pos="4153"/>
          <w:tab w:val="right" w:pos="8306"/>
        </w:tabs>
      </w:pPr>
      <w:r>
        <w:tab/>
        <w:object w:dxaOrig="2852" w:dyaOrig="480" w14:anchorId="1ED867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1" type="#_x0000_t75" style="width:142.597pt;height:23.976pt" o:ole="">
            <v:imagedata r:id="rIdReport2Math11_media" o:title=""/>
          </v:shape>
          <o:OLEObject Type="Embed" ProgID="Equation.DSMT4" ShapeID="_x0000_i2011" DrawAspect="Content" ObjectID="_2000000011" r:id="rIdReport2Math11_embeddings"/>
        </w:object>
        <w:tab/>
        <w:t>(9)</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n为样本量，X₍ᵢ₎为第i小的随机观测，zᵢ=E[Z₍ᵢ₎]为标准变量的顺序统计量期望。</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对实际观测x₍ᵢ₎，记对数距离yᵢ=ln(x₍ᵢ₎−γ)。根据式（9），以zᵢ为横坐标、yᵢ为纵坐标拟合直线yᵢ≈a+bzᵢ，截距a对应lnη，斜率b对应1/β，因此：</w:t>
      </w:r>
    </w:p>
    <w:p>
      <w:pPr>
        <w:pStyle w:val="MTDisplayEquation"/>
        <w:keepNext w:val="0"/>
        <w:keepLines/>
        <w:spacing w:line="240" w:lineRule="auto" w:before="100" w:after="140"/>
        <w:tabs>
          <w:tab w:val="clear" w:pos="7140"/>
          <w:tab w:val="center" w:pos="4153"/>
          <w:tab w:val="right" w:pos="8306"/>
        </w:tabs>
      </w:pPr>
      <w:r>
        <w:tab/>
        <w:object w:dxaOrig="2630" w:dyaOrig="489" w14:anchorId="44683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2" type="#_x0000_t75" style="width:131.494pt;height:24.468pt" o:ole="">
            <v:imagedata r:id="rIdReport2Math12_media" o:title=""/>
          </v:shape>
          <o:OLEObject Type="Embed" ProgID="Equation.DSMT4" ShapeID="_x0000_i2012" DrawAspect="Content" ObjectID="_2000000012" r:id="rIdReport2Math12_embeddings"/>
        </w:object>
        <w:tab/>
        <w:t>(10)</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LSE用F比评价直线拟合程度，并选择F比最大的γ。F比与回归决定系数R²的关系为：</w:t>
      </w:r>
    </w:p>
    <w:p>
      <w:pPr>
        <w:pStyle w:val="MTDisplayEquation"/>
        <w:keepNext w:val="0"/>
        <w:keepLines/>
        <w:spacing w:line="240" w:lineRule="auto" w:before="100" w:after="140"/>
        <w:tabs>
          <w:tab w:val="clear" w:pos="7140"/>
          <w:tab w:val="center" w:pos="4153"/>
          <w:tab w:val="right" w:pos="8306"/>
        </w:tabs>
      </w:pPr>
      <w:r>
        <w:tab/>
        <w:object w:dxaOrig="2884" w:dyaOrig="555" w14:anchorId="0EBBA0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3" type="#_x0000_t75" style="width:144.204pt;height:27.743pt" o:ole="">
            <v:imagedata r:id="rIdReport2Math13_media" o:title=""/>
          </v:shape>
          <o:OLEObject Type="Embed" ProgID="Equation.DSMT4" ShapeID="_x0000_i2013" DrawAspect="Content" ObjectID="_2000000013" r:id="rIdReport2Math13_embeddings"/>
        </w:object>
        <w:tab/>
        <w:t>(11)</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固定n后，式（11）的F比最大化等价于最小化1−R²，位置判据便写成：</w:t>
      </w:r>
    </w:p>
    <w:p>
      <w:pPr>
        <w:pStyle w:val="MTDisplayEquation"/>
        <w:keepNext w:val="0"/>
        <w:keepLines/>
        <w:spacing w:line="240" w:lineRule="auto" w:before="100" w:after="140"/>
        <w:tabs>
          <w:tab w:val="clear" w:pos="7140"/>
          <w:tab w:val="center" w:pos="4153"/>
          <w:tab w:val="right" w:pos="8306"/>
        </w:tabs>
      </w:pPr>
      <w:r>
        <w:tab/>
        <w:object w:dxaOrig="2482" w:dyaOrig="499" w14:anchorId="1D797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4" type="#_x0000_t75" style="width:124.106pt;height:24.934pt" o:ole="">
            <v:imagedata r:id="rIdReport2Math14_media" o:title=""/>
          </v:shape>
          <o:OLEObject Type="Embed" ProgID="Equation.DSMT4" ShapeID="_x0000_i2014" DrawAspect="Content" ObjectID="_2000000014" r:id="rIdReport2Math14_embeddings"/>
        </w:object>
        <w:tab/>
        <w:t>(12)</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x₍₁₎为样本最小值。图中的1−R²曲线按式（12）确定位置，形状曲线按式（10）取对应斜率的倒数。LSE的明显异常分为左侧定位高估和右侧定位低估。</w:t>
      </w:r>
    </w:p>
    <w:p>
      <w:pPr>
        <w:keepNext/>
        <w:keepLines/>
        <w:spacing w:line="240" w:lineRule="auto" w:before="120" w:after="60"/>
        <w:ind w:firstLine="0"/>
        <w:jc w:val="center"/>
      </w:pPr>
      <w:r>
        <w:drawing>
          <wp:inline xmlns:a="http://schemas.openxmlformats.org/drawingml/2006/main" xmlns:pic="http://schemas.openxmlformats.org/drawingml/2006/picture">
            <wp:extent cx="5274310" cy="2950038"/>
            <wp:docPr id="5" name="Picture 5"/>
            <wp:cNvGraphicFramePr>
              <a:graphicFrameLocks noChangeAspect="1"/>
            </wp:cNvGraphicFramePr>
            <a:graphic>
              <a:graphicData uri="http://schemas.openxmlformats.org/drawingml/2006/picture">
                <pic:pic>
                  <pic:nvPicPr>
                    <pic:cNvPr id="0" name="异常分类_LSE_三子图.png"/>
                    <pic:cNvPicPr/>
                  </pic:nvPicPr>
                  <pic:blipFill>
                    <a:blip r:embed="rId13"/>
                    <a:stretch>
                      <a:fillRect/>
                    </a:stretch>
                  </pic:blipFill>
                  <pic:spPr>
                    <a:xfrm>
                      <a:off x="0" y="0"/>
                      <a:ext cx="5274310" cy="2950038"/>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图5｜LSE各类明显异常估计的发生次数。</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（1）左侧定位导致的形状高估。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正常样本与两种左侧高估样本如下：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320"/>
        <w:gridCol w:w="1440"/>
        <w:gridCol w:w="400"/>
        <w:gridCol w:w="720"/>
        <w:gridCol w:w="940"/>
        <w:gridCol w:w="940"/>
        <w:gridCol w:w="2546"/>
      </w:tblGrid>
      <w:tr>
        <w:trPr>
          <w:cantSplit/>
          <w:tblHeader/>
        </w:trPr>
        <w:tc>
          <w:tcPr>
            <w:tcW w:type="dxa" w:w="1320"/>
            <w:vAlign w:val="center"/>
          </w:tcPr>
          <w:p>
            <w:pPr>
              <w:keepNext/>
              <w:snapToGrid w:val="0"/>
              <w:spacing w:before="40" w:after="40" w:line="240" w:lineRule="auto"/>
              <w:ind w:firstLine="0"/>
              <w:jc w:val="center"/>
            </w:pPr>
            <w:r>
              <w:rPr>
                <w:rFonts w:eastAsia="仿宋_GB2312"/>
                <w:b/>
                <w:sz w:val="21"/>
                <w:szCs w:val="24"/>
              </w:rPr>
              <w:t>样本</w:t>
            </w:r>
          </w:p>
        </w:tc>
        <w:tc>
          <w:tcPr>
            <w:tcW w:type="dxa" w:w="1440"/>
            <w:vAlign w:val="center"/>
          </w:tcPr>
          <w:p>
            <w:pPr>
              <w:keepNext/>
              <w:snapToGrid w:val="0"/>
              <w:spacing w:before="40" w:after="40" w:line="240" w:lineRule="auto"/>
              <w:ind w:firstLine="0"/>
              <w:jc w:val="center"/>
            </w:pPr>
            <w:r>
              <w:rPr>
                <w:rFonts w:eastAsia="仿宋_GB2312"/>
                <w:b/>
                <w:sz w:val="21"/>
                <w:szCs w:val="24"/>
              </w:rPr>
              <w:t>参数组合</w:t>
            </w:r>
          </w:p>
        </w:tc>
        <w:tc>
          <w:tcPr>
            <w:tcW w:type="dxa" w:w="400"/>
            <w:vAlign w:val="center"/>
          </w:tcPr>
          <w:p>
            <w:pPr>
              <w:keepNext/>
              <w:snapToGrid w:val="0"/>
              <w:spacing w:before="40" w:after="40" w:line="240" w:lineRule="auto"/>
              <w:ind w:firstLine="0"/>
              <w:jc w:val="center"/>
            </w:pPr>
            <w:r>
              <w:rPr>
                <w:rFonts w:eastAsia="仿宋_GB2312"/>
                <w:b/>
                <w:sz w:val="21"/>
                <w:szCs w:val="24"/>
              </w:rPr>
              <w:t>n</w:t>
            </w:r>
          </w:p>
        </w:tc>
        <w:tc>
          <w:tcPr>
            <w:tcW w:type="dxa" w:w="720"/>
            <w:vAlign w:val="center"/>
          </w:tcPr>
          <w:p>
            <w:pPr>
              <w:keepNext/>
              <w:snapToGrid w:val="0"/>
              <w:spacing w:before="40" w:after="40" w:line="240" w:lineRule="auto"/>
              <w:ind w:firstLine="0"/>
              <w:jc w:val="center"/>
            </w:pPr>
            <w:r>
              <w:rPr>
                <w:rFonts w:eastAsia="仿宋_GB2312"/>
                <w:b/>
                <w:sz w:val="21"/>
                <w:szCs w:val="24"/>
              </w:rPr>
              <w:t>形状β̂</w:t>
            </w:r>
          </w:p>
        </w:tc>
        <w:tc>
          <w:tcPr>
            <w:tcW w:type="dxa" w:w="940"/>
            <w:vAlign w:val="center"/>
          </w:tcPr>
          <w:p>
            <w:pPr>
              <w:keepNext/>
              <w:snapToGrid w:val="0"/>
              <w:spacing w:before="40" w:after="40" w:line="240" w:lineRule="auto"/>
              <w:ind w:firstLine="0"/>
              <w:jc w:val="center"/>
            </w:pPr>
            <w:r>
              <w:rPr>
                <w:rFonts w:eastAsia="仿宋_GB2312"/>
                <w:b/>
                <w:sz w:val="21"/>
                <w:szCs w:val="24"/>
              </w:rPr>
              <w:t>尺度η̂</w:t>
            </w:r>
          </w:p>
        </w:tc>
        <w:tc>
          <w:tcPr>
            <w:tcW w:type="dxa" w:w="940"/>
            <w:vAlign w:val="center"/>
          </w:tcPr>
          <w:p>
            <w:pPr>
              <w:keepNext/>
              <w:snapToGrid w:val="0"/>
              <w:spacing w:before="40" w:after="40" w:line="240" w:lineRule="auto"/>
              <w:ind w:firstLine="0"/>
              <w:jc w:val="center"/>
            </w:pPr>
            <w:r>
              <w:rPr>
                <w:rFonts w:eastAsia="仿宋_GB2312"/>
                <w:b/>
                <w:sz w:val="21"/>
                <w:szCs w:val="24"/>
              </w:rPr>
              <w:t>位置γ̂</w:t>
            </w:r>
          </w:p>
        </w:tc>
        <w:tc>
          <w:tcPr>
            <w:tcW w:type="dxa" w:w="254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320"/>
            <w:vAlign w:val="center"/>
          </w:tcPr>
          <w:p>
            <w:pPr>
              <w:keepNext/>
              <w:snapToGrid w:val="0"/>
              <w:spacing w:before="40" w:after="40" w:line="240" w:lineRule="auto"/>
              <w:ind w:firstLine="0"/>
              <w:jc w:val="center"/>
            </w:pPr>
            <w:r>
              <w:rPr>
                <w:rFonts w:eastAsia="仿宋_GB2312"/>
                <w:b w:val="0"/>
                <w:sz w:val="21"/>
                <w:szCs w:val="24"/>
              </w:rPr>
              <w:t>正常·第35组</w:t>
            </w:r>
          </w:p>
        </w:tc>
        <w:tc>
          <w:tcPr>
            <w:tcW w:type="dxa" w:w="1440"/>
            <w:vAlign w:val="center"/>
          </w:tcPr>
          <w:p>
            <w:pPr>
              <w:keepNext/>
              <w:snapToGrid w:val="0"/>
              <w:spacing w:before="40" w:after="40" w:line="240" w:lineRule="auto"/>
              <w:ind w:firstLine="0"/>
              <w:jc w:val="center"/>
            </w:pPr>
            <w:r>
              <w:rPr>
                <w:rFonts w:eastAsia="仿宋_GB2312"/>
                <w:b w:val="0"/>
                <w:sz w:val="21"/>
                <w:szCs w:val="24"/>
              </w:rPr>
              <w:t>W(2,100,500)</w:t>
            </w:r>
          </w:p>
        </w:tc>
        <w:tc>
          <w:tcPr>
            <w:tcW w:type="dxa" w:w="400"/>
            <w:vAlign w:val="center"/>
          </w:tcPr>
          <w:p>
            <w:pPr>
              <w:keepNext/>
              <w:snapToGrid w:val="0"/>
              <w:spacing w:before="40" w:after="40" w:line="240" w:lineRule="auto"/>
              <w:ind w:firstLine="0"/>
              <w:jc w:val="center"/>
            </w:pPr>
            <w:r>
              <w:rPr>
                <w:rFonts w:eastAsia="仿宋_GB2312"/>
                <w:b w:val="0"/>
                <w:sz w:val="21"/>
                <w:szCs w:val="24"/>
              </w:rPr>
              <w:t>15</w:t>
            </w:r>
          </w:p>
        </w:tc>
        <w:tc>
          <w:tcPr>
            <w:tcW w:type="dxa" w:w="720"/>
            <w:vAlign w:val="center"/>
          </w:tcPr>
          <w:p>
            <w:pPr>
              <w:keepNext/>
              <w:snapToGrid w:val="0"/>
              <w:spacing w:before="40" w:after="40" w:line="240" w:lineRule="auto"/>
              <w:ind w:firstLine="0"/>
              <w:jc w:val="center"/>
            </w:pPr>
            <w:r>
              <w:rPr>
                <w:rFonts w:eastAsia="仿宋_GB2312"/>
                <w:b w:val="0"/>
                <w:sz w:val="21"/>
                <w:szCs w:val="24"/>
              </w:rPr>
              <w:t>1.42</w:t>
            </w:r>
          </w:p>
        </w:tc>
        <w:tc>
          <w:tcPr>
            <w:tcW w:type="dxa" w:w="940"/>
            <w:vAlign w:val="center"/>
          </w:tcPr>
          <w:p>
            <w:pPr>
              <w:keepNext/>
              <w:snapToGrid w:val="0"/>
              <w:spacing w:before="40" w:after="40" w:line="240" w:lineRule="auto"/>
              <w:ind w:firstLine="0"/>
              <w:jc w:val="center"/>
            </w:pPr>
            <w:r>
              <w:rPr>
                <w:rFonts w:eastAsia="仿宋_GB2312"/>
                <w:b w:val="0"/>
                <w:sz w:val="21"/>
                <w:szCs w:val="24"/>
              </w:rPr>
              <w:t>70.42</w:t>
            </w:r>
          </w:p>
        </w:tc>
        <w:tc>
          <w:tcPr>
            <w:tcW w:type="dxa" w:w="940"/>
            <w:vAlign w:val="center"/>
          </w:tcPr>
          <w:p>
            <w:pPr>
              <w:keepNext/>
              <w:snapToGrid w:val="0"/>
              <w:spacing w:before="40" w:after="40" w:line="240" w:lineRule="auto"/>
              <w:ind w:firstLine="0"/>
              <w:jc w:val="center"/>
            </w:pPr>
            <w:r>
              <w:rPr>
                <w:rFonts w:eastAsia="仿宋_GB2312"/>
                <w:b w:val="0"/>
                <w:sz w:val="21"/>
                <w:szCs w:val="24"/>
              </w:rPr>
              <w:t>518.20</w:t>
            </w:r>
          </w:p>
        </w:tc>
        <w:tc>
          <w:tcPr>
            <w:tcW w:type="dxa" w:w="2546"/>
            <w:vAlign w:val="center"/>
          </w:tcPr>
          <w:p>
            <w:pPr>
              <w:keepNext/>
              <w:snapToGrid w:val="0"/>
              <w:spacing w:before="40" w:after="40" w:line="240" w:lineRule="auto"/>
              <w:ind w:firstLine="0"/>
              <w:jc w:val="left"/>
            </w:pPr>
            <w:r>
              <w:rPr>
                <w:rFonts w:eastAsia="仿宋_GB2312"/>
                <w:b w:val="0"/>
                <w:sz w:val="21"/>
                <w:szCs w:val="24"/>
              </w:rPr>
              <w:t>524.99，532.96，537.51，546.83，549.15，554.55，559.29，582.77，595.63，597.60，598.04，618.58，625.47，631.01，639.05</w:t>
            </w:r>
          </w:p>
        </w:tc>
      </w:tr>
      <w:tr>
        <w:trPr>
          <w:cantSplit/>
        </w:trPr>
        <w:tc>
          <w:tcPr>
            <w:tcW w:type="dxa" w:w="1320"/>
            <w:vAlign w:val="center"/>
          </w:tcPr>
          <w:p>
            <w:pPr>
              <w:keepNext/>
              <w:snapToGrid w:val="0"/>
              <w:spacing w:before="40" w:after="40" w:line="240" w:lineRule="auto"/>
              <w:ind w:firstLine="0"/>
              <w:jc w:val="center"/>
            </w:pPr>
            <w:r>
              <w:rPr>
                <w:rFonts w:eastAsia="仿宋_GB2312"/>
                <w:b w:val="0"/>
                <w:sz w:val="21"/>
                <w:szCs w:val="24"/>
              </w:rPr>
              <w:t>零边界高估·第36组</w:t>
            </w:r>
          </w:p>
        </w:tc>
        <w:tc>
          <w:tcPr>
            <w:tcW w:type="dxa" w:w="1440"/>
            <w:vAlign w:val="center"/>
          </w:tcPr>
          <w:p>
            <w:pPr>
              <w:keepNext/>
              <w:snapToGrid w:val="0"/>
              <w:spacing w:before="40" w:after="40" w:line="240" w:lineRule="auto"/>
              <w:ind w:firstLine="0"/>
              <w:jc w:val="center"/>
            </w:pPr>
            <w:r>
              <w:rPr>
                <w:rFonts w:eastAsia="仿宋_GB2312"/>
                <w:b w:val="0"/>
                <w:sz w:val="21"/>
                <w:szCs w:val="24"/>
              </w:rPr>
              <w:t>W(2,100,500)</w:t>
            </w:r>
          </w:p>
        </w:tc>
        <w:tc>
          <w:tcPr>
            <w:tcW w:type="dxa" w:w="400"/>
            <w:vAlign w:val="center"/>
          </w:tcPr>
          <w:p>
            <w:pPr>
              <w:keepNext/>
              <w:snapToGrid w:val="0"/>
              <w:spacing w:before="40" w:after="40" w:line="240" w:lineRule="auto"/>
              <w:ind w:firstLine="0"/>
              <w:jc w:val="center"/>
            </w:pPr>
            <w:r>
              <w:rPr>
                <w:rFonts w:eastAsia="仿宋_GB2312"/>
                <w:b w:val="0"/>
                <w:sz w:val="21"/>
                <w:szCs w:val="24"/>
              </w:rPr>
              <w:t>15</w:t>
            </w:r>
          </w:p>
        </w:tc>
        <w:tc>
          <w:tcPr>
            <w:tcW w:type="dxa" w:w="720"/>
            <w:vAlign w:val="center"/>
          </w:tcPr>
          <w:p>
            <w:pPr>
              <w:keepNext/>
              <w:snapToGrid w:val="0"/>
              <w:spacing w:before="40" w:after="40" w:line="240" w:lineRule="auto"/>
              <w:ind w:firstLine="0"/>
              <w:jc w:val="center"/>
            </w:pPr>
            <w:r>
              <w:rPr>
                <w:rFonts w:eastAsia="仿宋_GB2312"/>
                <w:b w:val="0"/>
                <w:sz w:val="21"/>
                <w:szCs w:val="24"/>
              </w:rPr>
              <w:t>21.70</w:t>
            </w:r>
          </w:p>
        </w:tc>
        <w:tc>
          <w:tcPr>
            <w:tcW w:type="dxa" w:w="940"/>
            <w:vAlign w:val="center"/>
          </w:tcPr>
          <w:p>
            <w:pPr>
              <w:keepNext/>
              <w:snapToGrid w:val="0"/>
              <w:spacing w:before="40" w:after="40" w:line="240" w:lineRule="auto"/>
              <w:ind w:firstLine="0"/>
              <w:jc w:val="center"/>
            </w:pPr>
            <w:r>
              <w:rPr>
                <w:rFonts w:eastAsia="仿宋_GB2312"/>
                <w:b w:val="0"/>
                <w:sz w:val="21"/>
                <w:szCs w:val="24"/>
              </w:rPr>
              <w:t>609.36</w:t>
            </w:r>
          </w:p>
        </w:tc>
        <w:tc>
          <w:tcPr>
            <w:tcW w:type="dxa" w:w="940"/>
            <w:vAlign w:val="center"/>
          </w:tcPr>
          <w:p>
            <w:pPr>
              <w:keepNext/>
              <w:snapToGrid w:val="0"/>
              <w:spacing w:before="40" w:after="40" w:line="240" w:lineRule="auto"/>
              <w:ind w:firstLine="0"/>
              <w:jc w:val="center"/>
            </w:pPr>
            <w:r>
              <w:rPr>
                <w:rFonts w:eastAsia="仿宋_GB2312"/>
                <w:b w:val="0"/>
                <w:sz w:val="21"/>
                <w:szCs w:val="24"/>
              </w:rPr>
              <w:t>0.00</w:t>
            </w:r>
          </w:p>
        </w:tc>
        <w:tc>
          <w:tcPr>
            <w:tcW w:type="dxa" w:w="2546"/>
            <w:vAlign w:val="center"/>
          </w:tcPr>
          <w:p>
            <w:pPr>
              <w:keepNext/>
              <w:snapToGrid w:val="0"/>
              <w:spacing w:before="40" w:after="40" w:line="240" w:lineRule="auto"/>
              <w:ind w:firstLine="0"/>
              <w:jc w:val="left"/>
            </w:pPr>
            <w:r>
              <w:rPr>
                <w:rFonts w:eastAsia="仿宋_GB2312"/>
                <w:b w:val="0"/>
                <w:sz w:val="21"/>
                <w:szCs w:val="24"/>
              </w:rPr>
              <w:t>524.67，551.74，554.21，573.41，585.02，588.71，591.87，595.61，609.05，610.30，611.69，617.54，625.80，633.61，640.02</w:t>
            </w:r>
          </w:p>
        </w:tc>
      </w:tr>
      <w:tr>
        <w:trPr>
          <w:cantSplit/>
        </w:trPr>
        <w:tc>
          <w:tcPr>
            <w:tcW w:type="dxa" w:w="1320"/>
            <w:vAlign w:val="center"/>
          </w:tcPr>
          <w:p>
            <w:pPr>
              <w:keepNext w:val="0"/>
              <w:snapToGrid w:val="0"/>
              <w:spacing w:before="40" w:after="40" w:line="240" w:lineRule="auto"/>
              <w:ind w:firstLine="0"/>
              <w:jc w:val="center"/>
            </w:pPr>
            <w:r>
              <w:rPr>
                <w:rFonts w:eastAsia="仿宋_GB2312"/>
                <w:b w:val="0"/>
                <w:sz w:val="21"/>
                <w:szCs w:val="24"/>
              </w:rPr>
              <w:t>内部左侧高估·第1组</w:t>
            </w:r>
          </w:p>
        </w:tc>
        <w:tc>
          <w:tcPr>
            <w:tcW w:type="dxa" w:w="1440"/>
            <w:vAlign w:val="center"/>
          </w:tcPr>
          <w:p>
            <w:pPr>
              <w:keepNext w:val="0"/>
              <w:snapToGrid w:val="0"/>
              <w:spacing w:before="40" w:after="40" w:line="240" w:lineRule="auto"/>
              <w:ind w:firstLine="0"/>
              <w:jc w:val="center"/>
            </w:pPr>
            <w:r>
              <w:rPr>
                <w:rFonts w:eastAsia="仿宋_GB2312"/>
                <w:b w:val="0"/>
                <w:sz w:val="21"/>
                <w:szCs w:val="24"/>
              </w:rPr>
              <w:t>W(2,1000,</w:t>
              <w:br/>
              <w:t>3000)</w:t>
            </w:r>
          </w:p>
        </w:tc>
        <w:tc>
          <w:tcPr>
            <w:tcW w:type="dxa" w:w="400"/>
            <w:vAlign w:val="center"/>
          </w:tcPr>
          <w:p>
            <w:pPr>
              <w:keepNext w:val="0"/>
              <w:snapToGrid w:val="0"/>
              <w:spacing w:before="40" w:after="40" w:line="240" w:lineRule="auto"/>
              <w:ind w:firstLine="0"/>
              <w:jc w:val="center"/>
            </w:pPr>
            <w:r>
              <w:rPr>
                <w:rFonts w:eastAsia="仿宋_GB2312"/>
                <w:b w:val="0"/>
                <w:sz w:val="21"/>
                <w:szCs w:val="24"/>
              </w:rPr>
              <w:t>7</w:t>
            </w:r>
          </w:p>
        </w:tc>
        <w:tc>
          <w:tcPr>
            <w:tcW w:type="dxa" w:w="720"/>
            <w:vAlign w:val="center"/>
          </w:tcPr>
          <w:p>
            <w:pPr>
              <w:keepNext w:val="0"/>
              <w:snapToGrid w:val="0"/>
              <w:spacing w:before="40" w:after="40" w:line="240" w:lineRule="auto"/>
              <w:ind w:firstLine="0"/>
              <w:jc w:val="center"/>
            </w:pPr>
            <w:r>
              <w:rPr>
                <w:rFonts w:eastAsia="仿宋_GB2312"/>
                <w:b w:val="0"/>
                <w:sz w:val="21"/>
                <w:szCs w:val="24"/>
              </w:rPr>
              <w:t>8.42</w:t>
            </w:r>
          </w:p>
        </w:tc>
        <w:tc>
          <w:tcPr>
            <w:tcW w:type="dxa" w:w="940"/>
            <w:vAlign w:val="center"/>
          </w:tcPr>
          <w:p>
            <w:pPr>
              <w:keepNext w:val="0"/>
              <w:snapToGrid w:val="0"/>
              <w:spacing w:before="40" w:after="40" w:line="240" w:lineRule="auto"/>
              <w:ind w:firstLine="0"/>
              <w:jc w:val="center"/>
            </w:pPr>
            <w:r>
              <w:rPr>
                <w:rFonts w:eastAsia="仿宋_GB2312"/>
                <w:b w:val="0"/>
                <w:sz w:val="21"/>
                <w:szCs w:val="24"/>
              </w:rPr>
              <w:t>2717.62</w:t>
            </w:r>
          </w:p>
        </w:tc>
        <w:tc>
          <w:tcPr>
            <w:tcW w:type="dxa" w:w="940"/>
            <w:vAlign w:val="center"/>
          </w:tcPr>
          <w:p>
            <w:pPr>
              <w:keepNext w:val="0"/>
              <w:snapToGrid w:val="0"/>
              <w:spacing w:before="40" w:after="40" w:line="240" w:lineRule="auto"/>
              <w:ind w:firstLine="0"/>
              <w:jc w:val="center"/>
            </w:pPr>
            <w:r>
              <w:rPr>
                <w:rFonts w:eastAsia="仿宋_GB2312"/>
                <w:b w:val="0"/>
                <w:sz w:val="21"/>
                <w:szCs w:val="24"/>
              </w:rPr>
              <w:t>1273.68</w:t>
            </w:r>
          </w:p>
        </w:tc>
        <w:tc>
          <w:tcPr>
            <w:tcW w:type="dxa" w:w="2546"/>
            <w:vAlign w:val="center"/>
          </w:tcPr>
          <w:p>
            <w:pPr>
              <w:keepNext w:val="0"/>
              <w:snapToGrid w:val="0"/>
              <w:spacing w:before="40" w:after="40" w:line="240" w:lineRule="auto"/>
              <w:ind w:firstLine="0"/>
              <w:jc w:val="left"/>
            </w:pPr>
            <w:r>
              <w:rPr>
                <w:rFonts w:eastAsia="仿宋_GB2312"/>
                <w:b w:val="0"/>
                <w:sz w:val="21"/>
                <w:szCs w:val="24"/>
              </w:rPr>
              <w:t>3250.30，3676.83，3723.74，3827.75，3860.06，4191.49，4293.82</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图6将两条异常曲线放在一起，对照式（12）的位置判据及式（10）的斜率与形状关系。</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6" name="Picture 6"/>
            <wp:cNvGraphicFramePr>
              <a:graphicFrameLocks noChangeAspect="1"/>
            </wp:cNvGraphicFramePr>
            <a:graphic>
              <a:graphicData uri="http://schemas.openxmlformats.org/drawingml/2006/picture">
                <pic:pic>
                  <pic:nvPicPr>
                    <pic:cNvPr id="0" name="配对情形_LSE_zero.png"/>
                    <pic:cNvPicPr/>
                  </pic:nvPicPr>
                  <pic:blipFill>
                    <a:blip r:embed="rId14"/>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图6｜两个异常样本均在左侧取得较好的线性匹配，同时得到较小斜率与形状高估。</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35组的最低点位于真位置附近，斜率对应正常形状。两个异常样本在真位置下的下端间距与参考点匹配较差，左移γ压缩下端间距，使点列更接近直线。第36组的最低点落在γ=0；第1组继续左移后准则回升，最低点留在内部γ=1273.68。</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改善拟合同时也压缩了整体对数跨度。第36组的跨度由1.74缩至0.20，斜率降至0.046，β升至21.70；第1组的斜率降至0.119，β升至8.42。两者都按式（10）取较小斜率的倒数形成高估，区别在于最佳位置是否落在零边界。</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（2）右侧定位导致的形状低估。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W(2,1000,500)、n=7的正常与异常样本如下：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正常·第18组</w:t>
            </w:r>
          </w:p>
        </w:tc>
        <w:tc>
          <w:tcPr>
            <w:tcW w:type="dxa" w:w="900"/>
            <w:vAlign w:val="center"/>
          </w:tcPr>
          <w:p>
            <w:pPr>
              <w:keepNext/>
              <w:snapToGrid w:val="0"/>
              <w:spacing w:before="40" w:after="40" w:line="240" w:lineRule="auto"/>
              <w:ind w:firstLine="0"/>
              <w:jc w:val="center"/>
            </w:pPr>
            <w:r>
              <w:rPr>
                <w:rFonts w:eastAsia="仿宋_GB2312"/>
                <w:b w:val="0"/>
                <w:sz w:val="21"/>
                <w:szCs w:val="24"/>
              </w:rPr>
              <w:t>0.91</w:t>
            </w:r>
          </w:p>
        </w:tc>
        <w:tc>
          <w:tcPr>
            <w:tcW w:type="dxa" w:w="1200"/>
            <w:vAlign w:val="center"/>
          </w:tcPr>
          <w:p>
            <w:pPr>
              <w:keepNext/>
              <w:snapToGrid w:val="0"/>
              <w:spacing w:before="40" w:after="40" w:line="240" w:lineRule="auto"/>
              <w:ind w:firstLine="0"/>
              <w:jc w:val="center"/>
            </w:pPr>
            <w:r>
              <w:rPr>
                <w:rFonts w:eastAsia="仿宋_GB2312"/>
                <w:b w:val="0"/>
                <w:sz w:val="21"/>
                <w:szCs w:val="24"/>
              </w:rPr>
              <w:t>542.97</w:t>
            </w:r>
          </w:p>
        </w:tc>
        <w:tc>
          <w:tcPr>
            <w:tcW w:type="dxa" w:w="1200"/>
            <w:vAlign w:val="center"/>
          </w:tcPr>
          <w:p>
            <w:pPr>
              <w:keepNext/>
              <w:snapToGrid w:val="0"/>
              <w:spacing w:before="40" w:after="40" w:line="240" w:lineRule="auto"/>
              <w:ind w:firstLine="0"/>
              <w:jc w:val="center"/>
            </w:pPr>
            <w:r>
              <w:rPr>
                <w:rFonts w:eastAsia="仿宋_GB2312"/>
                <w:b w:val="0"/>
                <w:sz w:val="21"/>
                <w:szCs w:val="24"/>
              </w:rPr>
              <w:t>603.11</w:t>
            </w:r>
          </w:p>
        </w:tc>
        <w:tc>
          <w:tcPr>
            <w:tcW w:type="dxa" w:w="3606"/>
            <w:vAlign w:val="center"/>
          </w:tcPr>
          <w:p>
            <w:pPr>
              <w:keepNext/>
              <w:snapToGrid w:val="0"/>
              <w:spacing w:before="40" w:after="40" w:line="240" w:lineRule="auto"/>
              <w:ind w:firstLine="0"/>
              <w:jc w:val="left"/>
            </w:pPr>
            <w:r>
              <w:rPr>
                <w:rFonts w:eastAsia="仿宋_GB2312"/>
                <w:b w:val="0"/>
                <w:sz w:val="21"/>
                <w:szCs w:val="24"/>
              </w:rPr>
              <w:t>634.38，750.70，764.00，978.92，1044.85，1698.88，1814.71</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异常·第19组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0.58</w:t>
            </w:r>
          </w:p>
        </w:tc>
        <w:tc>
          <w:tcPr>
            <w:tcW w:type="dxa" w:w="1200"/>
            <w:vAlign w:val="center"/>
          </w:tcPr>
          <w:p>
            <w:pPr>
              <w:keepNext w:val="0"/>
              <w:snapToGrid w:val="0"/>
              <w:spacing w:before="40" w:after="40" w:line="240" w:lineRule="auto"/>
              <w:ind w:firstLine="0"/>
              <w:jc w:val="center"/>
            </w:pPr>
            <w:r>
              <w:rPr>
                <w:rFonts w:eastAsia="仿宋_GB2312"/>
                <w:b w:val="0"/>
                <w:sz w:val="21"/>
                <w:szCs w:val="24"/>
              </w:rPr>
              <w:t>399.58</w:t>
            </w:r>
          </w:p>
        </w:tc>
        <w:tc>
          <w:tcPr>
            <w:tcW w:type="dxa" w:w="1200"/>
            <w:vAlign w:val="center"/>
          </w:tcPr>
          <w:p>
            <w:pPr>
              <w:keepNext w:val="0"/>
              <w:snapToGrid w:val="0"/>
              <w:spacing w:before="40" w:after="40" w:line="240" w:lineRule="auto"/>
              <w:ind w:firstLine="0"/>
              <w:jc w:val="center"/>
            </w:pPr>
            <w:r>
              <w:rPr>
                <w:rFonts w:eastAsia="仿宋_GB2312"/>
                <w:b w:val="0"/>
                <w:sz w:val="21"/>
                <w:szCs w:val="24"/>
              </w:rPr>
              <w:t>774.35</w:t>
            </w:r>
          </w:p>
        </w:tc>
        <w:tc>
          <w:tcPr>
            <w:tcW w:type="dxa" w:w="3606"/>
            <w:vAlign w:val="center"/>
          </w:tcPr>
          <w:p>
            <w:pPr>
              <w:keepNext w:val="0"/>
              <w:snapToGrid w:val="0"/>
              <w:spacing w:before="40" w:after="40" w:line="240" w:lineRule="auto"/>
              <w:ind w:firstLine="0"/>
              <w:jc w:val="left"/>
            </w:pPr>
            <w:r>
              <w:rPr>
                <w:rFonts w:eastAsia="仿宋_GB2312"/>
                <w:b w:val="0"/>
                <w:sz w:val="21"/>
                <w:szCs w:val="24"/>
              </w:rPr>
              <w:t>779.38，799.04，885.47，1061.58，1197.68，1302.69，2480.21</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图7对照式（12）的右侧最低点、下端对数间距及式（10）对应的拟合斜率。</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7" name="Picture 7"/>
            <wp:cNvGraphicFramePr>
              <a:graphicFrameLocks noChangeAspect="1"/>
            </wp:cNvGraphicFramePr>
            <a:graphic>
              <a:graphicData uri="http://schemas.openxmlformats.org/drawingml/2006/picture">
                <pic:pic>
                  <pic:nvPicPr>
                    <pic:cNvPr id="0" name="配对情形_LSE_right.png"/>
                    <pic:cNvPicPr/>
                  </pic:nvPicPr>
                  <pic:blipFill>
                    <a:blip r:embed="rId15"/>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图7｜第19组更靠近最小观测的最低点，对应更大的回归斜率和形状低估。</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第19组的最大观测远离其余点列，真位置下点列弯曲。右移γ使最小距离缩小得更快，拉开下端对数间距，改善线性匹配，最低点位于内部右侧。</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第19组的所选位置距最小观测仅5.04，明显小于第18组的31.27。下端点被拉得更低，拟合斜率增至1.727，按式（10）取倒数后β降至0.58。两组都选择右侧位置，第19组更强的间距拉伸使形状越过低估界限。</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LSE中，位置左移可通过压缩对数跨度、减小斜率造成β高估；位置右移可通过拉开对数跨度、增大斜率造成β低估。</w:t>
      </w:r>
    </w:p>
    <w:p>
      <w:pPr>
        <w:pStyle w:val="3"/>
        <w:keepNext/>
        <w:jc w:val="left"/>
        <w:rPr>
          <w:rFonts w:ascii="宋体" w:eastAsia="宋体" w:hAnsi="宋体"/>
          <w:b w:val="0"/>
          <w:sz w:val="28"/>
          <w:szCs w:val="28"/>
        </w:rPr>
      </w:pPr>
      <w:r>
        <w:rPr>
          <w:rFonts w:ascii="宋体" w:eastAsia="宋体" w:hAnsi="宋体"/>
          <w:b/>
          <w:sz w:val="24"/>
          <w:szCs w:val="28"/>
        </w:rPr>
        <w:t>2.1.3　LRE</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LRE先将样本转换为Weibull概率图坐标，选择线性相关性最高的位置，再用回归斜率和截距估计形状与尺度。由分布函数的线性化关系：</w:t>
      </w:r>
    </w:p>
    <w:p>
      <w:pPr>
        <w:pStyle w:val="MTDisplayEquation"/>
        <w:keepNext w:val="0"/>
        <w:keepLines/>
        <w:spacing w:line="240" w:lineRule="auto" w:before="100" w:after="140"/>
        <w:tabs>
          <w:tab w:val="clear" w:pos="7140"/>
          <w:tab w:val="center" w:pos="4153"/>
          <w:tab w:val="right" w:pos="8306"/>
        </w:tabs>
      </w:pPr>
      <w:r>
        <w:tab/>
        <w:object w:dxaOrig="4204" w:dyaOrig="240" w14:anchorId="3DC5DB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5" type="#_x0000_t75" style="width:210.175pt;height:12.000pt" o:ole="">
            <v:imagedata r:id="rIdReport2Math15_media" o:title=""/>
          </v:shape>
          <o:OLEObject Type="Embed" ProgID="Equation.DSMT4" ShapeID="_x0000_i2015" DrawAspect="Content" ObjectID="_2000000015" r:id="rIdReport2Math15_embeddings"/>
        </w:object>
        <w:tab/>
        <w:t>(13)</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将式（13）中第i个排序观测的累计概率F(x₍ᵢ₎)用绘图位置pᵢ代替，得到：</w:t>
      </w:r>
    </w:p>
    <w:p>
      <w:pPr>
        <w:pStyle w:val="MTDisplayEquation"/>
        <w:keepNext w:val="0"/>
        <w:keepLines/>
        <w:spacing w:line="240" w:lineRule="auto" w:before="100" w:after="140"/>
        <w:tabs>
          <w:tab w:val="clear" w:pos="7140"/>
          <w:tab w:val="center" w:pos="4153"/>
          <w:tab w:val="right" w:pos="8306"/>
        </w:tabs>
      </w:pPr>
      <w:r>
        <w:tab/>
        <w:object w:dxaOrig="5878" w:dyaOrig="265" w14:anchorId="71974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6" type="#_x0000_t75" style="width:293.923pt;height:13.242pt" o:ole="">
            <v:imagedata r:id="rIdReport2Math16_media" o:title=""/>
          </v:shape>
          <o:OLEObject Type="Embed" ProgID="Equation.DSMT4" ShapeID="_x0000_i2016" DrawAspect="Content" ObjectID="_2000000016" r:id="rIdReport2Math16_embeddings"/>
        </w:object>
        <w:tab/>
        <w:t>(14)</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F(x)为Weibull分布函数，pᵢ为按次序i和样本量n分配的累计概率，zᵢ为相应的概率图参考坐标。LSE的参考点来自顺序统计量期望，LRE的参考点来自绘图概率的分位变换。</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根据式（14），LRE以yᵢ为横坐标、zᵢ为纵坐标拟合直线zᵢ≈a+byᵢ。这里斜率b直接对应β，截距a对应−βlnη，因此：</w:t>
      </w:r>
    </w:p>
    <w:p>
      <w:pPr>
        <w:pStyle w:val="MTDisplayEquation"/>
        <w:keepNext w:val="0"/>
        <w:keepLines/>
        <w:spacing w:line="240" w:lineRule="auto" w:before="100" w:after="140"/>
        <w:tabs>
          <w:tab w:val="clear" w:pos="7140"/>
          <w:tab w:val="center" w:pos="4153"/>
          <w:tab w:val="right" w:pos="8306"/>
        </w:tabs>
      </w:pPr>
      <w:r>
        <w:tab/>
        <w:object w:dxaOrig="2797" w:dyaOrig="318" w14:anchorId="04874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7" type="#_x0000_t75" style="width:139.847pt;height:15.876pt" o:ole="">
            <v:imagedata r:id="rIdReport2Math17_media" o:title=""/>
          </v:shape>
          <o:OLEObject Type="Embed" ProgID="Equation.DSMT4" ShapeID="_x0000_i2017" DrawAspect="Content" ObjectID="_2000000017" r:id="rIdReport2Math17_embeddings"/>
        </w:object>
        <w:tab/>
        <w:t>(15)</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LRE选择线性相关系数ρ最大的γ：</w:t>
      </w:r>
    </w:p>
    <w:p>
      <w:pPr>
        <w:pStyle w:val="MTDisplayEquation"/>
        <w:keepNext w:val="0"/>
        <w:keepLines/>
        <w:spacing w:line="240" w:lineRule="auto" w:before="100" w:after="140"/>
        <w:tabs>
          <w:tab w:val="clear" w:pos="7140"/>
          <w:tab w:val="center" w:pos="4153"/>
          <w:tab w:val="right" w:pos="8306"/>
        </w:tabs>
      </w:pPr>
      <w:r>
        <w:tab/>
        <w:object w:dxaOrig="1819" w:dyaOrig="481" w14:anchorId="729ACF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8" type="#_x0000_t75" style="width:90.950pt;height:24.047pt" o:ole="">
            <v:imagedata r:id="rIdReport2Math18_media" o:title=""/>
          </v:shape>
          <o:OLEObject Type="Embed" ProgID="Equation.DSMT4" ShapeID="_x0000_i2018" DrawAspect="Content" ObjectID="_2000000018" r:id="rIdReport2Math18_embeddings"/>
        </w:object>
        <w:tab/>
        <w:t>(16)</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ρ(γ)为给定γ时yᵢ与zᵢ的相关系数。图中的ρ曲线按式（16）确定位置，形状曲线按式（15）取对应的拟合斜率。明显异常分为左侧定位高估和右侧定位低估。</w:t>
      </w:r>
    </w:p>
    <w:p>
      <w:pPr>
        <w:keepNext/>
        <w:keepLines/>
        <w:spacing w:line="240" w:lineRule="auto" w:before="120" w:after="60"/>
        <w:ind w:firstLine="0"/>
        <w:jc w:val="center"/>
      </w:pPr>
      <w:r>
        <w:drawing>
          <wp:inline xmlns:a="http://schemas.openxmlformats.org/drawingml/2006/main" xmlns:pic="http://schemas.openxmlformats.org/drawingml/2006/picture">
            <wp:extent cx="5274310" cy="2950038"/>
            <wp:docPr id="8" name="Picture 8"/>
            <wp:cNvGraphicFramePr>
              <a:graphicFrameLocks noChangeAspect="1"/>
            </wp:cNvGraphicFramePr>
            <a:graphic>
              <a:graphicData uri="http://schemas.openxmlformats.org/drawingml/2006/picture">
                <pic:pic>
                  <pic:nvPicPr>
                    <pic:cNvPr id="0" name="异常分类_LRE_三子图.png"/>
                    <pic:cNvPicPr/>
                  </pic:nvPicPr>
                  <pic:blipFill>
                    <a:blip r:embed="rId16"/>
                    <a:stretch>
                      <a:fillRect/>
                    </a:stretch>
                  </pic:blipFill>
                  <pic:spPr>
                    <a:xfrm>
                      <a:off x="0" y="0"/>
                      <a:ext cx="5274310" cy="2950038"/>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图8｜LRE各类明显异常估计的发生次数。</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（1）左侧定位导致的形状高估。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正常样本与两种左侧高估样本如下：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320"/>
        <w:gridCol w:w="1440"/>
        <w:gridCol w:w="400"/>
        <w:gridCol w:w="720"/>
        <w:gridCol w:w="940"/>
        <w:gridCol w:w="940"/>
        <w:gridCol w:w="2546"/>
      </w:tblGrid>
      <w:tr>
        <w:trPr>
          <w:cantSplit/>
          <w:tblHeader/>
        </w:trPr>
        <w:tc>
          <w:tcPr>
            <w:tcW w:type="dxa" w:w="1320"/>
            <w:vAlign w:val="center"/>
          </w:tcPr>
          <w:p>
            <w:pPr>
              <w:keepNext/>
              <w:snapToGrid w:val="0"/>
              <w:spacing w:before="40" w:after="40" w:line="240" w:lineRule="auto"/>
              <w:ind w:firstLine="0"/>
              <w:jc w:val="center"/>
            </w:pPr>
            <w:r>
              <w:rPr>
                <w:rFonts w:eastAsia="仿宋_GB2312"/>
                <w:b/>
                <w:sz w:val="21"/>
                <w:szCs w:val="24"/>
              </w:rPr>
              <w:t>样本</w:t>
            </w:r>
          </w:p>
        </w:tc>
        <w:tc>
          <w:tcPr>
            <w:tcW w:type="dxa" w:w="1440"/>
            <w:vAlign w:val="center"/>
          </w:tcPr>
          <w:p>
            <w:pPr>
              <w:keepNext/>
              <w:snapToGrid w:val="0"/>
              <w:spacing w:before="40" w:after="40" w:line="240" w:lineRule="auto"/>
              <w:ind w:firstLine="0"/>
              <w:jc w:val="center"/>
            </w:pPr>
            <w:r>
              <w:rPr>
                <w:rFonts w:eastAsia="仿宋_GB2312"/>
                <w:b/>
                <w:sz w:val="21"/>
                <w:szCs w:val="24"/>
              </w:rPr>
              <w:t>参数组合</w:t>
            </w:r>
          </w:p>
        </w:tc>
        <w:tc>
          <w:tcPr>
            <w:tcW w:type="dxa" w:w="400"/>
            <w:vAlign w:val="center"/>
          </w:tcPr>
          <w:p>
            <w:pPr>
              <w:keepNext/>
              <w:snapToGrid w:val="0"/>
              <w:spacing w:before="40" w:after="40" w:line="240" w:lineRule="auto"/>
              <w:ind w:firstLine="0"/>
              <w:jc w:val="center"/>
            </w:pPr>
            <w:r>
              <w:rPr>
                <w:rFonts w:eastAsia="仿宋_GB2312"/>
                <w:b/>
                <w:sz w:val="21"/>
                <w:szCs w:val="24"/>
              </w:rPr>
              <w:t>n</w:t>
            </w:r>
          </w:p>
        </w:tc>
        <w:tc>
          <w:tcPr>
            <w:tcW w:type="dxa" w:w="720"/>
            <w:vAlign w:val="center"/>
          </w:tcPr>
          <w:p>
            <w:pPr>
              <w:keepNext/>
              <w:snapToGrid w:val="0"/>
              <w:spacing w:before="40" w:after="40" w:line="240" w:lineRule="auto"/>
              <w:ind w:firstLine="0"/>
              <w:jc w:val="center"/>
            </w:pPr>
            <w:r>
              <w:rPr>
                <w:rFonts w:eastAsia="仿宋_GB2312"/>
                <w:b/>
                <w:sz w:val="21"/>
                <w:szCs w:val="24"/>
              </w:rPr>
              <w:t>形状β̂</w:t>
            </w:r>
          </w:p>
        </w:tc>
        <w:tc>
          <w:tcPr>
            <w:tcW w:type="dxa" w:w="940"/>
            <w:vAlign w:val="center"/>
          </w:tcPr>
          <w:p>
            <w:pPr>
              <w:keepNext/>
              <w:snapToGrid w:val="0"/>
              <w:spacing w:before="40" w:after="40" w:line="240" w:lineRule="auto"/>
              <w:ind w:firstLine="0"/>
              <w:jc w:val="center"/>
            </w:pPr>
            <w:r>
              <w:rPr>
                <w:rFonts w:eastAsia="仿宋_GB2312"/>
                <w:b/>
                <w:sz w:val="21"/>
                <w:szCs w:val="24"/>
              </w:rPr>
              <w:t>尺度η̂</w:t>
            </w:r>
          </w:p>
        </w:tc>
        <w:tc>
          <w:tcPr>
            <w:tcW w:type="dxa" w:w="940"/>
            <w:vAlign w:val="center"/>
          </w:tcPr>
          <w:p>
            <w:pPr>
              <w:keepNext/>
              <w:snapToGrid w:val="0"/>
              <w:spacing w:before="40" w:after="40" w:line="240" w:lineRule="auto"/>
              <w:ind w:firstLine="0"/>
              <w:jc w:val="center"/>
            </w:pPr>
            <w:r>
              <w:rPr>
                <w:rFonts w:eastAsia="仿宋_GB2312"/>
                <w:b/>
                <w:sz w:val="21"/>
                <w:szCs w:val="24"/>
              </w:rPr>
              <w:t>位置γ̂</w:t>
            </w:r>
          </w:p>
        </w:tc>
        <w:tc>
          <w:tcPr>
            <w:tcW w:type="dxa" w:w="254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320"/>
            <w:vAlign w:val="center"/>
          </w:tcPr>
          <w:p>
            <w:pPr>
              <w:keepNext/>
              <w:snapToGrid w:val="0"/>
              <w:spacing w:before="40" w:after="40" w:line="240" w:lineRule="auto"/>
              <w:ind w:firstLine="0"/>
              <w:jc w:val="center"/>
            </w:pPr>
            <w:r>
              <w:rPr>
                <w:rFonts w:eastAsia="仿宋_GB2312"/>
                <w:b w:val="0"/>
                <w:sz w:val="21"/>
                <w:szCs w:val="24"/>
              </w:rPr>
              <w:t>正常·第4组</w:t>
            </w:r>
          </w:p>
        </w:tc>
        <w:tc>
          <w:tcPr>
            <w:tcW w:type="dxa" w:w="1440"/>
            <w:vAlign w:val="center"/>
          </w:tcPr>
          <w:p>
            <w:pPr>
              <w:keepNext/>
              <w:snapToGrid w:val="0"/>
              <w:spacing w:before="40" w:after="40" w:line="240" w:lineRule="auto"/>
              <w:ind w:firstLine="0"/>
              <w:jc w:val="center"/>
            </w:pPr>
            <w:r>
              <w:rPr>
                <w:rFonts w:eastAsia="仿宋_GB2312"/>
                <w:b w:val="0"/>
                <w:sz w:val="21"/>
                <w:szCs w:val="24"/>
              </w:rPr>
              <w:t>W(2,1000,</w:t>
              <w:br/>
              <w:t>3000)</w:t>
            </w:r>
          </w:p>
        </w:tc>
        <w:tc>
          <w:tcPr>
            <w:tcW w:type="dxa" w:w="400"/>
            <w:vAlign w:val="center"/>
          </w:tcPr>
          <w:p>
            <w:pPr>
              <w:keepNext/>
              <w:snapToGrid w:val="0"/>
              <w:spacing w:before="40" w:after="40" w:line="240" w:lineRule="auto"/>
              <w:ind w:firstLine="0"/>
              <w:jc w:val="center"/>
            </w:pPr>
            <w:r>
              <w:rPr>
                <w:rFonts w:eastAsia="仿宋_GB2312"/>
                <w:b w:val="0"/>
                <w:sz w:val="21"/>
                <w:szCs w:val="24"/>
              </w:rPr>
              <w:t>7</w:t>
            </w:r>
          </w:p>
        </w:tc>
        <w:tc>
          <w:tcPr>
            <w:tcW w:type="dxa" w:w="720"/>
            <w:vAlign w:val="center"/>
          </w:tcPr>
          <w:p>
            <w:pPr>
              <w:keepNext/>
              <w:snapToGrid w:val="0"/>
              <w:spacing w:before="40" w:after="40" w:line="240" w:lineRule="auto"/>
              <w:ind w:firstLine="0"/>
              <w:jc w:val="center"/>
            </w:pPr>
            <w:r>
              <w:rPr>
                <w:rFonts w:eastAsia="仿宋_GB2312"/>
                <w:b w:val="0"/>
                <w:sz w:val="21"/>
                <w:szCs w:val="24"/>
              </w:rPr>
              <w:t>3.01</w:t>
            </w:r>
          </w:p>
        </w:tc>
        <w:tc>
          <w:tcPr>
            <w:tcW w:type="dxa" w:w="940"/>
            <w:vAlign w:val="center"/>
          </w:tcPr>
          <w:p>
            <w:pPr>
              <w:keepNext/>
              <w:snapToGrid w:val="0"/>
              <w:spacing w:before="40" w:after="40" w:line="240" w:lineRule="auto"/>
              <w:ind w:firstLine="0"/>
              <w:jc w:val="center"/>
            </w:pPr>
            <w:r>
              <w:rPr>
                <w:rFonts w:eastAsia="仿宋_GB2312"/>
                <w:b w:val="0"/>
                <w:sz w:val="21"/>
                <w:szCs w:val="24"/>
              </w:rPr>
              <w:t>1743.63</w:t>
            </w:r>
          </w:p>
        </w:tc>
        <w:tc>
          <w:tcPr>
            <w:tcW w:type="dxa" w:w="940"/>
            <w:vAlign w:val="center"/>
          </w:tcPr>
          <w:p>
            <w:pPr>
              <w:keepNext/>
              <w:snapToGrid w:val="0"/>
              <w:spacing w:before="40" w:after="40" w:line="240" w:lineRule="auto"/>
              <w:ind w:firstLine="0"/>
              <w:jc w:val="center"/>
            </w:pPr>
            <w:r>
              <w:rPr>
                <w:rFonts w:eastAsia="仿宋_GB2312"/>
                <w:b w:val="0"/>
                <w:sz w:val="21"/>
                <w:szCs w:val="24"/>
              </w:rPr>
              <w:t>2296.80</w:t>
            </w:r>
          </w:p>
        </w:tc>
        <w:tc>
          <w:tcPr>
            <w:tcW w:type="dxa" w:w="2546"/>
            <w:vAlign w:val="center"/>
          </w:tcPr>
          <w:p>
            <w:pPr>
              <w:keepNext/>
              <w:snapToGrid w:val="0"/>
              <w:spacing w:before="40" w:after="40" w:line="240" w:lineRule="auto"/>
              <w:ind w:firstLine="0"/>
              <w:jc w:val="left"/>
            </w:pPr>
            <w:r>
              <w:rPr>
                <w:rFonts w:eastAsia="仿宋_GB2312"/>
                <w:b w:val="0"/>
                <w:sz w:val="21"/>
                <w:szCs w:val="24"/>
              </w:rPr>
              <w:t>3109.09，3388.63，3881.19，3927.27，3941.84，3990.51，4649.68</w:t>
            </w:r>
          </w:p>
        </w:tc>
      </w:tr>
      <w:tr>
        <w:trPr>
          <w:cantSplit/>
        </w:trPr>
        <w:tc>
          <w:tcPr>
            <w:tcW w:type="dxa" w:w="1320"/>
            <w:vAlign w:val="center"/>
          </w:tcPr>
          <w:p>
            <w:pPr>
              <w:keepNext/>
              <w:snapToGrid w:val="0"/>
              <w:spacing w:before="40" w:after="40" w:line="240" w:lineRule="auto"/>
              <w:ind w:firstLine="0"/>
              <w:jc w:val="center"/>
            </w:pPr>
            <w:r>
              <w:rPr>
                <w:rFonts w:eastAsia="仿宋_GB2312"/>
                <w:b w:val="0"/>
                <w:sz w:val="21"/>
                <w:szCs w:val="24"/>
              </w:rPr>
              <w:t>零边界高估·第5组</w:t>
            </w:r>
          </w:p>
        </w:tc>
        <w:tc>
          <w:tcPr>
            <w:tcW w:type="dxa" w:w="1440"/>
            <w:vAlign w:val="center"/>
          </w:tcPr>
          <w:p>
            <w:pPr>
              <w:keepNext/>
              <w:snapToGrid w:val="0"/>
              <w:spacing w:before="40" w:after="40" w:line="240" w:lineRule="auto"/>
              <w:ind w:firstLine="0"/>
              <w:jc w:val="center"/>
            </w:pPr>
            <w:r>
              <w:rPr>
                <w:rFonts w:eastAsia="仿宋_GB2312"/>
                <w:b w:val="0"/>
                <w:sz w:val="21"/>
                <w:szCs w:val="24"/>
              </w:rPr>
              <w:t>W(2,1000,</w:t>
              <w:br/>
              <w:t>3000)</w:t>
            </w:r>
          </w:p>
        </w:tc>
        <w:tc>
          <w:tcPr>
            <w:tcW w:type="dxa" w:w="400"/>
            <w:vAlign w:val="center"/>
          </w:tcPr>
          <w:p>
            <w:pPr>
              <w:keepNext/>
              <w:snapToGrid w:val="0"/>
              <w:spacing w:before="40" w:after="40" w:line="240" w:lineRule="auto"/>
              <w:ind w:firstLine="0"/>
              <w:jc w:val="center"/>
            </w:pPr>
            <w:r>
              <w:rPr>
                <w:rFonts w:eastAsia="仿宋_GB2312"/>
                <w:b w:val="0"/>
                <w:sz w:val="21"/>
                <w:szCs w:val="24"/>
              </w:rPr>
              <w:t>7</w:t>
            </w:r>
          </w:p>
        </w:tc>
        <w:tc>
          <w:tcPr>
            <w:tcW w:type="dxa" w:w="720"/>
            <w:vAlign w:val="center"/>
          </w:tcPr>
          <w:p>
            <w:pPr>
              <w:keepNext/>
              <w:snapToGrid w:val="0"/>
              <w:spacing w:before="40" w:after="40" w:line="240" w:lineRule="auto"/>
              <w:ind w:firstLine="0"/>
              <w:jc w:val="center"/>
            </w:pPr>
            <w:r>
              <w:rPr>
                <w:rFonts w:eastAsia="仿宋_GB2312"/>
                <w:b w:val="0"/>
                <w:sz w:val="21"/>
                <w:szCs w:val="24"/>
              </w:rPr>
              <w:t>13.78</w:t>
            </w:r>
          </w:p>
        </w:tc>
        <w:tc>
          <w:tcPr>
            <w:tcW w:type="dxa" w:w="940"/>
            <w:vAlign w:val="center"/>
          </w:tcPr>
          <w:p>
            <w:pPr>
              <w:keepNext/>
              <w:snapToGrid w:val="0"/>
              <w:spacing w:before="40" w:after="40" w:line="240" w:lineRule="auto"/>
              <w:ind w:firstLine="0"/>
              <w:jc w:val="center"/>
            </w:pPr>
            <w:r>
              <w:rPr>
                <w:rFonts w:eastAsia="仿宋_GB2312"/>
                <w:b w:val="0"/>
                <w:sz w:val="21"/>
                <w:szCs w:val="24"/>
              </w:rPr>
              <w:t>3993.75</w:t>
            </w:r>
          </w:p>
        </w:tc>
        <w:tc>
          <w:tcPr>
            <w:tcW w:type="dxa" w:w="940"/>
            <w:vAlign w:val="center"/>
          </w:tcPr>
          <w:p>
            <w:pPr>
              <w:keepNext/>
              <w:snapToGrid w:val="0"/>
              <w:spacing w:before="40" w:after="40" w:line="240" w:lineRule="auto"/>
              <w:ind w:firstLine="0"/>
              <w:jc w:val="center"/>
            </w:pPr>
            <w:r>
              <w:rPr>
                <w:rFonts w:eastAsia="仿宋_GB2312"/>
                <w:b w:val="0"/>
                <w:sz w:val="21"/>
                <w:szCs w:val="24"/>
              </w:rPr>
              <w:t>0.00</w:t>
            </w:r>
          </w:p>
        </w:tc>
        <w:tc>
          <w:tcPr>
            <w:tcW w:type="dxa" w:w="2546"/>
            <w:vAlign w:val="center"/>
          </w:tcPr>
          <w:p>
            <w:pPr>
              <w:keepNext/>
              <w:snapToGrid w:val="0"/>
              <w:spacing w:before="40" w:after="40" w:line="240" w:lineRule="auto"/>
              <w:ind w:firstLine="0"/>
              <w:jc w:val="left"/>
            </w:pPr>
            <w:r>
              <w:rPr>
                <w:rFonts w:eastAsia="仿宋_GB2312"/>
                <w:b w:val="0"/>
                <w:sz w:val="21"/>
                <w:szCs w:val="24"/>
              </w:rPr>
              <w:t>3301.70，3818.64，3840.65，3938.63，3979.78，4031.52，4091.30</w:t>
            </w:r>
          </w:p>
        </w:tc>
      </w:tr>
      <w:tr>
        <w:trPr>
          <w:cantSplit/>
        </w:trPr>
        <w:tc>
          <w:tcPr>
            <w:tcW w:type="dxa" w:w="1320"/>
            <w:vAlign w:val="center"/>
          </w:tcPr>
          <w:p>
            <w:pPr>
              <w:keepNext w:val="0"/>
              <w:snapToGrid w:val="0"/>
              <w:spacing w:before="40" w:after="40" w:line="240" w:lineRule="auto"/>
              <w:ind w:firstLine="0"/>
              <w:jc w:val="center"/>
            </w:pPr>
            <w:r>
              <w:rPr>
                <w:rFonts w:eastAsia="仿宋_GB2312"/>
                <w:b w:val="0"/>
                <w:sz w:val="21"/>
                <w:szCs w:val="24"/>
              </w:rPr>
              <w:t>内部左侧高估·第36组</w:t>
            </w:r>
          </w:p>
        </w:tc>
        <w:tc>
          <w:tcPr>
            <w:tcW w:type="dxa" w:w="1440"/>
            <w:vAlign w:val="center"/>
          </w:tcPr>
          <w:p>
            <w:pPr>
              <w:keepNext w:val="0"/>
              <w:snapToGrid w:val="0"/>
              <w:spacing w:before="40" w:after="40" w:line="240" w:lineRule="auto"/>
              <w:ind w:firstLine="0"/>
              <w:jc w:val="center"/>
            </w:pPr>
            <w:r>
              <w:rPr>
                <w:rFonts w:eastAsia="仿宋_GB2312"/>
                <w:b w:val="0"/>
                <w:sz w:val="21"/>
                <w:szCs w:val="24"/>
              </w:rPr>
              <w:t>W(2,100,500)</w:t>
            </w:r>
          </w:p>
        </w:tc>
        <w:tc>
          <w:tcPr>
            <w:tcW w:type="dxa" w:w="400"/>
            <w:vAlign w:val="center"/>
          </w:tcPr>
          <w:p>
            <w:pPr>
              <w:keepNext w:val="0"/>
              <w:snapToGrid w:val="0"/>
              <w:spacing w:before="40" w:after="40" w:line="240" w:lineRule="auto"/>
              <w:ind w:firstLine="0"/>
              <w:jc w:val="center"/>
            </w:pPr>
            <w:r>
              <w:rPr>
                <w:rFonts w:eastAsia="仿宋_GB2312"/>
                <w:b w:val="0"/>
                <w:sz w:val="21"/>
                <w:szCs w:val="24"/>
              </w:rPr>
              <w:t>15</w:t>
            </w:r>
          </w:p>
        </w:tc>
        <w:tc>
          <w:tcPr>
            <w:tcW w:type="dxa" w:w="720"/>
            <w:vAlign w:val="center"/>
          </w:tcPr>
          <w:p>
            <w:pPr>
              <w:keepNext w:val="0"/>
              <w:snapToGrid w:val="0"/>
              <w:spacing w:before="40" w:after="40" w:line="240" w:lineRule="auto"/>
              <w:ind w:firstLine="0"/>
              <w:jc w:val="center"/>
            </w:pPr>
            <w:r>
              <w:rPr>
                <w:rFonts w:eastAsia="仿宋_GB2312"/>
                <w:b w:val="0"/>
                <w:sz w:val="21"/>
                <w:szCs w:val="24"/>
              </w:rPr>
              <w:t>18.80</w:t>
            </w:r>
          </w:p>
        </w:tc>
        <w:tc>
          <w:tcPr>
            <w:tcW w:type="dxa" w:w="940"/>
            <w:vAlign w:val="center"/>
          </w:tcPr>
          <w:p>
            <w:pPr>
              <w:keepNext w:val="0"/>
              <w:snapToGrid w:val="0"/>
              <w:spacing w:before="40" w:after="40" w:line="240" w:lineRule="auto"/>
              <w:ind w:firstLine="0"/>
              <w:jc w:val="center"/>
            </w:pPr>
            <w:r>
              <w:rPr>
                <w:rFonts w:eastAsia="仿宋_GB2312"/>
                <w:b w:val="0"/>
                <w:sz w:val="21"/>
                <w:szCs w:val="24"/>
              </w:rPr>
              <w:t>522.81</w:t>
            </w:r>
          </w:p>
        </w:tc>
        <w:tc>
          <w:tcPr>
            <w:tcW w:type="dxa" w:w="940"/>
            <w:vAlign w:val="center"/>
          </w:tcPr>
          <w:p>
            <w:pPr>
              <w:keepNext w:val="0"/>
              <w:snapToGrid w:val="0"/>
              <w:spacing w:before="40" w:after="40" w:line="240" w:lineRule="auto"/>
              <w:ind w:firstLine="0"/>
              <w:jc w:val="center"/>
            </w:pPr>
            <w:r>
              <w:rPr>
                <w:rFonts w:eastAsia="仿宋_GB2312"/>
                <w:b w:val="0"/>
                <w:sz w:val="21"/>
                <w:szCs w:val="24"/>
              </w:rPr>
              <w:t>85.73</w:t>
            </w:r>
          </w:p>
        </w:tc>
        <w:tc>
          <w:tcPr>
            <w:tcW w:type="dxa" w:w="2546"/>
            <w:vAlign w:val="center"/>
          </w:tcPr>
          <w:p>
            <w:pPr>
              <w:keepNext w:val="0"/>
              <w:snapToGrid w:val="0"/>
              <w:spacing w:before="40" w:after="40" w:line="240" w:lineRule="auto"/>
              <w:ind w:firstLine="0"/>
              <w:jc w:val="left"/>
            </w:pPr>
            <w:r>
              <w:rPr>
                <w:rFonts w:eastAsia="仿宋_GB2312"/>
                <w:b w:val="0"/>
                <w:sz w:val="21"/>
                <w:szCs w:val="24"/>
              </w:rPr>
              <w:t>524.67，551.74，554.21，573.41，585.02，588.71，591.87，595.61，609.05，610.30，611.69，617.54，625.80，633.61，640.02</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图9对照式（16）的相关性最高点及式（15）对应的拟合斜率与形状。</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9" name="Picture 9"/>
            <wp:cNvGraphicFramePr>
              <a:graphicFrameLocks noChangeAspect="1"/>
            </wp:cNvGraphicFramePr>
            <a:graphic>
              <a:graphicData uri="http://schemas.openxmlformats.org/drawingml/2006/picture">
                <pic:pic>
                  <pic:nvPicPr>
                    <pic:cNvPr id="0" name="配对情形_LRE_zero.png"/>
                    <pic:cNvPicPr/>
                  </pic:nvPicPr>
                  <pic:blipFill>
                    <a:blip r:embed="rId17"/>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图9｜两个异常样本均通过左移提高概率图相关性，压缩的横向跨度使斜率和形状增大。</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4组的相关性最高点位于内部，所选点列保留较大的横向跨度。第5组的最小观测较孤立，后续观测集中；第36组的下端间距较大。左移γ压缩下端对数间距，改善与概率图参考点的匹配，第5组在γ=0达到最高相关性，第36组在内部γ=85.73达到最高相关性。</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LRE的纵向参考坐标固定。第5组左移后的对数跨度缩至0.21，第36组由1.74缩至0.23；横向跨度变窄使拟合线变陡，斜率分别达到13.78、18.80，按式（15）直接得到形状高估。</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（2）右侧定位导致的形状低估。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W(2,1000,500)、n=7的正常与异常样本如下：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正常·第18组</w:t>
            </w:r>
          </w:p>
        </w:tc>
        <w:tc>
          <w:tcPr>
            <w:tcW w:type="dxa" w:w="900"/>
            <w:vAlign w:val="center"/>
          </w:tcPr>
          <w:p>
            <w:pPr>
              <w:keepNext/>
              <w:snapToGrid w:val="0"/>
              <w:spacing w:before="40" w:after="40" w:line="240" w:lineRule="auto"/>
              <w:ind w:firstLine="0"/>
              <w:jc w:val="center"/>
            </w:pPr>
            <w:r>
              <w:rPr>
                <w:rFonts w:eastAsia="仿宋_GB2312"/>
                <w:b w:val="0"/>
                <w:sz w:val="21"/>
                <w:szCs w:val="24"/>
              </w:rPr>
              <w:t>0.86</w:t>
            </w:r>
          </w:p>
        </w:tc>
        <w:tc>
          <w:tcPr>
            <w:tcW w:type="dxa" w:w="1200"/>
            <w:vAlign w:val="center"/>
          </w:tcPr>
          <w:p>
            <w:pPr>
              <w:keepNext/>
              <w:snapToGrid w:val="0"/>
              <w:spacing w:before="40" w:after="40" w:line="240" w:lineRule="auto"/>
              <w:ind w:firstLine="0"/>
              <w:jc w:val="center"/>
            </w:pPr>
            <w:r>
              <w:rPr>
                <w:rFonts w:eastAsia="仿宋_GB2312"/>
                <w:b w:val="0"/>
                <w:sz w:val="21"/>
                <w:szCs w:val="24"/>
              </w:rPr>
              <w:t>538.49</w:t>
            </w:r>
          </w:p>
        </w:tc>
        <w:tc>
          <w:tcPr>
            <w:tcW w:type="dxa" w:w="1200"/>
            <w:vAlign w:val="center"/>
          </w:tcPr>
          <w:p>
            <w:pPr>
              <w:keepNext/>
              <w:snapToGrid w:val="0"/>
              <w:spacing w:before="40" w:after="40" w:line="240" w:lineRule="auto"/>
              <w:ind w:firstLine="0"/>
              <w:jc w:val="center"/>
            </w:pPr>
            <w:r>
              <w:rPr>
                <w:rFonts w:eastAsia="仿宋_GB2312"/>
                <w:b w:val="0"/>
                <w:sz w:val="21"/>
                <w:szCs w:val="24"/>
              </w:rPr>
              <w:t>598.12</w:t>
            </w:r>
          </w:p>
        </w:tc>
        <w:tc>
          <w:tcPr>
            <w:tcW w:type="dxa" w:w="3606"/>
            <w:vAlign w:val="center"/>
          </w:tcPr>
          <w:p>
            <w:pPr>
              <w:keepNext/>
              <w:snapToGrid w:val="0"/>
              <w:spacing w:before="40" w:after="40" w:line="240" w:lineRule="auto"/>
              <w:ind w:firstLine="0"/>
              <w:jc w:val="left"/>
            </w:pPr>
            <w:r>
              <w:rPr>
                <w:rFonts w:eastAsia="仿宋_GB2312"/>
                <w:b w:val="0"/>
                <w:sz w:val="21"/>
                <w:szCs w:val="24"/>
              </w:rPr>
              <w:t>634.38，750.70，764.00，978.92，1044.85，1698.88，1814.71</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异常·第19组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0.56</w:t>
            </w:r>
          </w:p>
        </w:tc>
        <w:tc>
          <w:tcPr>
            <w:tcW w:type="dxa" w:w="1200"/>
            <w:vAlign w:val="center"/>
          </w:tcPr>
          <w:p>
            <w:pPr>
              <w:keepNext w:val="0"/>
              <w:snapToGrid w:val="0"/>
              <w:spacing w:before="40" w:after="40" w:line="240" w:lineRule="auto"/>
              <w:ind w:firstLine="0"/>
              <w:jc w:val="center"/>
            </w:pPr>
            <w:r>
              <w:rPr>
                <w:rFonts w:eastAsia="仿宋_GB2312"/>
                <w:b w:val="0"/>
                <w:sz w:val="21"/>
                <w:szCs w:val="24"/>
              </w:rPr>
              <w:t>384.30</w:t>
            </w:r>
          </w:p>
        </w:tc>
        <w:tc>
          <w:tcPr>
            <w:tcW w:type="dxa" w:w="1200"/>
            <w:vAlign w:val="center"/>
          </w:tcPr>
          <w:p>
            <w:pPr>
              <w:keepNext w:val="0"/>
              <w:snapToGrid w:val="0"/>
              <w:spacing w:before="40" w:after="40" w:line="240" w:lineRule="auto"/>
              <w:ind w:firstLine="0"/>
              <w:jc w:val="center"/>
            </w:pPr>
            <w:r>
              <w:rPr>
                <w:rFonts w:eastAsia="仿宋_GB2312"/>
                <w:b w:val="0"/>
                <w:sz w:val="21"/>
                <w:szCs w:val="24"/>
              </w:rPr>
              <w:t>773.02</w:t>
            </w:r>
          </w:p>
        </w:tc>
        <w:tc>
          <w:tcPr>
            <w:tcW w:type="dxa" w:w="3606"/>
            <w:vAlign w:val="center"/>
          </w:tcPr>
          <w:p>
            <w:pPr>
              <w:keepNext w:val="0"/>
              <w:snapToGrid w:val="0"/>
              <w:spacing w:before="40" w:after="40" w:line="240" w:lineRule="auto"/>
              <w:ind w:firstLine="0"/>
              <w:jc w:val="left"/>
            </w:pPr>
            <w:r>
              <w:rPr>
                <w:rFonts w:eastAsia="仿宋_GB2312"/>
                <w:b w:val="0"/>
                <w:sz w:val="21"/>
                <w:szCs w:val="24"/>
              </w:rPr>
              <w:t>779.38，799.04，885.47，1061.58，1197.68，1302.69，2480.21</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图10对照式（16）选择的右侧位置、概率图横向跨度及式（15）的斜率与形状关系。</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10" name="Picture 10"/>
            <wp:cNvGraphicFramePr>
              <a:graphicFrameLocks noChangeAspect="1"/>
            </wp:cNvGraphicFramePr>
            <a:graphic>
              <a:graphicData uri="http://schemas.openxmlformats.org/drawingml/2006/picture">
                <pic:pic>
                  <pic:nvPicPr>
                    <pic:cNvPr id="0" name="配对情形_LRE_right.png"/>
                    <pic:cNvPicPr/>
                  </pic:nvPicPr>
                  <pic:blipFill>
                    <a:blip r:embed="rId18"/>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图10｜第19组的右侧相关性最高点，对应更平的拟合线和形状低估。</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第19组的上端观测远离其余点列，真位置下点列弯曲。右移γ拉开下端对数间距，相关性在内部右侧达到最高点。</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19组的所选位置距最小观测6.36，第18组则为36.26。前者的下端对数点被拉得更远，横向跨度更大，拟合线更平；按式（15）直接取斜率后得到β=0.56。两组的相关性准则都选择右侧位置，更靠近最小值的第19组因此形成明显低估。</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LRE中，位置左移压缩概率图的横向跨度，增大斜率并造成β高估；位置右移拉开横向跨度，减小斜率并造成β低估。</w:t>
      </w:r>
    </w:p>
    <w:p>
      <w:pPr>
        <w:pStyle w:val="3"/>
        <w:keepNext/>
        <w:jc w:val="left"/>
        <w:rPr>
          <w:rFonts w:ascii="宋体" w:eastAsia="宋体" w:hAnsi="宋体"/>
          <w:b w:val="0"/>
          <w:sz w:val="28"/>
          <w:szCs w:val="28"/>
        </w:rPr>
      </w:pPr>
      <w:r>
        <w:rPr>
          <w:rFonts w:ascii="宋体" w:eastAsia="宋体" w:hAnsi="宋体"/>
          <w:b/>
          <w:sz w:val="24"/>
          <w:szCs w:val="28"/>
        </w:rPr>
        <w:t>2.1.4　WMLE</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WMLE先根据样本量取得校准权重，将形状与位置的两条加权方程写成残差：</w:t>
      </w:r>
    </w:p>
    <w:p>
      <w:pPr>
        <w:pStyle w:val="MTDisplayEquation"/>
        <w:keepNext w:val="0"/>
        <w:keepLines/>
        <w:spacing w:line="240" w:lineRule="auto" w:before="100" w:after="140"/>
        <w:tabs>
          <w:tab w:val="clear" w:pos="7140"/>
          <w:tab w:val="center" w:pos="4153"/>
          <w:tab w:val="right" w:pos="8306"/>
        </w:tabs>
      </w:pPr>
      <w:r>
        <w:tab/>
        <w:object w:dxaOrig="3943" w:dyaOrig="906" w14:anchorId="68CA1A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9" type="#_x0000_t75" style="width:197.170pt;height:45.304pt" o:ole="">
            <v:imagedata r:id="rIdReport2Math19_media" o:title=""/>
          </v:shape>
          <o:OLEObject Type="Embed" ProgID="Equation.DSMT4" ShapeID="_x0000_i2019" DrawAspect="Content" ObjectID="_2000000019" r:id="rIdReport2Math19_embeddings"/>
        </w:object>
        <w:tab/>
        <w:t>(17)</w:t>
      </w:r>
    </w:p>
    <w:p>
      <w:pPr>
        <w:pStyle w:val="MTDisplayEquation"/>
        <w:keepNext w:val="0"/>
        <w:keepLines/>
        <w:spacing w:line="240" w:lineRule="auto" w:before="100" w:after="140"/>
        <w:tabs>
          <w:tab w:val="clear" w:pos="7140"/>
          <w:tab w:val="center" w:pos="4153"/>
          <w:tab w:val="right" w:pos="8306"/>
        </w:tabs>
      </w:pPr>
      <w:r>
        <w:tab/>
        <w:object w:dxaOrig="6145" w:dyaOrig="720" w14:anchorId="70EC2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0" type="#_x0000_t75" style="width:307.232pt;height:35.988pt" o:ole="">
            <v:imagedata r:id="rIdReport2Math20_media" o:title=""/>
          </v:shape>
          <o:OLEObject Type="Embed" ProgID="Equation.DSMT4" ShapeID="_x0000_i2020" DrawAspect="Content" ObjectID="_2000000020" r:id="rIdReport2Math20_embeddings"/>
        </w:object>
        <w:tab/>
        <w:t>(18)</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J₂、J₃分别为形状与位置的校准权重，J₃随候选β更新。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T₁、T₂为形状与位置方程的残差。两式共享β和γ，需要联立求解；程序共同调整β、γ，最小化残差平方和：</w:t>
      </w:r>
    </w:p>
    <w:p>
      <w:pPr>
        <w:pStyle w:val="MTDisplayEquation"/>
        <w:keepNext w:val="0"/>
        <w:keepLines/>
        <w:spacing w:line="240" w:lineRule="auto" w:before="100" w:after="140"/>
        <w:tabs>
          <w:tab w:val="clear" w:pos="7140"/>
          <w:tab w:val="center" w:pos="4153"/>
          <w:tab w:val="right" w:pos="8306"/>
        </w:tabs>
      </w:pPr>
      <w:r>
        <w:tab/>
        <w:object w:dxaOrig="4073" w:dyaOrig="527" w14:anchorId="6E4E4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1" type="#_x0000_t75" style="width:203.634pt;height:26.366pt" o:ole="">
            <v:imagedata r:id="rIdReport2Math21_media" o:title=""/>
          </v:shape>
          <o:OLEObject Type="Embed" ProgID="Equation.DSMT4" ShapeID="_x0000_i2021" DrawAspect="Content" ObjectID="_2000000021" r:id="rIdReport2Math21_embeddings"/>
        </w:object>
        <w:tab/>
        <w:t>(19)</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图12、13的a、d为原程序选中起点的实际迭代，展示式（17）、（18）的两个残差怎样趋近零；b、e为T₁=0与T₂=0的参数组合，共同交点同时确定β̂、γ̂。程序按式（19）求解，以残差平方和≤1e−8接受返回值。</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得到β̂、γ̂后，将它们代入尺度公式：</w:t>
      </w:r>
    </w:p>
    <w:p>
      <w:pPr>
        <w:pStyle w:val="MTDisplayEquation"/>
        <w:keepNext w:val="0"/>
        <w:keepLines/>
        <w:spacing w:line="240" w:lineRule="auto" w:before="100" w:after="140"/>
        <w:tabs>
          <w:tab w:val="clear" w:pos="7140"/>
          <w:tab w:val="center" w:pos="4153"/>
          <w:tab w:val="right" w:pos="8306"/>
        </w:tabs>
      </w:pPr>
      <w:r>
        <w:tab/>
        <w:object w:dxaOrig="2769" w:dyaOrig="1340" w14:anchorId="02702E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2" type="#_x0000_t75" style="width:138.469pt;height:66.985pt" o:ole="">
            <v:imagedata r:id="rIdReport2Math22_media" o:title=""/>
          </v:shape>
          <o:OLEObject Type="Embed" ProgID="Equation.DSMT4" ShapeID="_x0000_i2022" DrawAspect="Content" ObjectID="_2000000022" r:id="rIdReport2Math22_embeddings"/>
        </w:object>
        <w:tab/>
        <w:t>(20)</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J₁为尺度校准权重。图12、13的c、f固定已求得的β̂、γ̂，以η为横坐标画式（20）左侧。曲线与J₁水平线的交点对应η̂，白菱形标出尺度真值。</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本批J₃权重表覆盖β=0.1—5，β&gt;5采用端点工程近似。形状搜索上限为10。明显异常分为右侧交点低估和左侧交点高估。</w:t>
      </w:r>
    </w:p>
    <w:p>
      <w:pPr>
        <w:keepNext/>
        <w:keepLines/>
        <w:spacing w:line="240" w:lineRule="auto" w:before="120" w:after="60"/>
        <w:ind w:firstLine="0"/>
        <w:jc w:val="center"/>
      </w:pPr>
      <w:r>
        <w:drawing>
          <wp:inline xmlns:a="http://schemas.openxmlformats.org/drawingml/2006/main" xmlns:pic="http://schemas.openxmlformats.org/drawingml/2006/picture">
            <wp:extent cx="5274310" cy="2950038"/>
            <wp:docPr id="11" name="Picture 11"/>
            <wp:cNvGraphicFramePr>
              <a:graphicFrameLocks noChangeAspect="1"/>
            </wp:cNvGraphicFramePr>
            <a:graphic>
              <a:graphicData uri="http://schemas.openxmlformats.org/drawingml/2006/picture">
                <pic:pic>
                  <pic:nvPicPr>
                    <pic:cNvPr id="0" name="异常分类_WMLE_三子图.png"/>
                    <pic:cNvPicPr/>
                  </pic:nvPicPr>
                  <pic:blipFill>
                    <a:blip r:embed="rId19"/>
                    <a:stretch>
                      <a:fillRect/>
                    </a:stretch>
                  </pic:blipFill>
                  <pic:spPr>
                    <a:xfrm>
                      <a:off x="0" y="0"/>
                      <a:ext cx="5274310" cy="2950038"/>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图11｜WMLE各类明显异常估计的发生次数。</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（1）右侧交点的低估。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W(5,100,500)、n=7的正常与异常样本如下：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正常·第3组</w:t>
            </w:r>
          </w:p>
        </w:tc>
        <w:tc>
          <w:tcPr>
            <w:tcW w:type="dxa" w:w="900"/>
            <w:vAlign w:val="center"/>
          </w:tcPr>
          <w:p>
            <w:pPr>
              <w:keepNext/>
              <w:snapToGrid w:val="0"/>
              <w:spacing w:before="40" w:after="40" w:line="240" w:lineRule="auto"/>
              <w:ind w:firstLine="0"/>
              <w:jc w:val="center"/>
            </w:pPr>
            <w:r>
              <w:rPr>
                <w:rFonts w:eastAsia="仿宋_GB2312"/>
                <w:b w:val="0"/>
                <w:sz w:val="21"/>
                <w:szCs w:val="24"/>
              </w:rPr>
              <w:t>5.35</w:t>
            </w:r>
          </w:p>
        </w:tc>
        <w:tc>
          <w:tcPr>
            <w:tcW w:type="dxa" w:w="1200"/>
            <w:vAlign w:val="center"/>
          </w:tcPr>
          <w:p>
            <w:pPr>
              <w:keepNext/>
              <w:snapToGrid w:val="0"/>
              <w:spacing w:before="40" w:after="40" w:line="240" w:lineRule="auto"/>
              <w:ind w:firstLine="0"/>
              <w:jc w:val="center"/>
            </w:pPr>
            <w:r>
              <w:rPr>
                <w:rFonts w:eastAsia="仿宋_GB2312"/>
                <w:b w:val="0"/>
                <w:sz w:val="21"/>
                <w:szCs w:val="24"/>
              </w:rPr>
              <w:t>86.69</w:t>
            </w:r>
          </w:p>
        </w:tc>
        <w:tc>
          <w:tcPr>
            <w:tcW w:type="dxa" w:w="1200"/>
            <w:vAlign w:val="center"/>
          </w:tcPr>
          <w:p>
            <w:pPr>
              <w:keepNext/>
              <w:snapToGrid w:val="0"/>
              <w:spacing w:before="40" w:after="40" w:line="240" w:lineRule="auto"/>
              <w:ind w:firstLine="0"/>
              <w:jc w:val="center"/>
            </w:pPr>
            <w:r>
              <w:rPr>
                <w:rFonts w:eastAsia="仿宋_GB2312"/>
                <w:b w:val="0"/>
                <w:sz w:val="21"/>
                <w:szCs w:val="24"/>
              </w:rPr>
              <w:t>508.70</w:t>
            </w:r>
          </w:p>
        </w:tc>
        <w:tc>
          <w:tcPr>
            <w:tcW w:type="dxa" w:w="3606"/>
            <w:vAlign w:val="center"/>
          </w:tcPr>
          <w:p>
            <w:pPr>
              <w:keepNext/>
              <w:snapToGrid w:val="0"/>
              <w:spacing w:before="40" w:after="40" w:line="240" w:lineRule="auto"/>
              <w:ind w:firstLine="0"/>
              <w:jc w:val="left"/>
            </w:pPr>
            <w:r>
              <w:rPr>
                <w:rFonts w:eastAsia="仿宋_GB2312"/>
                <w:b w:val="0"/>
                <w:sz w:val="21"/>
                <w:szCs w:val="24"/>
              </w:rPr>
              <w:t>548.67，582.32，591.79，594.50，597.08，600.67，607.52</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异常·第11组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1.10</w:t>
            </w:r>
          </w:p>
        </w:tc>
        <w:tc>
          <w:tcPr>
            <w:tcW w:type="dxa" w:w="1200"/>
            <w:vAlign w:val="center"/>
          </w:tcPr>
          <w:p>
            <w:pPr>
              <w:keepNext w:val="0"/>
              <w:snapToGrid w:val="0"/>
              <w:spacing w:before="40" w:after="40" w:line="240" w:lineRule="auto"/>
              <w:ind w:firstLine="0"/>
              <w:jc w:val="center"/>
            </w:pPr>
            <w:r>
              <w:rPr>
                <w:rFonts w:eastAsia="仿宋_GB2312"/>
                <w:b w:val="0"/>
                <w:sz w:val="21"/>
                <w:szCs w:val="24"/>
              </w:rPr>
              <w:t>26.30</w:t>
            </w:r>
          </w:p>
        </w:tc>
        <w:tc>
          <w:tcPr>
            <w:tcW w:type="dxa" w:w="1200"/>
            <w:vAlign w:val="center"/>
          </w:tcPr>
          <w:p>
            <w:pPr>
              <w:keepNext w:val="0"/>
              <w:snapToGrid w:val="0"/>
              <w:spacing w:before="40" w:after="40" w:line="240" w:lineRule="auto"/>
              <w:ind w:firstLine="0"/>
              <w:jc w:val="center"/>
            </w:pPr>
            <w:r>
              <w:rPr>
                <w:rFonts w:eastAsia="仿宋_GB2312"/>
                <w:b w:val="0"/>
                <w:sz w:val="21"/>
                <w:szCs w:val="24"/>
              </w:rPr>
              <w:t>573.51</w:t>
            </w:r>
          </w:p>
        </w:tc>
        <w:tc>
          <w:tcPr>
            <w:tcW w:type="dxa" w:w="3606"/>
            <w:vAlign w:val="center"/>
          </w:tcPr>
          <w:p>
            <w:pPr>
              <w:keepNext w:val="0"/>
              <w:snapToGrid w:val="0"/>
              <w:spacing w:before="40" w:after="40" w:line="240" w:lineRule="auto"/>
              <w:ind w:firstLine="0"/>
              <w:jc w:val="left"/>
            </w:pPr>
            <w:r>
              <w:rPr>
                <w:rFonts w:eastAsia="仿宋_GB2312"/>
                <w:b w:val="0"/>
                <w:sz w:val="21"/>
                <w:szCs w:val="24"/>
              </w:rPr>
              <w:t>575.95，585.29，585.82，586.04，606.41，616.31，629.89</w:t>
            </w:r>
          </w:p>
        </w:tc>
      </w:tr>
    </w:tbl>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12" name="Picture 12"/>
            <wp:cNvGraphicFramePr>
              <a:graphicFrameLocks noChangeAspect="1"/>
            </wp:cNvGraphicFramePr>
            <a:graphic>
              <a:graphicData uri="http://schemas.openxmlformats.org/drawingml/2006/picture">
                <pic:pic>
                  <pic:nvPicPr>
                    <pic:cNvPr id="0" name="配对情形_WMLE_low.png"/>
                    <pic:cNvPicPr/>
                  </pic:nvPicPr>
                  <pic:blipFill>
                    <a:blip r:embed="rId20"/>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图12｜第11组的共同交点靠近最小观测，同时给出较小的形状与尺度。</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第3组的最小观测与第二小观测相隔33.64；第11组前四个观测集中在575.95—586.04。不同的间距结构改变式（17）、（18）的平衡位置。图12a、d中，两组的T₁、T₂均随迭代趋近零。</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3组两条方程的共同交点为γ=508.70、β=5.35，接近真参数。第11组的共同交点则为γ=573.51、β=1.10，位置距最小观测仅2.44。这个组合扩大了对数距离的跨度，式（17）的加权均值与普通均值之差随之改变，两式在较小形状处同时满足。</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将β=1.10、γ=573.51代入式（20），图12f的尺度方程在η=26.30处与J₁相交；第3组的交点为η=86.69。第11组已将两条加权方程解到接近零，但联合解偏离真参数，并通过尺度公式形成η的低估。</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（2）左侧交点的高估。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W(1.5,100,500)、n=7的正常与异常样本如下：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正常·第1组</w:t>
            </w:r>
          </w:p>
        </w:tc>
        <w:tc>
          <w:tcPr>
            <w:tcW w:type="dxa" w:w="900"/>
            <w:vAlign w:val="center"/>
          </w:tcPr>
          <w:p>
            <w:pPr>
              <w:keepNext/>
              <w:snapToGrid w:val="0"/>
              <w:spacing w:before="40" w:after="40" w:line="240" w:lineRule="auto"/>
              <w:ind w:firstLine="0"/>
              <w:jc w:val="center"/>
            </w:pPr>
            <w:r>
              <w:rPr>
                <w:rFonts w:eastAsia="仿宋_GB2312"/>
                <w:b w:val="0"/>
                <w:sz w:val="21"/>
                <w:szCs w:val="24"/>
              </w:rPr>
              <w:t>1.60</w:t>
            </w:r>
          </w:p>
        </w:tc>
        <w:tc>
          <w:tcPr>
            <w:tcW w:type="dxa" w:w="1200"/>
            <w:vAlign w:val="center"/>
          </w:tcPr>
          <w:p>
            <w:pPr>
              <w:keepNext/>
              <w:snapToGrid w:val="0"/>
              <w:spacing w:before="40" w:after="40" w:line="240" w:lineRule="auto"/>
              <w:ind w:firstLine="0"/>
              <w:jc w:val="center"/>
            </w:pPr>
            <w:r>
              <w:rPr>
                <w:rFonts w:eastAsia="仿宋_GB2312"/>
                <w:b w:val="0"/>
                <w:sz w:val="21"/>
                <w:szCs w:val="24"/>
              </w:rPr>
              <w:t>100.92</w:t>
            </w:r>
          </w:p>
        </w:tc>
        <w:tc>
          <w:tcPr>
            <w:tcW w:type="dxa" w:w="1200"/>
            <w:vAlign w:val="center"/>
          </w:tcPr>
          <w:p>
            <w:pPr>
              <w:keepNext/>
              <w:snapToGrid w:val="0"/>
              <w:spacing w:before="40" w:after="40" w:line="240" w:lineRule="auto"/>
              <w:ind w:firstLine="0"/>
              <w:jc w:val="center"/>
            </w:pPr>
            <w:r>
              <w:rPr>
                <w:rFonts w:eastAsia="仿宋_GB2312"/>
                <w:b w:val="0"/>
                <w:sz w:val="21"/>
                <w:szCs w:val="24"/>
              </w:rPr>
              <w:t>503.91</w:t>
            </w:r>
          </w:p>
        </w:tc>
        <w:tc>
          <w:tcPr>
            <w:tcW w:type="dxa" w:w="3606"/>
            <w:vAlign w:val="center"/>
          </w:tcPr>
          <w:p>
            <w:pPr>
              <w:keepNext/>
              <w:snapToGrid w:val="0"/>
              <w:spacing w:before="40" w:after="40" w:line="240" w:lineRule="auto"/>
              <w:ind w:firstLine="0"/>
              <w:jc w:val="left"/>
            </w:pPr>
            <w:r>
              <w:rPr>
                <w:rFonts w:eastAsia="仿宋_GB2312"/>
                <w:b w:val="0"/>
                <w:sz w:val="21"/>
                <w:szCs w:val="24"/>
              </w:rPr>
              <w:t>522.01，544.93，575.77，589.69，607.03，638.15，678.65</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异常·第9组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5.31</w:t>
            </w:r>
          </w:p>
        </w:tc>
        <w:tc>
          <w:tcPr>
            <w:tcW w:type="dxa" w:w="1200"/>
            <w:vAlign w:val="center"/>
          </w:tcPr>
          <w:p>
            <w:pPr>
              <w:keepNext w:val="0"/>
              <w:snapToGrid w:val="0"/>
              <w:spacing w:before="40" w:after="40" w:line="240" w:lineRule="auto"/>
              <w:ind w:firstLine="0"/>
              <w:jc w:val="center"/>
            </w:pPr>
            <w:r>
              <w:rPr>
                <w:rFonts w:eastAsia="仿宋_GB2312"/>
                <w:b w:val="0"/>
                <w:sz w:val="21"/>
                <w:szCs w:val="24"/>
              </w:rPr>
              <w:t>163.08</w:t>
            </w:r>
          </w:p>
        </w:tc>
        <w:tc>
          <w:tcPr>
            <w:tcW w:type="dxa" w:w="1200"/>
            <w:vAlign w:val="center"/>
          </w:tcPr>
          <w:p>
            <w:pPr>
              <w:keepNext w:val="0"/>
              <w:snapToGrid w:val="0"/>
              <w:spacing w:before="40" w:after="40" w:line="240" w:lineRule="auto"/>
              <w:ind w:firstLine="0"/>
              <w:jc w:val="center"/>
            </w:pPr>
            <w:r>
              <w:rPr>
                <w:rFonts w:eastAsia="仿宋_GB2312"/>
                <w:b w:val="0"/>
                <w:sz w:val="21"/>
                <w:szCs w:val="24"/>
              </w:rPr>
              <w:t>475.49</w:t>
            </w:r>
          </w:p>
        </w:tc>
        <w:tc>
          <w:tcPr>
            <w:tcW w:type="dxa" w:w="3606"/>
            <w:vAlign w:val="center"/>
          </w:tcPr>
          <w:p>
            <w:pPr>
              <w:keepNext w:val="0"/>
              <w:snapToGrid w:val="0"/>
              <w:spacing w:before="40" w:after="40" w:line="240" w:lineRule="auto"/>
              <w:ind w:firstLine="0"/>
              <w:jc w:val="left"/>
            </w:pPr>
            <w:r>
              <w:rPr>
                <w:rFonts w:eastAsia="仿宋_GB2312"/>
                <w:b w:val="0"/>
                <w:sz w:val="21"/>
                <w:szCs w:val="24"/>
              </w:rPr>
              <w:t>551.95，606.91，635.06，639.45，642.43，648.24，659.99</w:t>
            </w:r>
          </w:p>
        </w:tc>
      </w:tr>
    </w:tbl>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13" name="Picture 13"/>
            <wp:cNvGraphicFramePr>
              <a:graphicFrameLocks noChangeAspect="1"/>
            </wp:cNvGraphicFramePr>
            <a:graphic>
              <a:graphicData uri="http://schemas.openxmlformats.org/drawingml/2006/picture">
                <pic:pic>
                  <pic:nvPicPr>
                    <pic:cNvPr id="0" name="配对情形_WMLE_high.png"/>
                    <pic:cNvPicPr/>
                  </pic:nvPicPr>
                  <pic:blipFill>
                    <a:blip r:embed="rId21"/>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图13｜第9组较集中的样本，使共同交点对应较大的形状与尺度。</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第9组的最小观测为551.95，其余六个观测集中在606.91—659.99；第1组分布在522.01—678.65，跨度更大。图13a、d中，两组残差均趋近零；b、e的共同交点分别为γ=503.91、β=1.60和γ=475.49、β=5.31，后者的形状明显偏大。</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第9组的位置向左偏移，使观测距离整体增大、对数距离的跨度缩小。式（17）的加权均值与普通均值之差减小，与较大的β相匹配；式（18）也在这个参数组合下满足。高估由两条方程共同支持的偏大形状形成。</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固定第9组的β=5.31、γ=475.49后，图13f的尺度方程在η=163.08处与J₁相交；第1组为η=100.92。偏大的形状和向左的位置通过式（20）共同确定偏大的尺度。</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将全量WMLE明显异常记录的返回参数代入式（17）、（18），残差平方和均不超过1e−8。满足加权方程仍可能得到明显偏离真值的参数；不同样本改变距离统计量，使共同交点落在不同的形状与位置组合上。</w:t>
      </w:r>
    </w:p>
    <w:p>
      <w:pPr>
        <w:pStyle w:val="3"/>
        <w:keepNext/>
        <w:jc w:val="left"/>
        <w:rPr>
          <w:rFonts w:ascii="宋体" w:eastAsia="宋体" w:hAnsi="宋体"/>
          <w:b w:val="0"/>
          <w:sz w:val="28"/>
          <w:szCs w:val="28"/>
        </w:rPr>
      </w:pPr>
      <w:r>
        <w:rPr>
          <w:rFonts w:ascii="宋体" w:eastAsia="宋体" w:hAnsi="宋体"/>
          <w:b/>
          <w:sz w:val="24"/>
          <w:szCs w:val="28"/>
        </w:rPr>
        <w:t>2.1.5　MLE</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MLE寻找使样本似然最大的形状、尺度和位置组合。程序从多组起点联合搜索三参数，再比较收敛且β≥1的候选。对数似然为：</w:t>
      </w:r>
    </w:p>
    <w:p>
      <w:pPr>
        <w:pStyle w:val="MTDisplayEquation"/>
        <w:keepNext w:val="0"/>
        <w:keepLines/>
        <w:spacing w:line="240" w:lineRule="auto" w:before="100" w:after="140"/>
        <w:tabs>
          <w:tab w:val="clear" w:pos="7140"/>
          <w:tab w:val="center" w:pos="4153"/>
          <w:tab w:val="right" w:pos="8306"/>
        </w:tabs>
      </w:pPr>
      <w:r>
        <w:tab/>
        <w:object w:dxaOrig="6131" w:dyaOrig="628" w14:anchorId="19374A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3" type="#_x0000_t75" style="width:306.544pt;height:31.380pt" o:ole="">
            <v:imagedata r:id="rIdReport2Math23_media" o:title=""/>
          </v:shape>
          <o:OLEObject Type="Embed" ProgID="Equation.DSMT4" ShapeID="_x0000_i2023" DrawAspect="Content" ObjectID="_2000000023" r:id="rIdReport2Math23_embeddings"/>
        </w:object>
        <w:tab/>
        <w:t>(21)</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ℓ为对数似然。本批接受域为β≥1、η&gt;0、0≤γ&lt;x₍₁₎。</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为观察位置的影响，对每个γ重新求对应的最优形状和尺度。先对式（21）的尺度求导，令其为零：</w:t>
      </w:r>
    </w:p>
    <w:p>
      <w:pPr>
        <w:pStyle w:val="MTDisplayEquation"/>
        <w:keepNext w:val="0"/>
        <w:keepLines/>
        <w:spacing w:line="240" w:lineRule="auto" w:before="100" w:after="140"/>
        <w:tabs>
          <w:tab w:val="clear" w:pos="7140"/>
          <w:tab w:val="center" w:pos="4153"/>
          <w:tab w:val="right" w:pos="8306"/>
        </w:tabs>
      </w:pPr>
      <w:r>
        <w:tab/>
        <w:object w:dxaOrig="3905" w:dyaOrig="816" w14:anchorId="648BF2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4" type="#_x0000_t75" style="width:195.240pt;height:40.813pt" o:ole="">
            <v:imagedata r:id="rIdReport2Math24_media" o:title=""/>
          </v:shape>
          <o:OLEObject Type="Embed" ProgID="Equation.DSMT4" ShapeID="_x0000_i2024" DrawAspect="Content" ObjectID="_2000000024" r:id="rIdReport2Math24_embeddings"/>
        </w:object>
        <w:tab/>
        <w:t>(22)</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将式（22）的尺度代回式（21），对β求导并除以n，得到条件形状得分：</w:t>
      </w:r>
    </w:p>
    <w:p>
      <w:pPr>
        <w:pStyle w:val="MTDisplayEquation"/>
        <w:keepNext w:val="0"/>
        <w:keepLines/>
        <w:spacing w:line="240" w:lineRule="auto" w:before="100" w:after="140"/>
        <w:tabs>
          <w:tab w:val="clear" w:pos="7140"/>
          <w:tab w:val="center" w:pos="4153"/>
          <w:tab w:val="right" w:pos="8306"/>
        </w:tabs>
      </w:pPr>
      <w:r>
        <w:tab/>
        <w:object w:dxaOrig="4320" w:dyaOrig="666" w14:anchorId="19D1C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5" type="#_x0000_t75" style="width:215.994pt;height:33.312pt" o:ole="">
            <v:imagedata r:id="rIdReport2Math25_media" o:title=""/>
          </v:shape>
          <o:OLEObject Type="Embed" ProgID="Equation.DSMT4" ShapeID="_x0000_i2025" DrawAspect="Content" ObjectID="_2000000025" r:id="rIdReport2Math25_embeddings"/>
        </w:object>
        <w:tab/>
        <w:t>(23)</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yᵢ=ln(x₍ᵢ₎−γ)，ȳ为这些对数距离的均值，Uβ为除以n后的形状得分。记式（23）的未约束根为β₀(γ)，在β≥1的接受域内取β̂(γ)=max{1,β₀(γ)}，再按式（22）计算对应尺度，代入式（21）得到条件最优对数似然：</w:t>
      </w:r>
    </w:p>
    <w:p>
      <w:pPr>
        <w:pStyle w:val="MTDisplayEquation"/>
        <w:keepNext w:val="0"/>
        <w:keepLines/>
        <w:spacing w:line="240" w:lineRule="auto" w:before="100" w:after="140"/>
        <w:tabs>
          <w:tab w:val="clear" w:pos="7140"/>
          <w:tab w:val="center" w:pos="4153"/>
          <w:tab w:val="right" w:pos="8306"/>
        </w:tabs>
      </w:pPr>
      <w:r>
        <w:tab/>
        <w:object w:dxaOrig="2376" w:dyaOrig="326" w14:anchorId="32DB9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6" type="#_x0000_t75" style="width:118.783pt;height:16.322pt" o:ole="">
            <v:imagedata r:id="rIdReport2Math26_media" o:title=""/>
          </v:shape>
          <o:OLEObject Type="Embed" ProgID="Equation.DSMT4" ShapeID="_x0000_i2026" DrawAspect="Content" ObjectID="_2000000026" r:id="rIdReport2Math26_embeddings"/>
        </w:object>
        <w:tab/>
        <w:t>(24)</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式（24）的ℓₚ(γ)表示该位置下能达到的最高对数似然。β₀&lt;1时，条件解为β=1、η=平均距离。图15—17绘制ℓₚ(γ)−ℓₚ(γ₀)，减去真位置处的常数保持似然高低和峰的位置，可据此检查原返回点是否仍有更好的候选。</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由式（23），对数距离的加权均值不超过最大值，形状的根满足：</w:t>
      </w:r>
    </w:p>
    <w:p>
      <w:pPr>
        <w:pStyle w:val="MTDisplayEquation"/>
        <w:keepNext w:val="0"/>
        <w:keepLines/>
        <w:spacing w:line="240" w:lineRule="auto" w:before="100" w:after="140"/>
        <w:tabs>
          <w:tab w:val="clear" w:pos="7140"/>
          <w:tab w:val="center" w:pos="4153"/>
          <w:tab w:val="right" w:pos="8306"/>
        </w:tabs>
      </w:pPr>
      <w:r>
        <w:tab/>
        <w:object w:dxaOrig="2117" w:dyaOrig="536" w14:anchorId="45634B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7" type="#_x0000_t75" style="width:105.871pt;height:26.796pt" o:ole="">
            <v:imagedata r:id="rIdReport2Math27_media" o:title=""/>
          </v:shape>
          <o:OLEObject Type="Embed" ProgID="Equation.DSMT4" ShapeID="_x0000_i2027" DrawAspect="Content" ObjectID="_2000000027" r:id="rIdReport2Math27_embeddings"/>
        </w:object>
        <w:tab/>
        <w:t>(25)</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式（25）表明，对数距离集中、最大值与均值的差较小时，形状下界较大。</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原结果分为左侧较高似然高估、右侧较高似然低估和近零停点高估。前两类候选的似然高于真位置下的条件拟合。</w:t>
      </w:r>
    </w:p>
    <w:p>
      <w:pPr>
        <w:keepNext/>
        <w:keepLines/>
        <w:spacing w:line="240" w:lineRule="auto" w:before="120" w:after="60"/>
        <w:ind w:firstLine="0"/>
        <w:jc w:val="center"/>
      </w:pPr>
      <w:r>
        <w:drawing>
          <wp:inline xmlns:a="http://schemas.openxmlformats.org/drawingml/2006/main" xmlns:pic="http://schemas.openxmlformats.org/drawingml/2006/picture">
            <wp:extent cx="5274310" cy="2950038"/>
            <wp:docPr id="14" name="Picture 14"/>
            <wp:cNvGraphicFramePr>
              <a:graphicFrameLocks noChangeAspect="1"/>
            </wp:cNvGraphicFramePr>
            <a:graphic>
              <a:graphicData uri="http://schemas.openxmlformats.org/drawingml/2006/picture">
                <pic:pic>
                  <pic:nvPicPr>
                    <pic:cNvPr id="0" name="异常分类_MLE_三子图.png"/>
                    <pic:cNvPicPr/>
                  </pic:nvPicPr>
                  <pic:blipFill>
                    <a:blip r:embed="rId22"/>
                    <a:stretch>
                      <a:fillRect/>
                    </a:stretch>
                  </pic:blipFill>
                  <pic:spPr>
                    <a:xfrm>
                      <a:off x="0" y="0"/>
                      <a:ext cx="5274310" cy="2950038"/>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图14｜MLE各类明显异常估计的发生次数。</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（1）较高似然的左侧高估。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W(2,100,500)、n=15的正常与异常样本如下：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正常·第35组</w:t>
            </w:r>
          </w:p>
        </w:tc>
        <w:tc>
          <w:tcPr>
            <w:tcW w:type="dxa" w:w="900"/>
            <w:vAlign w:val="center"/>
          </w:tcPr>
          <w:p>
            <w:pPr>
              <w:keepNext/>
              <w:snapToGrid w:val="0"/>
              <w:spacing w:before="40" w:after="40" w:line="240" w:lineRule="auto"/>
              <w:ind w:firstLine="0"/>
              <w:jc w:val="center"/>
            </w:pPr>
            <w:r>
              <w:rPr>
                <w:rFonts w:eastAsia="仿宋_GB2312"/>
                <w:b w:val="0"/>
                <w:sz w:val="21"/>
                <w:szCs w:val="24"/>
              </w:rPr>
              <w:t>1.49</w:t>
            </w:r>
          </w:p>
        </w:tc>
        <w:tc>
          <w:tcPr>
            <w:tcW w:type="dxa" w:w="1200"/>
            <w:vAlign w:val="center"/>
          </w:tcPr>
          <w:p>
            <w:pPr>
              <w:keepNext/>
              <w:snapToGrid w:val="0"/>
              <w:spacing w:before="40" w:after="40" w:line="240" w:lineRule="auto"/>
              <w:ind w:firstLine="0"/>
              <w:jc w:val="center"/>
            </w:pPr>
            <w:r>
              <w:rPr>
                <w:rFonts w:eastAsia="仿宋_GB2312"/>
                <w:b w:val="0"/>
                <w:sz w:val="21"/>
                <w:szCs w:val="24"/>
              </w:rPr>
              <w:t>64.27</w:t>
            </w:r>
          </w:p>
        </w:tc>
        <w:tc>
          <w:tcPr>
            <w:tcW w:type="dxa" w:w="1200"/>
            <w:vAlign w:val="center"/>
          </w:tcPr>
          <w:p>
            <w:pPr>
              <w:keepNext/>
              <w:snapToGrid w:val="0"/>
              <w:spacing w:before="40" w:after="40" w:line="240" w:lineRule="auto"/>
              <w:ind w:firstLine="0"/>
              <w:jc w:val="center"/>
            </w:pPr>
            <w:r>
              <w:rPr>
                <w:rFonts w:eastAsia="仿宋_GB2312"/>
                <w:b w:val="0"/>
                <w:sz w:val="21"/>
                <w:szCs w:val="24"/>
              </w:rPr>
              <w:t>521.17</w:t>
            </w:r>
          </w:p>
        </w:tc>
        <w:tc>
          <w:tcPr>
            <w:tcW w:type="dxa" w:w="3606"/>
            <w:vAlign w:val="center"/>
          </w:tcPr>
          <w:p>
            <w:pPr>
              <w:keepNext/>
              <w:snapToGrid w:val="0"/>
              <w:spacing w:before="40" w:after="40" w:line="240" w:lineRule="auto"/>
              <w:ind w:firstLine="0"/>
              <w:jc w:val="left"/>
            </w:pPr>
            <w:r>
              <w:rPr>
                <w:rFonts w:eastAsia="仿宋_GB2312"/>
                <w:b w:val="0"/>
                <w:sz w:val="21"/>
                <w:szCs w:val="24"/>
              </w:rPr>
              <w:t>524.99，532.96，537.51，546.83，549.15，554.55，559.29，582.77，595.63，597.60，598.04，618.58，625.47，631.01，639.05</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异常·第36组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23.54</w:t>
            </w:r>
          </w:p>
        </w:tc>
        <w:tc>
          <w:tcPr>
            <w:tcW w:type="dxa" w:w="1200"/>
            <w:vAlign w:val="center"/>
          </w:tcPr>
          <w:p>
            <w:pPr>
              <w:keepNext w:val="0"/>
              <w:snapToGrid w:val="0"/>
              <w:spacing w:before="40" w:after="40" w:line="240" w:lineRule="auto"/>
              <w:ind w:firstLine="0"/>
              <w:jc w:val="center"/>
            </w:pPr>
            <w:r>
              <w:rPr>
                <w:rFonts w:eastAsia="仿宋_GB2312"/>
                <w:b w:val="0"/>
                <w:sz w:val="21"/>
                <w:szCs w:val="24"/>
              </w:rPr>
              <w:t>608.35</w:t>
            </w:r>
          </w:p>
        </w:tc>
        <w:tc>
          <w:tcPr>
            <w:tcW w:type="dxa" w:w="1200"/>
            <w:vAlign w:val="center"/>
          </w:tcPr>
          <w:p>
            <w:pPr>
              <w:keepNext w:val="0"/>
              <w:snapToGrid w:val="0"/>
              <w:spacing w:before="40" w:after="40" w:line="240" w:lineRule="auto"/>
              <w:ind w:firstLine="0"/>
              <w:jc w:val="center"/>
            </w:pPr>
            <w:r>
              <w:rPr>
                <w:rFonts w:eastAsia="仿宋_GB2312"/>
                <w:b w:val="0"/>
                <w:sz w:val="21"/>
                <w:szCs w:val="24"/>
              </w:rPr>
              <w:t>0.00</w:t>
            </w:r>
          </w:p>
        </w:tc>
        <w:tc>
          <w:tcPr>
            <w:tcW w:type="dxa" w:w="3606"/>
            <w:vAlign w:val="center"/>
          </w:tcPr>
          <w:p>
            <w:pPr>
              <w:keepNext w:val="0"/>
              <w:snapToGrid w:val="0"/>
              <w:spacing w:before="40" w:after="40" w:line="240" w:lineRule="auto"/>
              <w:ind w:firstLine="0"/>
              <w:jc w:val="left"/>
            </w:pPr>
            <w:r>
              <w:rPr>
                <w:rFonts w:eastAsia="仿宋_GB2312"/>
                <w:b w:val="0"/>
                <w:sz w:val="21"/>
                <w:szCs w:val="24"/>
              </w:rPr>
              <w:t>524.67，551.74，554.21，573.41，585.02，588.71，591.87，595.61，609.05，610.30，611.69，617.54，625.80，633.61，640.02</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图15对照式（24）的条件似然及式（23）对应的形状。</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15" name="Picture 15"/>
            <wp:cNvGraphicFramePr>
              <a:graphicFrameLocks noChangeAspect="1"/>
            </wp:cNvGraphicFramePr>
            <a:graphic>
              <a:graphicData uri="http://schemas.openxmlformats.org/drawingml/2006/picture">
                <pic:pic>
                  <pic:nvPicPr>
                    <pic:cNvPr id="0" name="配对情形_MLE_high.png"/>
                    <pic:cNvPicPr/>
                  </pic:nvPicPr>
                  <pic:blipFill>
                    <a:blip r:embed="rId23"/>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图15｜第36组的零位置候选具有较高似然，并对应形状高估。</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第35组的原估计位于内部似然峰附近。第36组左移至零位置后，条件对数似然比真位置提高约0.68；零位置处向右小幅移动会降低似然，支持该边界候选的局部最优关系。</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同一左移压缩对数距离，使形状得分中加权均值与普通均值的差减小。式（23）要求这个差等于1/β，因此条件形状由真位置处的3.50升至23.54。</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（2）较高似然的右侧低估。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W(5,1000,500)、n=7的正常与异常样本如下：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正常·第3组</w:t>
            </w:r>
          </w:p>
        </w:tc>
        <w:tc>
          <w:tcPr>
            <w:tcW w:type="dxa" w:w="900"/>
            <w:vAlign w:val="center"/>
          </w:tcPr>
          <w:p>
            <w:pPr>
              <w:keepNext/>
              <w:snapToGrid w:val="0"/>
              <w:spacing w:before="40" w:after="40" w:line="240" w:lineRule="auto"/>
              <w:ind w:firstLine="0"/>
              <w:jc w:val="center"/>
            </w:pPr>
            <w:r>
              <w:rPr>
                <w:rFonts w:eastAsia="仿宋_GB2312"/>
                <w:b w:val="0"/>
                <w:sz w:val="21"/>
                <w:szCs w:val="24"/>
              </w:rPr>
              <w:t>10.14</w:t>
            </w:r>
          </w:p>
        </w:tc>
        <w:tc>
          <w:tcPr>
            <w:tcW w:type="dxa" w:w="1200"/>
            <w:vAlign w:val="center"/>
          </w:tcPr>
          <w:p>
            <w:pPr>
              <w:keepNext/>
              <w:snapToGrid w:val="0"/>
              <w:spacing w:before="40" w:after="40" w:line="240" w:lineRule="auto"/>
              <w:ind w:firstLine="0"/>
              <w:jc w:val="center"/>
            </w:pPr>
            <w:r>
              <w:rPr>
                <w:rFonts w:eastAsia="仿宋_GB2312"/>
                <w:b w:val="0"/>
                <w:sz w:val="21"/>
                <w:szCs w:val="24"/>
              </w:rPr>
              <w:t>1462.26</w:t>
            </w:r>
          </w:p>
        </w:tc>
        <w:tc>
          <w:tcPr>
            <w:tcW w:type="dxa" w:w="1200"/>
            <w:vAlign w:val="center"/>
          </w:tcPr>
          <w:p>
            <w:pPr>
              <w:keepNext/>
              <w:snapToGrid w:val="0"/>
              <w:spacing w:before="40" w:after="40" w:line="240" w:lineRule="auto"/>
              <w:ind w:firstLine="0"/>
              <w:jc w:val="center"/>
            </w:pPr>
            <w:r>
              <w:rPr>
                <w:rFonts w:eastAsia="仿宋_GB2312"/>
                <w:b w:val="0"/>
                <w:sz w:val="21"/>
                <w:szCs w:val="24"/>
              </w:rPr>
              <w:t>0.00</w:t>
            </w:r>
          </w:p>
        </w:tc>
        <w:tc>
          <w:tcPr>
            <w:tcW w:type="dxa" w:w="3606"/>
            <w:vAlign w:val="center"/>
          </w:tcPr>
          <w:p>
            <w:pPr>
              <w:keepNext/>
              <w:snapToGrid w:val="0"/>
              <w:spacing w:before="40" w:after="40" w:line="240" w:lineRule="auto"/>
              <w:ind w:firstLine="0"/>
              <w:jc w:val="left"/>
            </w:pPr>
            <w:r>
              <w:rPr>
                <w:rFonts w:eastAsia="仿宋_GB2312"/>
                <w:b w:val="0"/>
                <w:sz w:val="21"/>
                <w:szCs w:val="24"/>
              </w:rPr>
              <w:t>1106.94，1120.24，1442.18，1459.87，1480.23，1480.87，1615.80</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异常·第4组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1.44</w:t>
            </w:r>
          </w:p>
        </w:tc>
        <w:tc>
          <w:tcPr>
            <w:tcW w:type="dxa" w:w="1200"/>
            <w:vAlign w:val="center"/>
          </w:tcPr>
          <w:p>
            <w:pPr>
              <w:keepNext w:val="0"/>
              <w:snapToGrid w:val="0"/>
              <w:spacing w:before="40" w:after="40" w:line="240" w:lineRule="auto"/>
              <w:ind w:firstLine="0"/>
              <w:jc w:val="center"/>
            </w:pPr>
            <w:r>
              <w:rPr>
                <w:rFonts w:eastAsia="仿宋_GB2312"/>
                <w:b w:val="0"/>
                <w:sz w:val="21"/>
                <w:szCs w:val="24"/>
              </w:rPr>
              <w:t>370.63</w:t>
            </w:r>
          </w:p>
        </w:tc>
        <w:tc>
          <w:tcPr>
            <w:tcW w:type="dxa" w:w="1200"/>
            <w:vAlign w:val="center"/>
          </w:tcPr>
          <w:p>
            <w:pPr>
              <w:keepNext w:val="0"/>
              <w:snapToGrid w:val="0"/>
              <w:spacing w:before="40" w:after="40" w:line="240" w:lineRule="auto"/>
              <w:ind w:firstLine="0"/>
              <w:jc w:val="center"/>
            </w:pPr>
            <w:r>
              <w:rPr>
                <w:rFonts w:eastAsia="仿宋_GB2312"/>
                <w:b w:val="0"/>
                <w:sz w:val="21"/>
                <w:szCs w:val="24"/>
              </w:rPr>
              <w:t>1092.59</w:t>
            </w:r>
          </w:p>
        </w:tc>
        <w:tc>
          <w:tcPr>
            <w:tcW w:type="dxa" w:w="3606"/>
            <w:vAlign w:val="center"/>
          </w:tcPr>
          <w:p>
            <w:pPr>
              <w:keepNext w:val="0"/>
              <w:snapToGrid w:val="0"/>
              <w:spacing w:before="40" w:after="40" w:line="240" w:lineRule="auto"/>
              <w:ind w:firstLine="0"/>
              <w:jc w:val="left"/>
            </w:pPr>
            <w:r>
              <w:rPr>
                <w:rFonts w:eastAsia="仿宋_GB2312"/>
                <w:b w:val="0"/>
                <w:sz w:val="21"/>
                <w:szCs w:val="24"/>
              </w:rPr>
              <w:t>1121.42，1212.48，1385.65，1453.77，1469.10，1513.70，1865.14</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图16按式（24）比较左侧与右侧候选，同时保留β=1时的条件最优分支。</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16" name="Picture 16"/>
            <wp:cNvGraphicFramePr>
              <a:graphicFrameLocks noChangeAspect="1"/>
            </wp:cNvGraphicFramePr>
            <a:graphic>
              <a:graphicData uri="http://schemas.openxmlformats.org/drawingml/2006/picture">
                <pic:pic>
                  <pic:nvPicPr>
                    <pic:cNvPr id="0" name="配对情形_MLE_low.png"/>
                    <pic:cNvPicPr/>
                  </pic:nvPicPr>
                  <pic:blipFill>
                    <a:blip r:embed="rId24"/>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图16｜第4组右侧较高似然候选对应形状低估，β=1分支仍有更高似然。</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第3组的原返回值位于左侧，形状为10.14；第4组则在右侧候选处得到小形状。第4组的最小观测远离真位置，下端留下空缺，最大观测又高于其余点列。右移γ后，候选比真位置条件拟合具有更高似然。</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右移使最小距离明显缩小，对数跨度扩大，式（23）的均值之差增大，条件形状降至1.44。</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原返回值不是接受域内的最优候选，属于数值求解不足。进一步沿更高似然的β=1分支搜索后，形状仍低于异常阈值5/3，因此该样本的低估不能完全由数值求解问题解释。</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（3）数值求解造成的近零停点高估。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W(2,1000,3000)、n=7的正常与异常样本如下：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正常·第38组</w:t>
            </w:r>
          </w:p>
        </w:tc>
        <w:tc>
          <w:tcPr>
            <w:tcW w:type="dxa" w:w="900"/>
            <w:vAlign w:val="center"/>
          </w:tcPr>
          <w:p>
            <w:pPr>
              <w:keepNext/>
              <w:snapToGrid w:val="0"/>
              <w:spacing w:before="40" w:after="40" w:line="240" w:lineRule="auto"/>
              <w:ind w:firstLine="0"/>
              <w:jc w:val="center"/>
            </w:pPr>
            <w:r>
              <w:rPr>
                <w:rFonts w:eastAsia="仿宋_GB2312"/>
                <w:b w:val="0"/>
                <w:sz w:val="21"/>
                <w:szCs w:val="24"/>
              </w:rPr>
              <w:t>1.52</w:t>
            </w:r>
          </w:p>
        </w:tc>
        <w:tc>
          <w:tcPr>
            <w:tcW w:type="dxa" w:w="1200"/>
            <w:vAlign w:val="center"/>
          </w:tcPr>
          <w:p>
            <w:pPr>
              <w:keepNext/>
              <w:snapToGrid w:val="0"/>
              <w:spacing w:before="40" w:after="40" w:line="240" w:lineRule="auto"/>
              <w:ind w:firstLine="0"/>
              <w:jc w:val="center"/>
            </w:pPr>
            <w:r>
              <w:rPr>
                <w:rFonts w:eastAsia="仿宋_GB2312"/>
                <w:b w:val="0"/>
                <w:sz w:val="21"/>
                <w:szCs w:val="24"/>
              </w:rPr>
              <w:t>705.64</w:t>
            </w:r>
          </w:p>
        </w:tc>
        <w:tc>
          <w:tcPr>
            <w:tcW w:type="dxa" w:w="1200"/>
            <w:vAlign w:val="center"/>
          </w:tcPr>
          <w:p>
            <w:pPr>
              <w:keepNext/>
              <w:snapToGrid w:val="0"/>
              <w:spacing w:before="40" w:after="40" w:line="240" w:lineRule="auto"/>
              <w:ind w:firstLine="0"/>
              <w:jc w:val="center"/>
            </w:pPr>
            <w:r>
              <w:rPr>
                <w:rFonts w:eastAsia="仿宋_GB2312"/>
                <w:b w:val="0"/>
                <w:sz w:val="21"/>
                <w:szCs w:val="24"/>
              </w:rPr>
              <w:t>3283.98</w:t>
            </w:r>
          </w:p>
        </w:tc>
        <w:tc>
          <w:tcPr>
            <w:tcW w:type="dxa" w:w="3606"/>
            <w:vAlign w:val="center"/>
          </w:tcPr>
          <w:p>
            <w:pPr>
              <w:keepNext/>
              <w:snapToGrid w:val="0"/>
              <w:spacing w:before="40" w:after="40" w:line="240" w:lineRule="auto"/>
              <w:ind w:firstLine="0"/>
              <w:jc w:val="left"/>
            </w:pPr>
            <w:r>
              <w:rPr>
                <w:rFonts w:eastAsia="仿宋_GB2312"/>
                <w:b w:val="0"/>
                <w:sz w:val="21"/>
                <w:szCs w:val="24"/>
              </w:rPr>
              <w:t>3347.71，3616.97，3808.44，3846.60，3937.32，4165.27，4740.66</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异常·第37组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13.10</w:t>
            </w:r>
          </w:p>
        </w:tc>
        <w:tc>
          <w:tcPr>
            <w:tcW w:type="dxa" w:w="1200"/>
            <w:vAlign w:val="center"/>
          </w:tcPr>
          <w:p>
            <w:pPr>
              <w:keepNext w:val="0"/>
              <w:snapToGrid w:val="0"/>
              <w:spacing w:before="40" w:after="40" w:line="240" w:lineRule="auto"/>
              <w:ind w:firstLine="0"/>
              <w:jc w:val="center"/>
            </w:pPr>
            <w:r>
              <w:rPr>
                <w:rFonts w:eastAsia="仿宋_GB2312"/>
                <w:b w:val="0"/>
                <w:sz w:val="21"/>
                <w:szCs w:val="24"/>
              </w:rPr>
              <w:t>3786.32</w:t>
            </w:r>
          </w:p>
        </w:tc>
        <w:tc>
          <w:tcPr>
            <w:tcW w:type="dxa" w:w="1200"/>
            <w:vAlign w:val="center"/>
          </w:tcPr>
          <w:p>
            <w:pPr>
              <w:keepNext w:val="0"/>
              <w:snapToGrid w:val="0"/>
              <w:spacing w:before="40" w:after="40" w:line="240" w:lineRule="auto"/>
              <w:ind w:firstLine="0"/>
              <w:jc w:val="center"/>
            </w:pPr>
            <w:r>
              <w:rPr>
                <w:rFonts w:eastAsia="仿宋_GB2312"/>
                <w:b w:val="0"/>
                <w:sz w:val="21"/>
                <w:szCs w:val="24"/>
              </w:rPr>
              <w:t>0.0001</w:t>
            </w:r>
          </w:p>
        </w:tc>
        <w:tc>
          <w:tcPr>
            <w:tcW w:type="dxa" w:w="3606"/>
            <w:vAlign w:val="center"/>
          </w:tcPr>
          <w:p>
            <w:pPr>
              <w:keepNext w:val="0"/>
              <w:snapToGrid w:val="0"/>
              <w:spacing w:before="40" w:after="40" w:line="240" w:lineRule="auto"/>
              <w:ind w:firstLine="0"/>
              <w:jc w:val="left"/>
            </w:pPr>
            <w:r>
              <w:rPr>
                <w:rFonts w:eastAsia="仿宋_GB2312"/>
                <w:b w:val="0"/>
                <w:sz w:val="21"/>
                <w:szCs w:val="24"/>
              </w:rPr>
              <w:t>3204.36，3330.72，3381.19，3675.75，3829.79，3956.29，4102.16</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图17用式（24）的条件似然检查原返回点，以及向右调整后是否仍有更高似然。</w:t>
      </w:r>
    </w:p>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17" name="Picture 17"/>
            <wp:cNvGraphicFramePr>
              <a:graphicFrameLocks noChangeAspect="1"/>
            </wp:cNvGraphicFramePr>
            <a:graphic>
              <a:graphicData uri="http://schemas.openxmlformats.org/drawingml/2006/picture">
                <pic:pic>
                  <pic:nvPicPr>
                    <pic:cNvPr id="0" name="配对情形_MLE_stop.png"/>
                    <pic:cNvPicPr/>
                  </pic:nvPicPr>
                  <pic:blipFill>
                    <a:blip r:embed="rId25"/>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图17｜第37组的近零返回点仍有提高似然的方向。</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第38组的原估计落在内部似然峰附近；第37组的星号却停在近零位置，曲线向右仍能升高。第37组用原样本和冻结程序复算，返回值一致，五起点的结果为：</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2076"/>
        <w:gridCol w:w="2076"/>
        <w:gridCol w:w="2076"/>
        <w:gridCol w:w="2076"/>
      </w:tblGrid>
      <w:tr>
        <w:trPr>
          <w:cantSplit/>
          <w:tblHeader/>
        </w:trPr>
        <w:tc>
          <w:tcPr>
            <w:tcW w:type="dxa" w:w="2076"/>
            <w:vAlign w:val="center"/>
          </w:tcPr>
          <w:p>
            <w:pPr>
              <w:keepNext/>
              <w:snapToGrid w:val="0"/>
              <w:spacing w:before="40" w:after="40" w:line="240" w:lineRule="auto"/>
              <w:ind w:firstLine="0"/>
              <w:jc w:val="center"/>
            </w:pPr>
            <w:r>
              <w:rPr>
                <w:rFonts w:eastAsia="仿宋_GB2312"/>
                <w:b/>
                <w:sz w:val="21"/>
                <w:szCs w:val="24"/>
              </w:rPr>
              <w:t>起点γ</w:t>
            </w:r>
          </w:p>
        </w:tc>
        <w:tc>
          <w:tcPr>
            <w:tcW w:type="dxa" w:w="2076"/>
            <w:vAlign w:val="center"/>
          </w:tcPr>
          <w:p>
            <w:pPr>
              <w:keepNext/>
              <w:snapToGrid w:val="0"/>
              <w:spacing w:before="40" w:after="40" w:line="240" w:lineRule="auto"/>
              <w:ind w:firstLine="0"/>
              <w:jc w:val="center"/>
            </w:pPr>
            <w:r>
              <w:rPr>
                <w:rFonts w:eastAsia="仿宋_GB2312"/>
                <w:b/>
                <w:sz w:val="21"/>
                <w:szCs w:val="24"/>
              </w:rPr>
              <w:t>搜索结束γ</w:t>
            </w:r>
          </w:p>
        </w:tc>
        <w:tc>
          <w:tcPr>
            <w:tcW w:type="dxa" w:w="2076"/>
            <w:vAlign w:val="center"/>
          </w:tcPr>
          <w:p>
            <w:pPr>
              <w:keepNext/>
              <w:snapToGrid w:val="0"/>
              <w:spacing w:before="40" w:after="40" w:line="240" w:lineRule="auto"/>
              <w:ind w:firstLine="0"/>
              <w:jc w:val="center"/>
            </w:pPr>
            <w:r>
              <w:rPr>
                <w:rFonts w:eastAsia="仿宋_GB2312"/>
                <w:b/>
                <w:sz w:val="21"/>
                <w:szCs w:val="24"/>
              </w:rPr>
              <w:t>搜索结束β</w:t>
            </w:r>
          </w:p>
        </w:tc>
        <w:tc>
          <w:tcPr>
            <w:tcW w:type="dxa" w:w="2076"/>
            <w:vAlign w:val="center"/>
          </w:tcPr>
          <w:p>
            <w:pPr>
              <w:keepNext/>
              <w:snapToGrid w:val="0"/>
              <w:spacing w:before="40" w:after="40" w:line="240" w:lineRule="auto"/>
              <w:ind w:firstLine="0"/>
              <w:jc w:val="center"/>
            </w:pPr>
            <w:r>
              <w:rPr>
                <w:rFonts w:eastAsia="仿宋_GB2312"/>
                <w:b/>
                <w:sz w:val="21"/>
                <w:szCs w:val="24"/>
              </w:rPr>
              <w:t>当前接受结果</w:t>
            </w:r>
          </w:p>
        </w:tc>
      </w:tr>
      <w:tr>
        <w:trPr>
          <w:cantSplit/>
        </w:trPr>
        <w:tc>
          <w:tcPr>
            <w:tcW w:type="dxa" w:w="2076"/>
            <w:vAlign w:val="center"/>
          </w:tcPr>
          <w:p>
            <w:pPr>
              <w:keepNext/>
              <w:snapToGrid w:val="0"/>
              <w:spacing w:before="40" w:after="40" w:line="240" w:lineRule="auto"/>
              <w:ind w:firstLine="0"/>
              <w:jc w:val="center"/>
            </w:pPr>
            <w:r>
              <w:rPr>
                <w:rFonts w:eastAsia="仿宋_GB2312"/>
                <w:b w:val="0"/>
                <w:sz w:val="21"/>
                <w:szCs w:val="24"/>
              </w:rPr>
              <w:t>0</w:t>
            </w:r>
          </w:p>
        </w:tc>
        <w:tc>
          <w:tcPr>
            <w:tcW w:type="dxa" w:w="2076"/>
            <w:vAlign w:val="center"/>
          </w:tcPr>
          <w:p>
            <w:pPr>
              <w:keepNext/>
              <w:snapToGrid w:val="0"/>
              <w:spacing w:before="40" w:after="40" w:line="240" w:lineRule="auto"/>
              <w:ind w:firstLine="0"/>
              <w:jc w:val="center"/>
            </w:pPr>
            <w:r>
              <w:rPr>
                <w:rFonts w:eastAsia="仿宋_GB2312"/>
                <w:b w:val="0"/>
                <w:sz w:val="21"/>
                <w:szCs w:val="24"/>
              </w:rPr>
              <w:t>0.000104</w:t>
            </w:r>
          </w:p>
        </w:tc>
        <w:tc>
          <w:tcPr>
            <w:tcW w:type="dxa" w:w="2076"/>
            <w:vAlign w:val="center"/>
          </w:tcPr>
          <w:p>
            <w:pPr>
              <w:keepNext/>
              <w:snapToGrid w:val="0"/>
              <w:spacing w:before="40" w:after="40" w:line="240" w:lineRule="auto"/>
              <w:ind w:firstLine="0"/>
              <w:jc w:val="center"/>
            </w:pPr>
            <w:r>
              <w:rPr>
                <w:rFonts w:eastAsia="仿宋_GB2312"/>
                <w:b w:val="0"/>
                <w:sz w:val="21"/>
                <w:szCs w:val="24"/>
              </w:rPr>
              <w:t>13.1027</w:t>
            </w:r>
          </w:p>
        </w:tc>
        <w:tc>
          <w:tcPr>
            <w:tcW w:type="dxa" w:w="2076"/>
            <w:vAlign w:val="center"/>
          </w:tcPr>
          <w:p>
            <w:pPr>
              <w:keepNext/>
              <w:snapToGrid w:val="0"/>
              <w:spacing w:before="40" w:after="40" w:line="240" w:lineRule="auto"/>
              <w:ind w:firstLine="0"/>
              <w:jc w:val="center"/>
            </w:pPr>
            <w:r>
              <w:rPr>
                <w:rFonts w:eastAsia="仿宋_GB2312"/>
                <w:b w:val="0"/>
                <w:sz w:val="21"/>
                <w:szCs w:val="24"/>
              </w:rPr>
              <w:t>优化器标记收敛，保留</w:t>
            </w:r>
          </w:p>
        </w:tc>
      </w:tr>
      <w:tr>
        <w:trPr>
          <w:cantSplit/>
        </w:trPr>
        <w:tc>
          <w:tcPr>
            <w:tcW w:type="dxa" w:w="2076"/>
            <w:vAlign w:val="center"/>
          </w:tcPr>
          <w:p>
            <w:pPr>
              <w:keepNext/>
              <w:snapToGrid w:val="0"/>
              <w:spacing w:before="40" w:after="40" w:line="240" w:lineRule="auto"/>
              <w:ind w:firstLine="0"/>
              <w:jc w:val="center"/>
            </w:pPr>
            <w:r>
              <w:rPr>
                <w:rFonts w:eastAsia="仿宋_GB2312"/>
                <w:b w:val="0"/>
                <w:sz w:val="21"/>
                <w:szCs w:val="24"/>
              </w:rPr>
              <w:t>801.09</w:t>
            </w:r>
          </w:p>
        </w:tc>
        <w:tc>
          <w:tcPr>
            <w:tcW w:type="dxa" w:w="2076"/>
            <w:vAlign w:val="center"/>
          </w:tcPr>
          <w:p>
            <w:pPr>
              <w:keepNext/>
              <w:snapToGrid w:val="0"/>
              <w:spacing w:before="40" w:after="40" w:line="240" w:lineRule="auto"/>
              <w:ind w:firstLine="0"/>
              <w:jc w:val="center"/>
            </w:pPr>
            <w:r>
              <w:rPr>
                <w:rFonts w:eastAsia="仿宋_GB2312"/>
                <w:b w:val="0"/>
                <w:sz w:val="21"/>
                <w:szCs w:val="24"/>
              </w:rPr>
              <w:t>接近3204.36</w:t>
            </w:r>
          </w:p>
        </w:tc>
        <w:tc>
          <w:tcPr>
            <w:tcW w:type="dxa" w:w="2076"/>
            <w:vAlign w:val="center"/>
          </w:tcPr>
          <w:p>
            <w:pPr>
              <w:keepNext/>
              <w:snapToGrid w:val="0"/>
              <w:spacing w:before="40" w:after="40" w:line="240" w:lineRule="auto"/>
              <w:ind w:firstLine="0"/>
              <w:jc w:val="center"/>
            </w:pPr>
            <w:r>
              <w:rPr>
                <w:rFonts w:eastAsia="仿宋_GB2312"/>
                <w:b w:val="0"/>
                <w:sz w:val="21"/>
                <w:szCs w:val="24"/>
              </w:rPr>
              <w:t>0.4675</w:t>
            </w:r>
          </w:p>
        </w:tc>
        <w:tc>
          <w:tcPr>
            <w:tcW w:type="dxa" w:w="2076"/>
            <w:vAlign w:val="center"/>
          </w:tcPr>
          <w:p>
            <w:pPr>
              <w:keepNext/>
              <w:snapToGrid w:val="0"/>
              <w:spacing w:before="40" w:after="40" w:line="240" w:lineRule="auto"/>
              <w:ind w:firstLine="0"/>
              <w:jc w:val="center"/>
            </w:pPr>
            <w:r>
              <w:rPr>
                <w:rFonts w:eastAsia="仿宋_GB2312"/>
                <w:b w:val="0"/>
                <w:sz w:val="21"/>
                <w:szCs w:val="24"/>
              </w:rPr>
              <w:t>β&lt;1，剔除</w:t>
            </w:r>
          </w:p>
        </w:tc>
      </w:tr>
      <w:tr>
        <w:trPr>
          <w:cantSplit/>
        </w:trPr>
        <w:tc>
          <w:tcPr>
            <w:tcW w:type="dxa" w:w="2076"/>
            <w:vAlign w:val="center"/>
          </w:tcPr>
          <w:p>
            <w:pPr>
              <w:keepNext/>
              <w:snapToGrid w:val="0"/>
              <w:spacing w:before="40" w:after="40" w:line="240" w:lineRule="auto"/>
              <w:ind w:firstLine="0"/>
              <w:jc w:val="center"/>
            </w:pPr>
            <w:r>
              <w:rPr>
                <w:rFonts w:eastAsia="仿宋_GB2312"/>
                <w:b w:val="0"/>
                <w:sz w:val="21"/>
                <w:szCs w:val="24"/>
              </w:rPr>
              <w:t>1602.18</w:t>
            </w:r>
          </w:p>
        </w:tc>
        <w:tc>
          <w:tcPr>
            <w:tcW w:type="dxa" w:w="2076"/>
            <w:vAlign w:val="center"/>
          </w:tcPr>
          <w:p>
            <w:pPr>
              <w:keepNext/>
              <w:snapToGrid w:val="0"/>
              <w:spacing w:before="40" w:after="40" w:line="240" w:lineRule="auto"/>
              <w:ind w:firstLine="0"/>
              <w:jc w:val="center"/>
            </w:pPr>
            <w:r>
              <w:rPr>
                <w:rFonts w:eastAsia="仿宋_GB2312"/>
                <w:b w:val="0"/>
                <w:sz w:val="21"/>
                <w:szCs w:val="24"/>
              </w:rPr>
              <w:t>接近3204.36</w:t>
            </w:r>
          </w:p>
        </w:tc>
        <w:tc>
          <w:tcPr>
            <w:tcW w:type="dxa" w:w="2076"/>
            <w:vAlign w:val="center"/>
          </w:tcPr>
          <w:p>
            <w:pPr>
              <w:keepNext/>
              <w:snapToGrid w:val="0"/>
              <w:spacing w:before="40" w:after="40" w:line="240" w:lineRule="auto"/>
              <w:ind w:firstLine="0"/>
              <w:jc w:val="center"/>
            </w:pPr>
            <w:r>
              <w:rPr>
                <w:rFonts w:eastAsia="仿宋_GB2312"/>
                <w:b w:val="0"/>
                <w:sz w:val="21"/>
                <w:szCs w:val="24"/>
              </w:rPr>
              <w:t>0.8111</w:t>
            </w:r>
          </w:p>
        </w:tc>
        <w:tc>
          <w:tcPr>
            <w:tcW w:type="dxa" w:w="2076"/>
            <w:vAlign w:val="center"/>
          </w:tcPr>
          <w:p>
            <w:pPr>
              <w:keepNext/>
              <w:snapToGrid w:val="0"/>
              <w:spacing w:before="40" w:after="40" w:line="240" w:lineRule="auto"/>
              <w:ind w:firstLine="0"/>
              <w:jc w:val="center"/>
            </w:pPr>
            <w:r>
              <w:rPr>
                <w:rFonts w:eastAsia="仿宋_GB2312"/>
                <w:b w:val="0"/>
                <w:sz w:val="21"/>
                <w:szCs w:val="24"/>
              </w:rPr>
              <w:t>β&lt;1，剔除</w:t>
            </w:r>
          </w:p>
        </w:tc>
      </w:tr>
      <w:tr>
        <w:trPr>
          <w:cantSplit/>
        </w:trPr>
        <w:tc>
          <w:tcPr>
            <w:tcW w:type="dxa" w:w="2076"/>
            <w:vAlign w:val="center"/>
          </w:tcPr>
          <w:p>
            <w:pPr>
              <w:keepNext/>
              <w:snapToGrid w:val="0"/>
              <w:spacing w:before="40" w:after="40" w:line="240" w:lineRule="auto"/>
              <w:ind w:firstLine="0"/>
              <w:jc w:val="center"/>
            </w:pPr>
            <w:r>
              <w:rPr>
                <w:rFonts w:eastAsia="仿宋_GB2312"/>
                <w:b w:val="0"/>
                <w:sz w:val="21"/>
                <w:szCs w:val="24"/>
              </w:rPr>
              <w:t>2403.27</w:t>
            </w:r>
          </w:p>
        </w:tc>
        <w:tc>
          <w:tcPr>
            <w:tcW w:type="dxa" w:w="2076"/>
            <w:vAlign w:val="center"/>
          </w:tcPr>
          <w:p>
            <w:pPr>
              <w:keepNext/>
              <w:snapToGrid w:val="0"/>
              <w:spacing w:before="40" w:after="40" w:line="240" w:lineRule="auto"/>
              <w:ind w:firstLine="0"/>
              <w:jc w:val="center"/>
            </w:pPr>
            <w:r>
              <w:rPr>
                <w:rFonts w:eastAsia="仿宋_GB2312"/>
                <w:b w:val="0"/>
                <w:sz w:val="21"/>
                <w:szCs w:val="24"/>
              </w:rPr>
              <w:t>接近3204.36</w:t>
            </w:r>
          </w:p>
        </w:tc>
        <w:tc>
          <w:tcPr>
            <w:tcW w:type="dxa" w:w="2076"/>
            <w:vAlign w:val="center"/>
          </w:tcPr>
          <w:p>
            <w:pPr>
              <w:keepNext/>
              <w:snapToGrid w:val="0"/>
              <w:spacing w:before="40" w:after="40" w:line="240" w:lineRule="auto"/>
              <w:ind w:firstLine="0"/>
              <w:jc w:val="center"/>
            </w:pPr>
            <w:r>
              <w:rPr>
                <w:rFonts w:eastAsia="仿宋_GB2312"/>
                <w:b w:val="0"/>
                <w:sz w:val="21"/>
                <w:szCs w:val="24"/>
              </w:rPr>
              <w:t>0.8278</w:t>
            </w:r>
          </w:p>
        </w:tc>
        <w:tc>
          <w:tcPr>
            <w:tcW w:type="dxa" w:w="2076"/>
            <w:vAlign w:val="center"/>
          </w:tcPr>
          <w:p>
            <w:pPr>
              <w:keepNext/>
              <w:snapToGrid w:val="0"/>
              <w:spacing w:before="40" w:after="40" w:line="240" w:lineRule="auto"/>
              <w:ind w:firstLine="0"/>
              <w:jc w:val="center"/>
            </w:pPr>
            <w:r>
              <w:rPr>
                <w:rFonts w:eastAsia="仿宋_GB2312"/>
                <w:b w:val="0"/>
                <w:sz w:val="21"/>
                <w:szCs w:val="24"/>
              </w:rPr>
              <w:t>β&lt;1，剔除</w:t>
            </w:r>
          </w:p>
        </w:tc>
      </w:tr>
      <w:tr>
        <w:trPr>
          <w:cantSplit/>
        </w:trPr>
        <w:tc>
          <w:tcPr>
            <w:tcW w:type="dxa" w:w="2076"/>
            <w:vAlign w:val="center"/>
          </w:tcPr>
          <w:p>
            <w:pPr>
              <w:keepNext w:val="0"/>
              <w:snapToGrid w:val="0"/>
              <w:spacing w:before="40" w:after="40" w:line="240" w:lineRule="auto"/>
              <w:ind w:firstLine="0"/>
              <w:jc w:val="center"/>
            </w:pPr>
            <w:r>
              <w:rPr>
                <w:rFonts w:eastAsia="仿宋_GB2312"/>
                <w:b w:val="0"/>
                <w:sz w:val="21"/>
                <w:szCs w:val="24"/>
              </w:rPr>
              <w:t>2883.93</w:t>
            </w:r>
          </w:p>
        </w:tc>
        <w:tc>
          <w:tcPr>
            <w:tcW w:type="dxa" w:w="2076"/>
            <w:vAlign w:val="center"/>
          </w:tcPr>
          <w:p>
            <w:pPr>
              <w:keepNext w:val="0"/>
              <w:snapToGrid w:val="0"/>
              <w:spacing w:before="40" w:after="40" w:line="240" w:lineRule="auto"/>
              <w:ind w:firstLine="0"/>
              <w:jc w:val="center"/>
            </w:pPr>
            <w:r>
              <w:rPr>
                <w:rFonts w:eastAsia="仿宋_GB2312"/>
                <w:b w:val="0"/>
                <w:sz w:val="21"/>
                <w:szCs w:val="24"/>
              </w:rPr>
              <w:t>接近3204.36</w:t>
            </w:r>
          </w:p>
        </w:tc>
        <w:tc>
          <w:tcPr>
            <w:tcW w:type="dxa" w:w="2076"/>
            <w:vAlign w:val="center"/>
          </w:tcPr>
          <w:p>
            <w:pPr>
              <w:keepNext w:val="0"/>
              <w:snapToGrid w:val="0"/>
              <w:spacing w:before="40" w:after="40" w:line="240" w:lineRule="auto"/>
              <w:ind w:firstLine="0"/>
              <w:jc w:val="center"/>
            </w:pPr>
            <w:r>
              <w:rPr>
                <w:rFonts w:eastAsia="仿宋_GB2312"/>
                <w:b w:val="0"/>
                <w:sz w:val="21"/>
                <w:szCs w:val="24"/>
              </w:rPr>
              <w:t>0.9769</w:t>
            </w:r>
          </w:p>
        </w:tc>
        <w:tc>
          <w:tcPr>
            <w:tcW w:type="dxa" w:w="2076"/>
            <w:vAlign w:val="center"/>
          </w:tcPr>
          <w:p>
            <w:pPr>
              <w:keepNext w:val="0"/>
              <w:snapToGrid w:val="0"/>
              <w:spacing w:before="40" w:after="40" w:line="240" w:lineRule="auto"/>
              <w:ind w:firstLine="0"/>
              <w:jc w:val="center"/>
            </w:pPr>
            <w:r>
              <w:rPr>
                <w:rFonts w:eastAsia="仿宋_GB2312"/>
                <w:b w:val="0"/>
                <w:sz w:val="21"/>
                <w:szCs w:val="24"/>
              </w:rPr>
              <w:t>β&lt;1，剔除</w:t>
            </w:r>
          </w:p>
        </w:tc>
      </w:tr>
    </w:tbl>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程序从五个起点分别搜索，再从β≥1的合格返回结果中选取似然最高者。第37组从γ=0出发的搜索停在γ≈0.0001，另四个结果因β&lt;1被剔除，最后只剩这个近零候选。</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γ=0起点在位置方向的初始搜索间隔仅0.00025。搜索点在近零位置聚拢，彼此的参数距离和似然差达到停止标准，优化器便报告收敛，程序随后返回了这一候选。</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但该点的对数似然为−50.3247；固定γ=3000、重新估计β和η，可得β≈2.17、η≈725.20，对数似然升至−49.9405。因此，这里的问题是数值搜索过早停止，而程序直接接受了这个候选。</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近零位置又将该样本的对数跨度由1.69压至0.25，式（23）因而对应β≈13.10。</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全量候选比较在197条MLE异常中检出25条更优合格候选，主要发生于n=7；第37组的五起点复算定位了其中一种停止与接受问题。具体候选见逐条诊断。</w:t>
      </w:r>
    </w:p>
    <w:p>
      <w:pPr>
        <w:pStyle w:val="3"/>
        <w:keepNext/>
        <w:jc w:val="left"/>
        <w:rPr>
          <w:rFonts w:ascii="宋体" w:eastAsia="宋体" w:hAnsi="宋体"/>
          <w:b w:val="0"/>
          <w:sz w:val="28"/>
          <w:szCs w:val="28"/>
        </w:rPr>
      </w:pPr>
      <w:r>
        <w:rPr>
          <w:rFonts w:ascii="宋体" w:eastAsia="宋体" w:hAnsi="宋体"/>
          <w:b/>
          <w:sz w:val="24"/>
          <w:szCs w:val="28"/>
        </w:rPr>
        <w:t>2.1.6　MMLE</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MMLE用样本最小值估计位置，删除该观测后，对其余n−1个距离作二参数Weibull极大似然估计：</w:t>
      </w:r>
    </w:p>
    <w:p>
      <w:pPr>
        <w:pStyle w:val="MTDisplayEquation"/>
        <w:keepNext w:val="0"/>
        <w:keepLines/>
        <w:spacing w:line="240" w:lineRule="auto" w:before="100" w:after="140"/>
        <w:tabs>
          <w:tab w:val="clear" w:pos="7140"/>
          <w:tab w:val="center" w:pos="4153"/>
          <w:tab w:val="right" w:pos="8306"/>
        </w:tabs>
      </w:pPr>
      <w:r>
        <w:tab/>
        <w:object w:dxaOrig="891" w:dyaOrig="279" w14:anchorId="62F0D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8" type="#_x0000_t75" style="width:44.558pt;height:13.962pt" o:ole="">
            <v:imagedata r:id="rIdReport2Math28_media" o:title=""/>
          </v:shape>
          <o:OLEObject Type="Embed" ProgID="Equation.DSMT4" ShapeID="_x0000_i2028" DrawAspect="Content" ObjectID="_2000000028" r:id="rIdReport2Math28_embeddings"/>
        </w:object>
        <w:tab/>
        <w:t>(26)</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在式（21）中删去最小观测，固定式（26）的位置，并代入式（28）的尺度，得到以β为变量的对数似然：</w:t>
      </w:r>
    </w:p>
    <w:p>
      <w:pPr>
        <w:pStyle w:val="MTDisplayEquation"/>
        <w:keepNext w:val="0"/>
        <w:keepLines/>
        <w:spacing w:line="240" w:lineRule="auto" w:before="100" w:after="140"/>
        <w:tabs>
          <w:tab w:val="clear" w:pos="7140"/>
          <w:tab w:val="center" w:pos="4153"/>
          <w:tab w:val="right" w:pos="8306"/>
        </w:tabs>
      </w:pPr>
      <w:r>
        <w:tab/>
        <w:object w:dxaOrig="5945" w:dyaOrig="680" w14:anchorId="4FC00E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9" type="#_x0000_t75" style="width:297.242pt;height:33.977pt" o:ole="">
            <v:imagedata r:id="rIdReport2Math29_media" o:title=""/>
          </v:shape>
          <o:OLEObject Type="Embed" ProgID="Equation.DSMT4" ShapeID="_x0000_i2029" DrawAspect="Content" ObjectID="_2000000029" r:id="rIdReport2Math29_embeddings"/>
        </w:object>
        <w:tab/>
        <w:t>(27)</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式（27）的ℓ为保留观测的对数似然，其最高点对应β̂。程序从β=1作固定点迭代，求对数似然导数为零的点，再计算尺度：</w:t>
      </w:r>
    </w:p>
    <w:p>
      <w:pPr>
        <w:pStyle w:val="MTDisplayEquation"/>
        <w:keepNext w:val="0"/>
        <w:keepLines/>
        <w:spacing w:line="240" w:lineRule="auto" w:before="100" w:after="140"/>
        <w:tabs>
          <w:tab w:val="clear" w:pos="7140"/>
          <w:tab w:val="center" w:pos="4153"/>
          <w:tab w:val="right" w:pos="8306"/>
        </w:tabs>
      </w:pPr>
      <w:r>
        <w:tab/>
        <w:object w:dxaOrig="3195" w:dyaOrig="836" w14:anchorId="59A645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0" type="#_x0000_t75" style="width:159.764pt;height:41.818pt" o:ole="">
            <v:imagedata r:id="rIdReport2Math30_media" o:title=""/>
          </v:shape>
          <o:OLEObject Type="Embed" ProgID="Equation.DSMT4" ShapeID="_x0000_i2030" DrawAspect="Content" ObjectID="_2000000030" r:id="rIdReport2Math30_embeddings"/>
        </w:object>
        <w:tab/>
        <w:t>(28)</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图19、20左列按式（26）确定γ̂，中列绘制式（27）的对数似然，峰顶对应β̂；右列将式（28）的β̂换为β，绘制尺度计算曲线η(β)，标出最终η̂。</w:t>
      </w:r>
    </w:p>
    <w:p>
      <w:pPr>
        <w:keepNext/>
        <w:keepLines/>
        <w:spacing w:line="240" w:lineRule="auto" w:before="120" w:after="60"/>
        <w:ind w:firstLine="0"/>
        <w:jc w:val="center"/>
      </w:pPr>
      <w:r>
        <w:drawing>
          <wp:inline xmlns:a="http://schemas.openxmlformats.org/drawingml/2006/main" xmlns:pic="http://schemas.openxmlformats.org/drawingml/2006/picture">
            <wp:extent cx="5274310" cy="2950038"/>
            <wp:docPr id="18" name="Picture 18"/>
            <wp:cNvGraphicFramePr>
              <a:graphicFrameLocks noChangeAspect="1"/>
            </wp:cNvGraphicFramePr>
            <a:graphic>
              <a:graphicData uri="http://schemas.openxmlformats.org/drawingml/2006/picture">
                <pic:pic>
                  <pic:nvPicPr>
                    <pic:cNvPr id="0" name="异常分类_MMLE_三子图.png"/>
                    <pic:cNvPicPr/>
                  </pic:nvPicPr>
                  <pic:blipFill>
                    <a:blip r:embed="rId26"/>
                    <a:stretch>
                      <a:fillRect/>
                    </a:stretch>
                  </pic:blipFill>
                  <pic:spPr>
                    <a:xfrm>
                      <a:off x="0" y="0"/>
                      <a:ext cx="5274310" cy="2950038"/>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图18｜MMLE保留距离分散与集中的两类明显异常估计。</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（1）保留距离分散导致的形状低估。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W(5,100,500)、n=7的正常与异常样本如下：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正常·第10组</w:t>
            </w:r>
          </w:p>
        </w:tc>
        <w:tc>
          <w:tcPr>
            <w:tcW w:type="dxa" w:w="900"/>
            <w:vAlign w:val="center"/>
          </w:tcPr>
          <w:p>
            <w:pPr>
              <w:keepNext/>
              <w:snapToGrid w:val="0"/>
              <w:spacing w:before="40" w:after="40" w:line="240" w:lineRule="auto"/>
              <w:ind w:firstLine="0"/>
              <w:jc w:val="center"/>
            </w:pPr>
            <w:r>
              <w:rPr>
                <w:rFonts w:eastAsia="仿宋_GB2312"/>
                <w:b w:val="0"/>
                <w:sz w:val="21"/>
                <w:szCs w:val="24"/>
              </w:rPr>
              <w:t>3.19</w:t>
            </w:r>
          </w:p>
        </w:tc>
        <w:tc>
          <w:tcPr>
            <w:tcW w:type="dxa" w:w="1200"/>
            <w:vAlign w:val="center"/>
          </w:tcPr>
          <w:p>
            <w:pPr>
              <w:keepNext/>
              <w:snapToGrid w:val="0"/>
              <w:spacing w:before="40" w:after="40" w:line="240" w:lineRule="auto"/>
              <w:ind w:firstLine="0"/>
              <w:jc w:val="center"/>
            </w:pPr>
            <w:r>
              <w:rPr>
                <w:rFonts w:eastAsia="仿宋_GB2312"/>
                <w:b w:val="0"/>
                <w:sz w:val="21"/>
                <w:szCs w:val="24"/>
              </w:rPr>
              <w:t>61.37</w:t>
            </w:r>
          </w:p>
        </w:tc>
        <w:tc>
          <w:tcPr>
            <w:tcW w:type="dxa" w:w="1200"/>
            <w:vAlign w:val="center"/>
          </w:tcPr>
          <w:p>
            <w:pPr>
              <w:keepNext/>
              <w:snapToGrid w:val="0"/>
              <w:spacing w:before="40" w:after="40" w:line="240" w:lineRule="auto"/>
              <w:ind w:firstLine="0"/>
              <w:jc w:val="center"/>
            </w:pPr>
            <w:r>
              <w:rPr>
                <w:rFonts w:eastAsia="仿宋_GB2312"/>
                <w:b w:val="0"/>
                <w:sz w:val="21"/>
                <w:szCs w:val="24"/>
              </w:rPr>
              <w:t>543.87</w:t>
            </w:r>
          </w:p>
        </w:tc>
        <w:tc>
          <w:tcPr>
            <w:tcW w:type="dxa" w:w="3606"/>
            <w:vAlign w:val="center"/>
          </w:tcPr>
          <w:p>
            <w:pPr>
              <w:keepNext/>
              <w:snapToGrid w:val="0"/>
              <w:spacing w:before="40" w:after="40" w:line="240" w:lineRule="auto"/>
              <w:ind w:firstLine="0"/>
              <w:jc w:val="left"/>
            </w:pPr>
            <w:r>
              <w:rPr>
                <w:rFonts w:eastAsia="仿宋_GB2312"/>
                <w:b w:val="0"/>
                <w:sz w:val="21"/>
                <w:szCs w:val="24"/>
              </w:rPr>
              <w:t>543.87，569.35，590.90，591.15，596.79，614.92，629.13</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异常·第11组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1.54</w:t>
            </w:r>
          </w:p>
        </w:tc>
        <w:tc>
          <w:tcPr>
            <w:tcW w:type="dxa" w:w="1200"/>
            <w:vAlign w:val="center"/>
          </w:tcPr>
          <w:p>
            <w:pPr>
              <w:keepNext w:val="0"/>
              <w:snapToGrid w:val="0"/>
              <w:spacing w:before="40" w:after="40" w:line="240" w:lineRule="auto"/>
              <w:ind w:firstLine="0"/>
              <w:jc w:val="center"/>
            </w:pPr>
            <w:r>
              <w:rPr>
                <w:rFonts w:eastAsia="仿宋_GB2312"/>
                <w:b w:val="0"/>
                <w:sz w:val="21"/>
                <w:szCs w:val="24"/>
              </w:rPr>
              <w:t>28.69</w:t>
            </w:r>
          </w:p>
        </w:tc>
        <w:tc>
          <w:tcPr>
            <w:tcW w:type="dxa" w:w="1200"/>
            <w:vAlign w:val="center"/>
          </w:tcPr>
          <w:p>
            <w:pPr>
              <w:keepNext w:val="0"/>
              <w:snapToGrid w:val="0"/>
              <w:spacing w:before="40" w:after="40" w:line="240" w:lineRule="auto"/>
              <w:ind w:firstLine="0"/>
              <w:jc w:val="center"/>
            </w:pPr>
            <w:r>
              <w:rPr>
                <w:rFonts w:eastAsia="仿宋_GB2312"/>
                <w:b w:val="0"/>
                <w:sz w:val="21"/>
                <w:szCs w:val="24"/>
              </w:rPr>
              <w:t>575.95</w:t>
            </w:r>
          </w:p>
        </w:tc>
        <w:tc>
          <w:tcPr>
            <w:tcW w:type="dxa" w:w="3606"/>
            <w:vAlign w:val="center"/>
          </w:tcPr>
          <w:p>
            <w:pPr>
              <w:keepNext w:val="0"/>
              <w:snapToGrid w:val="0"/>
              <w:spacing w:before="40" w:after="40" w:line="240" w:lineRule="auto"/>
              <w:ind w:firstLine="0"/>
              <w:jc w:val="left"/>
            </w:pPr>
            <w:r>
              <w:rPr>
                <w:rFonts w:eastAsia="仿宋_GB2312"/>
                <w:b w:val="0"/>
                <w:sz w:val="21"/>
                <w:szCs w:val="24"/>
              </w:rPr>
              <w:t>575.95，585.29，585.82，586.04，606.41，616.31，629.89</w:t>
            </w:r>
          </w:p>
        </w:tc>
      </w:tr>
    </w:tbl>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19" name="Picture 19"/>
            <wp:cNvGraphicFramePr>
              <a:graphicFrameLocks noChangeAspect="1"/>
            </wp:cNvGraphicFramePr>
            <a:graphic>
              <a:graphicData uri="http://schemas.openxmlformats.org/drawingml/2006/picture">
                <pic:pic>
                  <pic:nvPicPr>
                    <pic:cNvPr id="0" name="配对情形_MMLE_low.png"/>
                    <pic:cNvPicPr/>
                  </pic:nvPicPr>
                  <pic:blipFill>
                    <a:blip r:embed="rId27"/>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图19｜第11组的似然峰对应较小形状，恢复尺度也偏低。</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第11组以575.95为位置后，前三个保留距离约为9.34、9.87、10.09，后续距离增至30.46—53.94，下端形成一簇较小距离。其对数跨度为1.75，大于第10组的1.21；对数距离标准差为0.80，第10组为0.42。</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11组更分散的保留距离使式（27）的似然在β=1.54处达到最高，低于5/3；第10组的峰顶为3.19，处于正常范围。两组的最小值均高于真位置，式（28）使用的是缩小后的保留距离；第11组恢复η̂=28.69，低于真尺度100。</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（2）保留距离集中导致的形状高估。</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W(2,1000,3000)、n=7的正常与异常样本如下：</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1400"/>
        <w:gridCol w:w="900"/>
        <w:gridCol w:w="1200"/>
        <w:gridCol w:w="1200"/>
        <w:gridCol w:w="3606"/>
      </w:tblGrid>
      <w:tr>
        <w:trPr>
          <w:cantSplit/>
          <w:tblHeader/>
        </w:trPr>
        <w:tc>
          <w:tcPr>
            <w:tcW w:type="dxa" w:w="1400"/>
            <w:vAlign w:val="center"/>
          </w:tcPr>
          <w:p>
            <w:pPr>
              <w:keepNext/>
              <w:snapToGrid w:val="0"/>
              <w:spacing w:before="40" w:after="40" w:line="240" w:lineRule="auto"/>
              <w:ind w:firstLine="0"/>
              <w:jc w:val="center"/>
            </w:pPr>
            <w:r>
              <w:rPr>
                <w:rFonts w:eastAsia="仿宋_GB2312"/>
                <w:b/>
                <w:sz w:val="21"/>
                <w:szCs w:val="24"/>
              </w:rPr>
              <w:t>样本</w:t>
            </w:r>
          </w:p>
        </w:tc>
        <w:tc>
          <w:tcPr>
            <w:tcW w:type="dxa" w:w="900"/>
            <w:vAlign w:val="center"/>
          </w:tcPr>
          <w:p>
            <w:pPr>
              <w:keepNext/>
              <w:snapToGrid w:val="0"/>
              <w:spacing w:before="40" w:after="40" w:line="240" w:lineRule="auto"/>
              <w:ind w:firstLine="0"/>
              <w:jc w:val="center"/>
            </w:pPr>
            <w:r>
              <w:rPr>
                <w:rFonts w:eastAsia="仿宋_GB2312"/>
                <w:b/>
                <w:sz w:val="21"/>
                <w:szCs w:val="24"/>
              </w:rPr>
              <w:t>形状β̂</w:t>
            </w:r>
          </w:p>
        </w:tc>
        <w:tc>
          <w:tcPr>
            <w:tcW w:type="dxa" w:w="1200"/>
            <w:vAlign w:val="center"/>
          </w:tcPr>
          <w:p>
            <w:pPr>
              <w:keepNext/>
              <w:snapToGrid w:val="0"/>
              <w:spacing w:before="40" w:after="40" w:line="240" w:lineRule="auto"/>
              <w:ind w:firstLine="0"/>
              <w:jc w:val="center"/>
            </w:pPr>
            <w:r>
              <w:rPr>
                <w:rFonts w:eastAsia="仿宋_GB2312"/>
                <w:b/>
                <w:sz w:val="21"/>
                <w:szCs w:val="24"/>
              </w:rPr>
              <w:t>尺度η̂</w:t>
            </w:r>
          </w:p>
        </w:tc>
        <w:tc>
          <w:tcPr>
            <w:tcW w:type="dxa" w:w="1200"/>
            <w:vAlign w:val="center"/>
          </w:tcPr>
          <w:p>
            <w:pPr>
              <w:keepNext/>
              <w:snapToGrid w:val="0"/>
              <w:spacing w:before="40" w:after="40" w:line="240" w:lineRule="auto"/>
              <w:ind w:firstLine="0"/>
              <w:jc w:val="center"/>
            </w:pPr>
            <w:r>
              <w:rPr>
                <w:rFonts w:eastAsia="仿宋_GB2312"/>
                <w:b/>
                <w:sz w:val="21"/>
                <w:szCs w:val="24"/>
              </w:rPr>
              <w:t>位置γ̂</w:t>
            </w:r>
          </w:p>
        </w:tc>
        <w:tc>
          <w:tcPr>
            <w:tcW w:type="dxa" w:w="3606"/>
            <w:vAlign w:val="center"/>
          </w:tcPr>
          <w:p>
            <w:pPr>
              <w:keepNext/>
              <w:snapToGrid w:val="0"/>
              <w:spacing w:before="40" w:after="40" w:line="240" w:lineRule="auto"/>
              <w:ind w:firstLine="0"/>
              <w:jc w:val="left"/>
            </w:pPr>
            <w:r>
              <w:rPr>
                <w:rFonts w:eastAsia="仿宋_GB2312"/>
                <w:b/>
                <w:sz w:val="21"/>
                <w:szCs w:val="24"/>
              </w:rPr>
              <w:t>观测值（升序）</w:t>
            </w:r>
          </w:p>
        </w:tc>
      </w:tr>
      <w:tr>
        <w:trPr>
          <w:cantSplit/>
        </w:trPr>
        <w:tc>
          <w:tcPr>
            <w:tcW w:type="dxa" w:w="1400"/>
            <w:vAlign w:val="center"/>
          </w:tcPr>
          <w:p>
            <w:pPr>
              <w:keepNext/>
              <w:snapToGrid w:val="0"/>
              <w:spacing w:before="40" w:after="40" w:line="240" w:lineRule="auto"/>
              <w:ind w:firstLine="0"/>
              <w:jc w:val="center"/>
            </w:pPr>
            <w:r>
              <w:rPr>
                <w:rFonts w:eastAsia="仿宋_GB2312"/>
                <w:b w:val="0"/>
                <w:sz w:val="21"/>
                <w:szCs w:val="24"/>
              </w:rPr>
              <w:t>正常·第4组</w:t>
            </w:r>
          </w:p>
        </w:tc>
        <w:tc>
          <w:tcPr>
            <w:tcW w:type="dxa" w:w="900"/>
            <w:vAlign w:val="center"/>
          </w:tcPr>
          <w:p>
            <w:pPr>
              <w:keepNext/>
              <w:snapToGrid w:val="0"/>
              <w:spacing w:before="40" w:after="40" w:line="240" w:lineRule="auto"/>
              <w:ind w:firstLine="0"/>
              <w:jc w:val="center"/>
            </w:pPr>
            <w:r>
              <w:rPr>
                <w:rFonts w:eastAsia="仿宋_GB2312"/>
                <w:b w:val="0"/>
                <w:sz w:val="21"/>
                <w:szCs w:val="24"/>
              </w:rPr>
              <w:t>2.48</w:t>
            </w:r>
          </w:p>
        </w:tc>
        <w:tc>
          <w:tcPr>
            <w:tcW w:type="dxa" w:w="1200"/>
            <w:vAlign w:val="center"/>
          </w:tcPr>
          <w:p>
            <w:pPr>
              <w:keepNext/>
              <w:snapToGrid w:val="0"/>
              <w:spacing w:before="40" w:after="40" w:line="240" w:lineRule="auto"/>
              <w:ind w:firstLine="0"/>
              <w:jc w:val="center"/>
            </w:pPr>
            <w:r>
              <w:rPr>
                <w:rFonts w:eastAsia="仿宋_GB2312"/>
                <w:b w:val="0"/>
                <w:sz w:val="21"/>
                <w:szCs w:val="24"/>
              </w:rPr>
              <w:t>962.71</w:t>
            </w:r>
          </w:p>
        </w:tc>
        <w:tc>
          <w:tcPr>
            <w:tcW w:type="dxa" w:w="1200"/>
            <w:vAlign w:val="center"/>
          </w:tcPr>
          <w:p>
            <w:pPr>
              <w:keepNext/>
              <w:snapToGrid w:val="0"/>
              <w:spacing w:before="40" w:after="40" w:line="240" w:lineRule="auto"/>
              <w:ind w:firstLine="0"/>
              <w:jc w:val="center"/>
            </w:pPr>
            <w:r>
              <w:rPr>
                <w:rFonts w:eastAsia="仿宋_GB2312"/>
                <w:b w:val="0"/>
                <w:sz w:val="21"/>
                <w:szCs w:val="24"/>
              </w:rPr>
              <w:t>3109.09</w:t>
            </w:r>
          </w:p>
        </w:tc>
        <w:tc>
          <w:tcPr>
            <w:tcW w:type="dxa" w:w="3606"/>
            <w:vAlign w:val="center"/>
          </w:tcPr>
          <w:p>
            <w:pPr>
              <w:keepNext/>
              <w:snapToGrid w:val="0"/>
              <w:spacing w:before="40" w:after="40" w:line="240" w:lineRule="auto"/>
              <w:ind w:firstLine="0"/>
              <w:jc w:val="left"/>
            </w:pPr>
            <w:r>
              <w:rPr>
                <w:rFonts w:eastAsia="仿宋_GB2312"/>
                <w:b w:val="0"/>
                <w:sz w:val="21"/>
                <w:szCs w:val="24"/>
              </w:rPr>
              <w:t>3109.09，3388.63，3881.19，3927.27，3941.84，3990.51，4649.68</w:t>
            </w:r>
          </w:p>
        </w:tc>
      </w:tr>
      <w:tr>
        <w:trPr>
          <w:cantSplit/>
        </w:trPr>
        <w:tc>
          <w:tcPr>
            <w:tcW w:type="dxa" w:w="1400"/>
            <w:vAlign w:val="center"/>
          </w:tcPr>
          <w:p>
            <w:pPr>
              <w:keepNext w:val="0"/>
              <w:snapToGrid w:val="0"/>
              <w:spacing w:before="40" w:after="40" w:line="240" w:lineRule="auto"/>
              <w:ind w:firstLine="0"/>
              <w:jc w:val="center"/>
            </w:pPr>
            <w:r>
              <w:rPr>
                <w:rFonts w:eastAsia="仿宋_GB2312"/>
                <w:b w:val="0"/>
                <w:sz w:val="21"/>
                <w:szCs w:val="24"/>
              </w:rPr>
              <w:t>异常·第5组</w:t>
            </w:r>
          </w:p>
        </w:tc>
        <w:tc>
          <w:tcPr>
            <w:tcW w:type="dxa" w:w="900"/>
            <w:vAlign w:val="center"/>
          </w:tcPr>
          <w:p>
            <w:pPr>
              <w:keepNext w:val="0"/>
              <w:snapToGrid w:val="0"/>
              <w:spacing w:before="40" w:after="40" w:line="240" w:lineRule="auto"/>
              <w:ind w:firstLine="0"/>
              <w:jc w:val="center"/>
            </w:pPr>
            <w:r>
              <w:rPr>
                <w:rFonts w:eastAsia="仿宋_GB2312"/>
                <w:b w:val="0"/>
                <w:sz w:val="21"/>
                <w:szCs w:val="24"/>
              </w:rPr>
              <w:t>7.69</w:t>
            </w:r>
          </w:p>
        </w:tc>
        <w:tc>
          <w:tcPr>
            <w:tcW w:type="dxa" w:w="1200"/>
            <w:vAlign w:val="center"/>
          </w:tcPr>
          <w:p>
            <w:pPr>
              <w:keepNext w:val="0"/>
              <w:snapToGrid w:val="0"/>
              <w:spacing w:before="40" w:after="40" w:line="240" w:lineRule="auto"/>
              <w:ind w:firstLine="0"/>
              <w:jc w:val="center"/>
            </w:pPr>
            <w:r>
              <w:rPr>
                <w:rFonts w:eastAsia="仿宋_GB2312"/>
                <w:b w:val="0"/>
                <w:sz w:val="21"/>
                <w:szCs w:val="24"/>
              </w:rPr>
              <w:t>690.49</w:t>
            </w:r>
          </w:p>
        </w:tc>
        <w:tc>
          <w:tcPr>
            <w:tcW w:type="dxa" w:w="1200"/>
            <w:vAlign w:val="center"/>
          </w:tcPr>
          <w:p>
            <w:pPr>
              <w:keepNext w:val="0"/>
              <w:snapToGrid w:val="0"/>
              <w:spacing w:before="40" w:after="40" w:line="240" w:lineRule="auto"/>
              <w:ind w:firstLine="0"/>
              <w:jc w:val="center"/>
            </w:pPr>
            <w:r>
              <w:rPr>
                <w:rFonts w:eastAsia="仿宋_GB2312"/>
                <w:b w:val="0"/>
                <w:sz w:val="21"/>
                <w:szCs w:val="24"/>
              </w:rPr>
              <w:t>3301.70</w:t>
            </w:r>
          </w:p>
        </w:tc>
        <w:tc>
          <w:tcPr>
            <w:tcW w:type="dxa" w:w="3606"/>
            <w:vAlign w:val="center"/>
          </w:tcPr>
          <w:p>
            <w:pPr>
              <w:keepNext w:val="0"/>
              <w:snapToGrid w:val="0"/>
              <w:spacing w:before="40" w:after="40" w:line="240" w:lineRule="auto"/>
              <w:ind w:firstLine="0"/>
              <w:jc w:val="left"/>
            </w:pPr>
            <w:r>
              <w:rPr>
                <w:rFonts w:eastAsia="仿宋_GB2312"/>
                <w:b w:val="0"/>
                <w:sz w:val="21"/>
                <w:szCs w:val="24"/>
              </w:rPr>
              <w:t>3301.70，3818.64，3840.65，3938.63，3979.78，4031.52，4091.30</w:t>
            </w:r>
          </w:p>
        </w:tc>
      </w:tr>
    </w:tbl>
    <w:p>
      <w:pPr>
        <w:keepNext/>
        <w:keepLines/>
        <w:spacing w:line="240" w:lineRule="auto" w:before="120" w:after="60"/>
        <w:ind w:firstLine="0"/>
        <w:jc w:val="center"/>
      </w:pPr>
      <w:r>
        <w:drawing>
          <wp:inline xmlns:a="http://schemas.openxmlformats.org/drawingml/2006/main" xmlns:pic="http://schemas.openxmlformats.org/drawingml/2006/picture">
            <wp:extent cx="5274310" cy="3131622"/>
            <wp:docPr id="20" name="Picture 20"/>
            <wp:cNvGraphicFramePr>
              <a:graphicFrameLocks noChangeAspect="1"/>
            </wp:cNvGraphicFramePr>
            <a:graphic>
              <a:graphicData uri="http://schemas.openxmlformats.org/drawingml/2006/picture">
                <pic:pic>
                  <pic:nvPicPr>
                    <pic:cNvPr id="0" name="配对情形_MMLE_high_deletion.png"/>
                    <pic:cNvPicPr/>
                  </pic:nvPicPr>
                  <pic:blipFill>
                    <a:blip r:embed="rId28"/>
                    <a:stretch>
                      <a:fillRect/>
                    </a:stretch>
                  </pic:blipFill>
                  <pic:spPr>
                    <a:xfrm>
                      <a:off x="0" y="0"/>
                      <a:ext cx="5274310" cy="3131622"/>
                    </a:xfrm>
                    <a:prstGeom prst="rect"/>
                  </pic:spPr>
                </pic:pic>
              </a:graphicData>
            </a:graphic>
          </wp:inline>
        </w:drawing>
      </w:r>
    </w:p>
    <w:p>
      <w:pPr>
        <w:keepNext w:val="0"/>
        <w:keepLines/>
        <w:spacing w:line="240" w:lineRule="auto" w:after="160"/>
        <w:ind w:firstLineChars="200" w:firstLine="0"/>
        <w:jc w:val="center"/>
        <w:textAlignment w:val="center"/>
        <w:rPr>
          <w:rFonts w:eastAsia="仿宋_GB2312"/>
          <w:sz w:val="24"/>
          <w:szCs w:val="24"/>
        </w:rPr>
      </w:pPr>
      <w:r>
        <w:rPr>
          <w:rFonts w:eastAsia="仿宋_GB2312" w:hint="eastAsia"/>
          <w:b/>
          <w:sz w:val="24"/>
          <w:szCs w:val="24"/>
        </w:rPr>
        <w:t>图20｜第5组保留距离集中，似然峰对应较大形状，尺度仍偏低。</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第5组的最小观测与其余点列相隔较远，以最小值为位置后，六个保留距离都落在516.94—789.60，对数跨度仅0.42。第4组的保留距离为279.54—1540.59，对数跨度为1.71，分散程度明显更大。</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第5组集中的保留距离使式（27）的似然峰落在β=7.69，超过高估界限6；第4组的峰顶为2.48。式（28）在β̂=7.69处给出η̂=690.49。较大β对应较大的距离幂均值，但保留距离上限仅789.60，尺度仍低于真值1000。</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最小值定位后，保留距离更分散或更集中，会使似然峰分别落在较小或较大的β上，形成两类明显异常估计。</w:t>
      </w:r>
    </w:p>
    <w:p>
      <w:pPr>
        <w:pStyle w:val="2"/>
        <w:keepNext/>
        <w:rPr>
          <w:rFonts w:ascii="宋体" w:eastAsia="宋体" w:hAnsi="宋体"/>
          <w:b w:val="0"/>
          <w:sz w:val="28"/>
          <w:szCs w:val="28"/>
        </w:rPr>
      </w:pPr>
      <w:r>
        <w:rPr>
          <w:rFonts w:ascii="宋体" w:eastAsia="宋体" w:hAnsi="宋体"/>
          <w:b w:val="0"/>
          <w:sz w:val="28"/>
          <w:szCs w:val="28"/>
        </w:rPr>
        <w:t>2.2　明显异常样本的共同特征</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2.1中的明显异常样本反复出现以下三类结构，这些特征可以在同一样本中叠加。</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（1）下端信息异常。</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包括最小观测离真位置较远、最小值孤立、下端若干观测聚集，以及下端与其余点列之间存在较大空缺。W(2,1000,3000)、n=7的第35组有四个观测集中在3215.58—3274.68，最大观测达到4698.54；第5组的最小观测为3301.70，第二小观测为3818.64，后续点列较集中。前者表现为下端成簇与远端观测并存，后者表现为孤立的最小值。</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β和n影响下端空缺出现的概率。独立Weibull样本的最小值满足：</w:t>
      </w:r>
    </w:p>
    <w:p>
      <w:pPr>
        <w:pStyle w:val="MTDisplayEquation"/>
        <w:keepNext w:val="0"/>
        <w:keepLines/>
        <w:spacing w:line="240" w:lineRule="auto" w:before="100" w:after="140"/>
        <w:tabs>
          <w:tab w:val="clear" w:pos="7140"/>
          <w:tab w:val="center" w:pos="4153"/>
          <w:tab w:val="right" w:pos="8306"/>
        </w:tabs>
      </w:pPr>
      <w:r>
        <w:tab/>
        <w:object w:dxaOrig="5524" w:dyaOrig="628" w14:anchorId="5C899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1" type="#_x0000_t75" style="width:276.204pt;height:31.380pt" o:ole="">
            <v:imagedata r:id="rIdReport2Math31_media" o:title=""/>
          </v:shape>
          <o:OLEObject Type="Embed" ProgID="Equation.DSMT4" ShapeID="_x0000_i2031" DrawAspect="Content" ObjectID="_2000000031" r:id="rIdReport2Math31_embeddings"/>
        </w:object>
        <w:tab/>
        <w:t>(29)</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X₍₁₎为样本最小值，Fₓ为Weibull分布函数，a为以尺度计的下端距离。由式（29），取n=15、a=0.5，最小值进入γ+0.5η以内的概率，β=2时约98%，β=5时约37%。β增大或n减小，下端缺少观测的情形更常见。</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（2）整体或局部距离过度集中。</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集中可以发生在整个点列，也可以发生在最小观测以外的局部点列。上述第5组以最小观测为基准后，其余六个距离落在516.94—789.60，对数跨度仅0.42；同条件正常第4组的保留距离为279.54—1540.59，对数跨度为1.71。W(5,1000,500)、n=7的第29组在真位置下的对数距离也明显比第28组集中。</w:t>
      </w:r>
    </w:p>
    <w:p>
      <w:pPr>
        <w:keepNext/>
        <w:widowControl/>
        <w:spacing w:line="560" w:lineRule="exact"/>
        <w:ind w:firstLineChars="200" w:firstLine="480"/>
        <w:jc w:val="both"/>
        <w:textAlignment w:val="center"/>
        <w:rPr>
          <w:rFonts w:eastAsia="仿宋_GB2312"/>
          <w:sz w:val="24"/>
          <w:szCs w:val="24"/>
        </w:rPr>
      </w:pPr>
      <w:r>
        <w:rPr>
          <w:rFonts w:eastAsia="仿宋_GB2312"/>
          <w:b w:val="0"/>
          <w:sz w:val="24"/>
          <w:szCs w:val="24"/>
        </w:rPr>
        <w:t>位置与尺度的比值也影响原始观测的相对离散。写成X=γ+ηZ，可得：</w:t>
      </w:r>
    </w:p>
    <w:p>
      <w:pPr>
        <w:pStyle w:val="MTDisplayEquation"/>
        <w:keepNext w:val="0"/>
        <w:keepLines/>
        <w:spacing w:line="240" w:lineRule="auto" w:before="100" w:after="140"/>
        <w:tabs>
          <w:tab w:val="clear" w:pos="7140"/>
          <w:tab w:val="center" w:pos="4153"/>
          <w:tab w:val="right" w:pos="8306"/>
        </w:tabs>
      </w:pPr>
      <w:r>
        <w:tab/>
        <w:object w:dxaOrig="2367" w:dyaOrig="581" w14:anchorId="4EBFF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2" type="#_x0000_t75" style="width:118.344pt;height:29.040pt" o:ole="">
            <v:imagedata r:id="rIdReport2Math32_media" o:title=""/>
          </v:shape>
          <o:OLEObject Type="Embed" ProgID="Equation.DSMT4" ShapeID="_x0000_i2032" DrawAspect="Content" ObjectID="_2000000032" r:id="rIdReport2Math32_embeddings"/>
        </w:object>
        <w:tab/>
        <w:t>(30)</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Z为形状β、尺度1、位置0的Weibull变量，CV为标准差与均值之比，SD为标准差，𝔼为数学期望。由式（30），形状固定时，γ/η越大，原始观测的相对离散越小。</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（3）距离过度分散或存在远端点。</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W(2,1000,500)、n=7第19组的前六个观测位于779.38—1302.69，最大观测达到2480.21，明显远离其余点列。W(5,100,500)、n=7第11组以最小观测为基准后，保留距离由约9.34增至53.94，对数距离标准差为0.80，高于正常第10组的0.42。</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明显异常并不是由某一种固定样本形态造成，而是集中表现为下端信息不足、局部间距异常，以及距离过度集中或分散等结构。</w:t>
      </w:r>
    </w:p>
    <w:p>
      <w:pPr>
        <w:pStyle w:val="2"/>
        <w:keepNext/>
        <w:rPr>
          <w:rFonts w:ascii="宋体" w:eastAsia="宋体" w:hAnsi="宋体"/>
          <w:b w:val="0"/>
          <w:sz w:val="28"/>
          <w:szCs w:val="28"/>
        </w:rPr>
      </w:pPr>
      <w:r>
        <w:rPr>
          <w:rFonts w:ascii="宋体" w:eastAsia="宋体" w:hAnsi="宋体"/>
          <w:b w:val="0"/>
          <w:sz w:val="28"/>
          <w:szCs w:val="28"/>
        </w:rPr>
        <w:t>2.3　不同方法对异常样本特征的响应</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同一种样本结构，进入不同方法后会经过不同的估计环节，因而产生不同方向和不同程度的参数偏移。</w:t>
      </w:r>
    </w:p>
    <w:p>
      <w:pPr>
        <w:pStyle w:val="3"/>
        <w:keepNext/>
        <w:jc w:val="left"/>
        <w:rPr>
          <w:rFonts w:ascii="宋体" w:eastAsia="宋体" w:hAnsi="宋体"/>
          <w:b w:val="0"/>
          <w:sz w:val="28"/>
          <w:szCs w:val="28"/>
        </w:rPr>
      </w:pPr>
      <w:r>
        <w:rPr>
          <w:rFonts w:ascii="宋体" w:eastAsia="宋体" w:hAnsi="宋体"/>
          <w:b/>
          <w:sz w:val="24"/>
          <w:szCs w:val="28"/>
        </w:rPr>
        <w:t>2.3.1　对下端信息异常的响应</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下端间距与直线不匹配时，LSE、LRE通过移动位置改善线性匹配，形状随回归斜率一起变化。MDM则通过梯度阈值交点响应：交点靠近最小观测时，所选位置偏右，随后形状与尺度可能偏小。</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MMLE直接把最小观测作为位置，最小值偏离真位置的程度会直接进入后续距离。WMLE将下端距离的变化放入两条加权关系共同平衡，MLE则评价这些距离与形状、尺度组成的整体似然。它们使用同样的下端信息，但确定位置的依据不同。</w:t>
      </w:r>
    </w:p>
    <w:p>
      <w:pPr>
        <w:pStyle w:val="3"/>
        <w:keepNext/>
        <w:jc w:val="left"/>
        <w:rPr>
          <w:rFonts w:ascii="宋体" w:eastAsia="宋体" w:hAnsi="宋体"/>
          <w:b w:val="0"/>
          <w:sz w:val="28"/>
          <w:szCs w:val="28"/>
        </w:rPr>
      </w:pPr>
      <w:r>
        <w:rPr>
          <w:rFonts w:ascii="宋体" w:eastAsia="宋体" w:hAnsi="宋体"/>
          <w:b/>
          <w:sz w:val="24"/>
          <w:szCs w:val="28"/>
        </w:rPr>
        <w:t>2.3.2　对距离过度集中的响应</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LSE和LRE都对对数跨度敏感，但回归方向不同：跨度压缩时，LSE的斜率变小，取倒数后形状变大；LRE的拟合线变陡，直接取斜率后形状变大。</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MLE、MMLE通过似然响应集中结构：较集中的距离可以让大形状组合得到更高似然。MMLE采用的是最小值定位后的保留距离；这些距离越集中，似然峰越容易偏向大形状。</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MDM通过伪尺度的一致程度选择形状，WMLE通过两条加权关系的共同交点确定形状与位置。它们读取的统计关系与回归斜率不同，所以相同的集中结构可以产生不同大小的偏移。</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真位置相对尺度较大时，接近零位置的候选距离更集中。采用这类候选的回归或似然方法，更容易将集中结构放大成形状高估。</w:t>
      </w:r>
    </w:p>
    <w:p>
      <w:pPr>
        <w:pStyle w:val="3"/>
        <w:keepNext/>
        <w:jc w:val="left"/>
        <w:rPr>
          <w:rFonts w:ascii="宋体" w:eastAsia="宋体" w:hAnsi="宋体"/>
          <w:b w:val="0"/>
          <w:sz w:val="28"/>
          <w:szCs w:val="28"/>
        </w:rPr>
      </w:pPr>
      <w:r>
        <w:rPr>
          <w:rFonts w:ascii="宋体" w:eastAsia="宋体" w:hAnsi="宋体"/>
          <w:b/>
          <w:sz w:val="24"/>
          <w:szCs w:val="28"/>
        </w:rPr>
        <w:t>2.3.3　对距离过度分散或远端点的响应</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远端点可能使回归点列弯曲。LSE、LRE通过右移位置拉开下端对数间距，改善线性匹配；LSE取斜率倒数，LRE直接取斜率，两条不同的恢复关系都可能给出较小形状。位置靠近最小值时，参与估计的距离缩小，尺度也容易随之降低。</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MMLE保留距离较分散时，似然峰更容易偏向小形状。WMLE中的分散结构则同时改变对数距离、幂加权距离和倒数距离，最终方向与幅度由两条关系共同平衡的位置决定。</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这些差别使同一类特征在部分方法中形成明显异常，在另一些方法中只产生较小偏移。</w:t>
      </w:r>
    </w:p>
    <w:tbl>
      <w:tblPr>
        <w:tblStyle w:val="a8"/>
        <w:tblW w:type="auto" w:w="0"/>
        <w:jc w:val="center"/>
        <w:tblLayout w:type="fixed"/>
        <w:tblLook w:firstColumn="1" w:firstRow="1" w:lastColumn="0" w:lastRow="0" w:noHBand="0" w:noVBand="1" w:val="04A0"/>
        <w:tblCellMar>
          <w:top w:w="65" w:type="dxa"/>
          <w:bottom w:w="65" w:type="dxa"/>
          <w:left w:w="80" w:type="dxa"/>
          <w:right w:w="80" w:type="dxa"/>
        </w:tblCellMar>
      </w:tblPr>
      <w:tblGrid>
        <w:gridCol w:w="2769"/>
        <w:gridCol w:w="2769"/>
        <w:gridCol w:w="2769"/>
      </w:tblGrid>
      <w:tr>
        <w:trPr>
          <w:cantSplit/>
          <w:tblHeader/>
        </w:trPr>
        <w:tc>
          <w:tcPr>
            <w:tcW w:type="dxa" w:w="2769"/>
            <w:vAlign w:val="center"/>
          </w:tcPr>
          <w:p>
            <w:pPr>
              <w:keepNext/>
              <w:snapToGrid w:val="0"/>
              <w:spacing w:before="40" w:after="40" w:line="240" w:lineRule="auto"/>
              <w:ind w:firstLine="0"/>
              <w:jc w:val="center"/>
            </w:pPr>
            <w:r>
              <w:rPr>
                <w:rFonts w:eastAsia="仿宋_GB2312"/>
                <w:b/>
                <w:sz w:val="21"/>
                <w:szCs w:val="24"/>
              </w:rPr>
              <w:t>样本特征</w:t>
            </w:r>
          </w:p>
        </w:tc>
        <w:tc>
          <w:tcPr>
            <w:tcW w:type="dxa" w:w="2769"/>
            <w:vAlign w:val="center"/>
          </w:tcPr>
          <w:p>
            <w:pPr>
              <w:keepNext/>
              <w:snapToGrid w:val="0"/>
              <w:spacing w:before="40" w:after="40" w:line="240" w:lineRule="auto"/>
              <w:ind w:firstLine="0"/>
              <w:jc w:val="center"/>
            </w:pPr>
            <w:r>
              <w:rPr>
                <w:rFonts w:eastAsia="仿宋_GB2312"/>
                <w:b/>
                <w:sz w:val="21"/>
                <w:szCs w:val="24"/>
              </w:rPr>
              <w:t>方法怎样响应</w:t>
            </w:r>
          </w:p>
        </w:tc>
        <w:tc>
          <w:tcPr>
            <w:tcW w:type="dxa" w:w="2769"/>
            <w:vAlign w:val="center"/>
          </w:tcPr>
          <w:p>
            <w:pPr>
              <w:keepNext/>
              <w:snapToGrid w:val="0"/>
              <w:spacing w:before="40" w:after="40" w:line="240" w:lineRule="auto"/>
              <w:ind w:firstLine="0"/>
              <w:jc w:val="center"/>
            </w:pPr>
            <w:r>
              <w:rPr>
                <w:rFonts w:eastAsia="仿宋_GB2312"/>
                <w:b/>
                <w:sz w:val="21"/>
                <w:szCs w:val="24"/>
              </w:rPr>
              <w:t>可能的参数变化</w:t>
            </w:r>
          </w:p>
        </w:tc>
      </w:tr>
      <w:tr>
        <w:trPr>
          <w:cantSplit/>
        </w:trPr>
        <w:tc>
          <w:tcPr>
            <w:tcW w:type="dxa" w:w="2769"/>
            <w:vAlign w:val="center"/>
          </w:tcPr>
          <w:p>
            <w:pPr>
              <w:keepNext/>
              <w:snapToGrid w:val="0"/>
              <w:spacing w:before="40" w:after="40" w:line="240" w:lineRule="auto"/>
              <w:ind w:firstLine="0"/>
              <w:jc w:val="center"/>
            </w:pPr>
            <w:r>
              <w:rPr>
                <w:rFonts w:eastAsia="仿宋_GB2312"/>
                <w:b w:val="0"/>
                <w:sz w:val="21"/>
                <w:szCs w:val="24"/>
              </w:rPr>
              <w:t>下端空缺、局部间距异常</w:t>
            </w:r>
          </w:p>
        </w:tc>
        <w:tc>
          <w:tcPr>
            <w:tcW w:type="dxa" w:w="2769"/>
            <w:vAlign w:val="center"/>
          </w:tcPr>
          <w:p>
            <w:pPr>
              <w:keepNext/>
              <w:snapToGrid w:val="0"/>
              <w:spacing w:before="40" w:after="40" w:line="240" w:lineRule="auto"/>
              <w:ind w:firstLine="0"/>
              <w:jc w:val="center"/>
            </w:pPr>
            <w:r>
              <w:rPr>
                <w:rFonts w:eastAsia="仿宋_GB2312"/>
                <w:b w:val="0"/>
                <w:sz w:val="21"/>
                <w:szCs w:val="24"/>
              </w:rPr>
              <w:t>LSE、LRE移动位置改善线性匹配</w:t>
            </w:r>
          </w:p>
        </w:tc>
        <w:tc>
          <w:tcPr>
            <w:tcW w:type="dxa" w:w="2769"/>
            <w:vAlign w:val="center"/>
          </w:tcPr>
          <w:p>
            <w:pPr>
              <w:keepNext/>
              <w:snapToGrid w:val="0"/>
              <w:spacing w:before="40" w:after="40" w:line="240" w:lineRule="auto"/>
              <w:ind w:firstLine="0"/>
              <w:jc w:val="center"/>
            </w:pPr>
            <w:r>
              <w:rPr>
                <w:rFonts w:eastAsia="仿宋_GB2312"/>
                <w:b w:val="0"/>
                <w:sz w:val="21"/>
                <w:szCs w:val="24"/>
              </w:rPr>
              <w:t>γ偏移，β随斜率变化</w:t>
            </w:r>
          </w:p>
        </w:tc>
      </w:tr>
      <w:tr>
        <w:trPr>
          <w:cantSplit/>
        </w:trPr>
        <w:tc>
          <w:tcPr>
            <w:tcW w:type="dxa" w:w="2769"/>
            <w:vAlign w:val="center"/>
          </w:tcPr>
          <w:p>
            <w:pPr>
              <w:keepNext/>
              <w:snapToGrid w:val="0"/>
              <w:spacing w:before="40" w:after="40" w:line="240" w:lineRule="auto"/>
              <w:ind w:firstLine="0"/>
              <w:jc w:val="center"/>
            </w:pPr>
            <w:r>
              <w:rPr>
                <w:rFonts w:eastAsia="仿宋_GB2312"/>
                <w:b w:val="0"/>
                <w:sz w:val="21"/>
                <w:szCs w:val="24"/>
              </w:rPr>
              <w:t>下端观测成簇、局部间距异常</w:t>
            </w:r>
          </w:p>
        </w:tc>
        <w:tc>
          <w:tcPr>
            <w:tcW w:type="dxa" w:w="2769"/>
            <w:vAlign w:val="center"/>
          </w:tcPr>
          <w:p>
            <w:pPr>
              <w:keepNext/>
              <w:snapToGrid w:val="0"/>
              <w:spacing w:before="40" w:after="40" w:line="240" w:lineRule="auto"/>
              <w:ind w:firstLine="0"/>
              <w:jc w:val="center"/>
            </w:pPr>
            <w:r>
              <w:rPr>
                <w:rFonts w:eastAsia="仿宋_GB2312"/>
                <w:b w:val="0"/>
                <w:sz w:val="21"/>
                <w:szCs w:val="24"/>
              </w:rPr>
              <w:t>MDM的梯度阈值交点移动</w:t>
            </w:r>
          </w:p>
        </w:tc>
        <w:tc>
          <w:tcPr>
            <w:tcW w:type="dxa" w:w="2769"/>
            <w:vAlign w:val="center"/>
          </w:tcPr>
          <w:p>
            <w:pPr>
              <w:keepNext/>
              <w:snapToGrid w:val="0"/>
              <w:spacing w:before="40" w:after="40" w:line="240" w:lineRule="auto"/>
              <w:ind w:firstLine="0"/>
              <w:jc w:val="center"/>
            </w:pPr>
            <w:r>
              <w:rPr>
                <w:rFonts w:eastAsia="仿宋_GB2312"/>
                <w:b w:val="0"/>
                <w:sz w:val="21"/>
                <w:szCs w:val="24"/>
              </w:rPr>
              <w:t>交点靠近最小值时，β与η可降低</w:t>
            </w:r>
          </w:p>
        </w:tc>
      </w:tr>
      <w:tr>
        <w:trPr>
          <w:cantSplit/>
        </w:trPr>
        <w:tc>
          <w:tcPr>
            <w:tcW w:type="dxa" w:w="2769"/>
            <w:vAlign w:val="center"/>
          </w:tcPr>
          <w:p>
            <w:pPr>
              <w:keepNext/>
              <w:snapToGrid w:val="0"/>
              <w:spacing w:before="40" w:after="40" w:line="240" w:lineRule="auto"/>
              <w:ind w:firstLine="0"/>
              <w:jc w:val="center"/>
            </w:pPr>
            <w:r>
              <w:rPr>
                <w:rFonts w:eastAsia="仿宋_GB2312"/>
                <w:b w:val="0"/>
                <w:sz w:val="21"/>
                <w:szCs w:val="24"/>
              </w:rPr>
              <w:t>距离过度集中</w:t>
            </w:r>
          </w:p>
        </w:tc>
        <w:tc>
          <w:tcPr>
            <w:tcW w:type="dxa" w:w="2769"/>
            <w:vAlign w:val="center"/>
          </w:tcPr>
          <w:p>
            <w:pPr>
              <w:keepNext/>
              <w:snapToGrid w:val="0"/>
              <w:spacing w:before="40" w:after="40" w:line="240" w:lineRule="auto"/>
              <w:ind w:firstLine="0"/>
              <w:jc w:val="center"/>
            </w:pPr>
            <w:r>
              <w:rPr>
                <w:rFonts w:eastAsia="仿宋_GB2312"/>
                <w:b w:val="0"/>
                <w:sz w:val="21"/>
                <w:szCs w:val="24"/>
              </w:rPr>
              <w:t>LSE、LRE的跨度与斜率变化</w:t>
            </w:r>
          </w:p>
        </w:tc>
        <w:tc>
          <w:tcPr>
            <w:tcW w:type="dxa" w:w="2769"/>
            <w:vAlign w:val="center"/>
          </w:tcPr>
          <w:p>
            <w:pPr>
              <w:keepNext/>
              <w:snapToGrid w:val="0"/>
              <w:spacing w:before="40" w:after="40" w:line="240" w:lineRule="auto"/>
              <w:ind w:firstLine="0"/>
              <w:jc w:val="center"/>
            </w:pPr>
            <w:r>
              <w:rPr>
                <w:rFonts w:eastAsia="仿宋_GB2312"/>
                <w:b w:val="0"/>
                <w:sz w:val="21"/>
                <w:szCs w:val="24"/>
              </w:rPr>
              <w:t>β增大</w:t>
            </w:r>
          </w:p>
        </w:tc>
      </w:tr>
      <w:tr>
        <w:trPr>
          <w:cantSplit/>
        </w:trPr>
        <w:tc>
          <w:tcPr>
            <w:tcW w:type="dxa" w:w="2769"/>
            <w:vAlign w:val="center"/>
          </w:tcPr>
          <w:p>
            <w:pPr>
              <w:keepNext/>
              <w:snapToGrid w:val="0"/>
              <w:spacing w:before="40" w:after="40" w:line="240" w:lineRule="auto"/>
              <w:ind w:firstLine="0"/>
              <w:jc w:val="center"/>
            </w:pPr>
            <w:r>
              <w:rPr>
                <w:rFonts w:eastAsia="仿宋_GB2312"/>
                <w:b w:val="0"/>
                <w:sz w:val="21"/>
                <w:szCs w:val="24"/>
              </w:rPr>
              <w:t>距离过度集中</w:t>
            </w:r>
          </w:p>
        </w:tc>
        <w:tc>
          <w:tcPr>
            <w:tcW w:type="dxa" w:w="2769"/>
            <w:vAlign w:val="center"/>
          </w:tcPr>
          <w:p>
            <w:pPr>
              <w:keepNext/>
              <w:snapToGrid w:val="0"/>
              <w:spacing w:before="40" w:after="40" w:line="240" w:lineRule="auto"/>
              <w:ind w:firstLine="0"/>
              <w:jc w:val="center"/>
            </w:pPr>
            <w:r>
              <w:rPr>
                <w:rFonts w:eastAsia="仿宋_GB2312"/>
                <w:b w:val="0"/>
                <w:sz w:val="21"/>
                <w:szCs w:val="24"/>
              </w:rPr>
              <w:t>MLE的整体似然比较</w:t>
            </w:r>
          </w:p>
        </w:tc>
        <w:tc>
          <w:tcPr>
            <w:tcW w:type="dxa" w:w="2769"/>
            <w:vAlign w:val="center"/>
          </w:tcPr>
          <w:p>
            <w:pPr>
              <w:keepNext/>
              <w:snapToGrid w:val="0"/>
              <w:spacing w:before="40" w:after="40" w:line="240" w:lineRule="auto"/>
              <w:ind w:firstLine="0"/>
              <w:jc w:val="center"/>
            </w:pPr>
            <w:r>
              <w:rPr>
                <w:rFonts w:eastAsia="仿宋_GB2312"/>
                <w:b w:val="0"/>
                <w:sz w:val="21"/>
                <w:szCs w:val="24"/>
              </w:rPr>
              <w:t>可能支持左侧大β组合</w:t>
            </w:r>
          </w:p>
        </w:tc>
      </w:tr>
      <w:tr>
        <w:trPr>
          <w:cantSplit/>
        </w:trPr>
        <w:tc>
          <w:tcPr>
            <w:tcW w:type="dxa" w:w="2769"/>
            <w:vAlign w:val="center"/>
          </w:tcPr>
          <w:p>
            <w:pPr>
              <w:keepNext/>
              <w:snapToGrid w:val="0"/>
              <w:spacing w:before="40" w:after="40" w:line="240" w:lineRule="auto"/>
              <w:ind w:firstLine="0"/>
              <w:jc w:val="center"/>
            </w:pPr>
            <w:r>
              <w:rPr>
                <w:rFonts w:eastAsia="仿宋_GB2312"/>
                <w:b w:val="0"/>
                <w:sz w:val="21"/>
                <w:szCs w:val="24"/>
              </w:rPr>
              <w:t>最小值偏大、保留距离集中或分散</w:t>
            </w:r>
          </w:p>
        </w:tc>
        <w:tc>
          <w:tcPr>
            <w:tcW w:type="dxa" w:w="2769"/>
            <w:vAlign w:val="center"/>
          </w:tcPr>
          <w:p>
            <w:pPr>
              <w:keepNext/>
              <w:snapToGrid w:val="0"/>
              <w:spacing w:before="40" w:after="40" w:line="240" w:lineRule="auto"/>
              <w:ind w:firstLine="0"/>
              <w:jc w:val="center"/>
            </w:pPr>
            <w:r>
              <w:rPr>
                <w:rFonts w:eastAsia="仿宋_GB2312"/>
                <w:b w:val="0"/>
                <w:sz w:val="21"/>
                <w:szCs w:val="24"/>
              </w:rPr>
              <w:t>MMLE直接定位，再拟合保留距离</w:t>
            </w:r>
          </w:p>
        </w:tc>
        <w:tc>
          <w:tcPr>
            <w:tcW w:type="dxa" w:w="2769"/>
            <w:vAlign w:val="center"/>
          </w:tcPr>
          <w:p>
            <w:pPr>
              <w:keepNext/>
              <w:snapToGrid w:val="0"/>
              <w:spacing w:before="40" w:after="40" w:line="240" w:lineRule="auto"/>
              <w:ind w:firstLine="0"/>
              <w:jc w:val="center"/>
            </w:pPr>
            <w:r>
              <w:rPr>
                <w:rFonts w:eastAsia="仿宋_GB2312"/>
                <w:b w:val="0"/>
                <w:sz w:val="21"/>
                <w:szCs w:val="24"/>
              </w:rPr>
              <w:t>集中可对应大β，分散可对应小β</w:t>
            </w:r>
          </w:p>
        </w:tc>
      </w:tr>
      <w:tr>
        <w:trPr>
          <w:cantSplit/>
        </w:trPr>
        <w:tc>
          <w:tcPr>
            <w:tcW w:type="dxa" w:w="2769"/>
            <w:vAlign w:val="center"/>
          </w:tcPr>
          <w:p>
            <w:pPr>
              <w:keepNext w:val="0"/>
              <w:snapToGrid w:val="0"/>
              <w:spacing w:before="40" w:after="40" w:line="240" w:lineRule="auto"/>
              <w:ind w:firstLine="0"/>
              <w:jc w:val="center"/>
            </w:pPr>
            <w:r>
              <w:rPr>
                <w:rFonts w:eastAsia="仿宋_GB2312"/>
                <w:b w:val="0"/>
                <w:sz w:val="21"/>
                <w:szCs w:val="24"/>
              </w:rPr>
              <w:t>局部间距与整体距离变化</w:t>
            </w:r>
          </w:p>
        </w:tc>
        <w:tc>
          <w:tcPr>
            <w:tcW w:type="dxa" w:w="2769"/>
            <w:vAlign w:val="center"/>
          </w:tcPr>
          <w:p>
            <w:pPr>
              <w:keepNext w:val="0"/>
              <w:snapToGrid w:val="0"/>
              <w:spacing w:before="40" w:after="40" w:line="240" w:lineRule="auto"/>
              <w:ind w:firstLine="0"/>
              <w:jc w:val="center"/>
            </w:pPr>
            <w:r>
              <w:rPr>
                <w:rFonts w:eastAsia="仿宋_GB2312"/>
                <w:b w:val="0"/>
                <w:sz w:val="21"/>
                <w:szCs w:val="24"/>
              </w:rPr>
              <w:t>WMLE的两条加权关系共同平衡</w:t>
            </w:r>
          </w:p>
        </w:tc>
        <w:tc>
          <w:tcPr>
            <w:tcW w:type="dxa" w:w="2769"/>
            <w:vAlign w:val="center"/>
          </w:tcPr>
          <w:p>
            <w:pPr>
              <w:keepNext w:val="0"/>
              <w:snapToGrid w:val="0"/>
              <w:spacing w:before="40" w:after="40" w:line="240" w:lineRule="auto"/>
              <w:ind w:firstLine="0"/>
              <w:jc w:val="center"/>
            </w:pPr>
            <w:r>
              <w:rPr>
                <w:rFonts w:eastAsia="仿宋_GB2312"/>
                <w:b w:val="0"/>
                <w:sz w:val="21"/>
                <w:szCs w:val="24"/>
              </w:rPr>
              <w:t>方向与幅度由联合交点决定</w:t>
            </w:r>
          </w:p>
        </w:tc>
      </w:tr>
    </w:tbl>
    <w:p>
      <w:pPr>
        <w:pStyle w:val="1"/>
        <w:keepNext/>
        <w:pageBreakBefore/>
        <w:jc w:val="left"/>
        <w:rPr>
          <w:sz w:val="30"/>
          <w:szCs w:val="30"/>
        </w:rPr>
      </w:pPr>
      <w:r>
        <w:rPr>
          <w:rFonts w:hint="eastAsia"/>
          <w:sz w:val="30"/>
          <w:szCs w:val="30"/>
        </w:rPr>
        <w:t>3　改进方向</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（1）修正已确认的计算问题。</w:t>
      </w:r>
    </w:p>
    <w:p>
      <w:pPr>
        <w:widowControl/>
        <w:spacing w:line="560" w:lineRule="exact"/>
        <w:ind w:firstLineChars="200" w:firstLine="480"/>
        <w:jc w:val="both"/>
        <w:textAlignment w:val="center"/>
        <w:rPr>
          <w:rFonts w:eastAsia="仿宋_GB2312"/>
          <w:sz w:val="24"/>
          <w:szCs w:val="24"/>
        </w:rPr>
      </w:pPr>
      <w:r>
        <w:rPr>
          <w:rFonts w:eastAsia="仿宋_GB2312"/>
          <w:b w:val="0"/>
          <w:sz w:val="24"/>
          <w:szCs w:val="24"/>
        </w:rPr>
        <w:t>MDM应将已检测的交点区间用于求根和候选选择，确认没有有效内部交点后再执行回退。MLE应在搜索中落实β≥1的接受条件，纳入β=1边界分支，检查过早停止及候选筛选，使较高似然的合格候选进入最终比较。修正后先复算原异常样本，确认交点采用和似然比较符合预定规则。</w:t>
      </w:r>
    </w:p>
    <w:p>
      <w:pPr>
        <w:keepNext/>
        <w:widowControl/>
        <w:spacing w:line="560" w:lineRule="exact"/>
        <w:ind w:firstLineChars="200" w:firstLine="480"/>
        <w:jc w:val="both"/>
        <w:textAlignment w:val="center"/>
        <w:rPr>
          <w:rFonts w:eastAsia="仿宋_GB2312"/>
          <w:sz w:val="24"/>
          <w:szCs w:val="24"/>
        </w:rPr>
      </w:pPr>
      <w:r>
        <w:rPr>
          <w:rFonts w:eastAsia="仿宋_GB2312"/>
          <w:b/>
          <w:sz w:val="24"/>
          <w:szCs w:val="24"/>
        </w:rPr>
        <w:t>（2）减少方法对异常样本结构的敏感性。</w:t>
      </w:r>
    </w:p>
    <w:p>
      <w:pPr>
        <w:widowControl/>
        <w:spacing w:line="560" w:lineRule="exact"/>
        <w:ind w:firstLineChars="200" w:firstLine="480"/>
        <w:jc w:val="both"/>
        <w:textAlignment w:val="center"/>
        <w:rPr>
          <w:rFonts w:eastAsia="仿宋_GB2312"/>
          <w:sz w:val="24"/>
          <w:szCs w:val="24"/>
        </w:rPr>
      </w:pPr>
      <w:r>
        <w:rPr>
          <w:rFonts w:eastAsia="仿宋_GB2312"/>
          <w:b/>
          <w:sz w:val="24"/>
          <w:szCs w:val="24"/>
        </w:rPr>
        <w:t>稳定性约束的参数选择。</w:t>
      </w:r>
      <w:r>
        <w:rPr>
          <w:rFonts w:eastAsia="仿宋_GB2312"/>
          <w:b w:val="0"/>
          <w:sz w:val="24"/>
          <w:szCs w:val="24"/>
        </w:rPr>
        <w:t xml:space="preserve"> 单一拟合准则没有约束参数恢复的稳定性。LSE、LRE为改善线性匹配而移动γ时，可能严重拉伸或压缩对数距离，放大形状与尺度偏移。可在拟合准则之外加入参数对样本轻微扰动的稳定性约束，研究能否减少为有限的拟合改善而选择极端参数的情况。</w:t>
      </w:r>
    </w:p>
    <w:p>
      <w:pPr>
        <w:widowControl/>
        <w:spacing w:line="560" w:lineRule="exact"/>
        <w:ind w:firstLineChars="200" w:firstLine="480"/>
        <w:jc w:val="both"/>
        <w:textAlignment w:val="center"/>
        <w:rPr>
          <w:rFonts w:eastAsia="仿宋_GB2312"/>
          <w:sz w:val="24"/>
          <w:szCs w:val="24"/>
        </w:rPr>
      </w:pPr>
      <w:r>
        <w:rPr>
          <w:rFonts w:eastAsia="仿宋_GB2312"/>
          <w:b/>
          <w:sz w:val="24"/>
          <w:szCs w:val="24"/>
        </w:rPr>
        <w:t>MMLE的自适应位置修正。</w:t>
      </w:r>
      <w:r>
        <w:rPr>
          <w:rFonts w:eastAsia="仿宋_GB2312"/>
          <w:b w:val="0"/>
          <w:sz w:val="24"/>
          <w:szCs w:val="24"/>
        </w:rPr>
        <w:t xml:space="preserve"> 最小值定位使位置向上偏移，偏移幅度随样本条件变化。可依据样本量、下端间距与整体离散程度修正位置，再估计形状与尺度。真实参数未知时，可尝试用神经网络在已知真值的模拟样本上学习可观测特征与位置修正量的非线性映射，应用时仅凭观测样本给出修正。</w:t>
      </w:r>
    </w:p>
    <w:sectPr w:rsidR="00A9481D" w:rsidSect="006633A0">
      <w:footerReference w:type="default" r:id="rId5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0727D4" w14:textId="77777777" w:rsidR="00B109F6" w:rsidRDefault="00B109F6" w:rsidP="00856C2E">
      <w:pPr>
        <w:spacing w:line="240" w:lineRule="auto"/>
      </w:pPr>
      <w:r>
        <w:separator/>
      </w:r>
    </w:p>
  </w:endnote>
  <w:endnote w:type="continuationSeparator" w:id="0">
    <w:p w14:paraId="21236C0E" w14:textId="77777777" w:rsidR="00B109F6" w:rsidRDefault="00B109F6" w:rsidP="00856C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525AB" w14:textId="4244C478" w:rsidR="006633A0" w:rsidRDefault="006633A0">
    <w:pPr>
      <w:pStyle w:val="a5"/>
      <w:jc w:val="center"/>
    </w:pPr>
  </w:p>
  <w:p w14:paraId="5ADB32F6" w14:textId="77777777" w:rsidR="006633A0" w:rsidRDefault="006633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7565007"/>
      <w:docPartObj>
        <w:docPartGallery w:val="Page Numbers (Bottom of Page)"/>
        <w:docPartUnique/>
      </w:docPartObj>
    </w:sdtPr>
    <w:sdtEndPr/>
    <w:sdtContent>
      <w:p w14:paraId="70EFA241" w14:textId="77777777" w:rsidR="006633A0" w:rsidRDefault="006633A0">
        <w:pPr>
          <w:pStyle w:val="a5"/>
          <w:jc w:val="center"/>
        </w:pPr>
        <w:r>
          <w:fldChar w:fldCharType="begin"/>
        </w:r>
        <w:r>
          <w:instrText>PAGE   \* MERGEFORMAT</w:instrText>
        </w:r>
        <w:r>
          <w:fldChar w:fldCharType="separate"/>
        </w:r>
        <w:r>
          <w:rPr>
            <w:lang w:val="zh-CN"/>
          </w:rPr>
          <w:t>2</w:t>
        </w:r>
        <w:r>
          <w:fldChar w:fldCharType="end"/>
        </w:r>
      </w:p>
    </w:sdtContent>
  </w:sdt>
  <w:p w14:paraId="34309CE9" w14:textId="77777777" w:rsidR="006633A0" w:rsidRDefault="006633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725F5" w14:textId="77777777" w:rsidR="00B109F6" w:rsidRDefault="00B109F6" w:rsidP="00856C2E">
      <w:pPr>
        <w:spacing w:line="240" w:lineRule="auto"/>
      </w:pPr>
      <w:r>
        <w:separator/>
      </w:r>
    </w:p>
  </w:footnote>
  <w:footnote w:type="continuationSeparator" w:id="0">
    <w:p w14:paraId="7FC6E11C" w14:textId="77777777" w:rsidR="00B109F6" w:rsidRDefault="00B109F6" w:rsidP="00856C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F0255"/>
    <w:multiLevelType w:val="hybridMultilevel"/>
    <w:tmpl w:val="5C8AAB2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6F26919"/>
    <w:multiLevelType w:val="hybridMultilevel"/>
    <w:tmpl w:val="BC965D9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2A495CF5"/>
    <w:multiLevelType w:val="multilevel"/>
    <w:tmpl w:val="D8A4C532"/>
    <w:lvl w:ilvl="0">
      <w:start w:val="1"/>
      <w:numFmt w:val="decimal"/>
      <w:suff w:val="nothing"/>
      <w:lvlText w:val="%1"/>
      <w:lvlJc w:val="left"/>
      <w:pPr>
        <w:ind w:left="0" w:firstLine="0"/>
      </w:pPr>
      <w:rPr>
        <w:rFonts w:hint="eastAsia"/>
      </w:rPr>
    </w:lvl>
    <w:lvl w:ilvl="1">
      <w:start w:val="1"/>
      <w:numFmt w:val="decimal"/>
      <w:suff w:val="nothing"/>
      <w:lvlText w:val="%1.%2"/>
      <w:lvlJc w:val="left"/>
      <w:pPr>
        <w:ind w:left="284"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E7F7C7D"/>
    <w:multiLevelType w:val="hybridMultilevel"/>
    <w:tmpl w:val="FDB47672"/>
    <w:lvl w:ilvl="0" w:tplc="F0D2654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42B14755"/>
    <w:multiLevelType w:val="hybridMultilevel"/>
    <w:tmpl w:val="B3D45264"/>
    <w:lvl w:ilvl="0" w:tplc="0456A7D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32C2AB0"/>
    <w:multiLevelType w:val="hybridMultilevel"/>
    <w:tmpl w:val="1BC84BC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4C6A3D60"/>
    <w:multiLevelType w:val="hybridMultilevel"/>
    <w:tmpl w:val="13F86D14"/>
    <w:lvl w:ilvl="0" w:tplc="0B1EBC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47D181F"/>
    <w:multiLevelType w:val="hybridMultilevel"/>
    <w:tmpl w:val="DC8A3AB6"/>
    <w:lvl w:ilvl="0" w:tplc="19C86704">
      <w:start w:val="1"/>
      <w:numFmt w:val="japaneseCounting"/>
      <w:lvlText w:val="%1、"/>
      <w:lvlJc w:val="left"/>
      <w:pPr>
        <w:ind w:left="1145"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A6C11BF"/>
    <w:multiLevelType w:val="multilevel"/>
    <w:tmpl w:val="035662E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0B061BD"/>
    <w:multiLevelType w:val="hybridMultilevel"/>
    <w:tmpl w:val="015C6790"/>
    <w:lvl w:ilvl="0" w:tplc="9830D42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48337F"/>
    <w:multiLevelType w:val="hybridMultilevel"/>
    <w:tmpl w:val="99FAA43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2"/>
  </w:num>
  <w:num w:numId="3">
    <w:abstractNumId w:val="7"/>
  </w:num>
  <w:num w:numId="4">
    <w:abstractNumId w:val="4"/>
  </w:num>
  <w:num w:numId="5">
    <w:abstractNumId w:val="3"/>
  </w:num>
  <w:num w:numId="6">
    <w:abstractNumId w:val="6"/>
  </w:num>
  <w:num w:numId="7">
    <w:abstractNumId w:val="9"/>
  </w:num>
  <w:num w:numId="8">
    <w:abstractNumId w:val="7"/>
    <w:lvlOverride w:ilvl="0">
      <w:startOverride w:val="1"/>
    </w:lvlOverride>
  </w:num>
  <w:num w:numId="9">
    <w:abstractNumId w:val="7"/>
    <w:lvlOverride w:ilvl="0">
      <w:startOverride w:val="1"/>
    </w:lvlOverride>
  </w:num>
  <w:num w:numId="10">
    <w:abstractNumId w:val="1"/>
  </w:num>
  <w:num w:numId="11">
    <w:abstractNumId w:val="5"/>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81D"/>
    <w:rsid w:val="002D0FB7"/>
    <w:rsid w:val="0039020E"/>
    <w:rsid w:val="005E5378"/>
    <w:rsid w:val="006117FF"/>
    <w:rsid w:val="006633A0"/>
    <w:rsid w:val="0080047F"/>
    <w:rsid w:val="008365F3"/>
    <w:rsid w:val="00856C2E"/>
    <w:rsid w:val="008651F3"/>
    <w:rsid w:val="00887AAE"/>
    <w:rsid w:val="00A129D5"/>
    <w:rsid w:val="00A9481D"/>
    <w:rsid w:val="00AC739A"/>
    <w:rsid w:val="00B109F6"/>
    <w:rsid w:val="00C230CF"/>
    <w:rsid w:val="00E36BC3"/>
    <w:rsid w:val="00EE5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4733AF"/>
  <w15:chartTrackingRefBased/>
  <w15:docId w15:val="{C628A59C-8A09-468A-90D3-F702BE6C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56C2E"/>
    <w:pPr>
      <w:widowControl w:val="0"/>
      <w:tabs>
        <w:tab w:val="left" w:pos="7140"/>
      </w:tabs>
      <w:spacing w:line="360" w:lineRule="auto"/>
      <w:jc w:val="center"/>
      <w:textAlignment w:val="baseline"/>
    </w:pPr>
    <w:rPr>
      <w:rFonts w:ascii="Times New Roman" w:eastAsia="宋体" w:hAnsi="Times New Roman" w:cs="Times New Roman"/>
      <w:kern w:val="0"/>
      <w:szCs w:val="21"/>
      <w:lang w:val="en-GB"/>
    </w:rPr>
  </w:style>
  <w:style w:type="paragraph" w:styleId="1">
    <w:name w:val="heading 1"/>
    <w:basedOn w:val="a"/>
    <w:next w:val="a"/>
    <w:link w:val="10"/>
    <w:qFormat/>
    <w:rsid w:val="002D0FB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D0FB7"/>
    <w:pPr>
      <w:keepNext/>
      <w:keepLines/>
      <w:spacing w:before="260" w:after="260"/>
      <w:jc w:val="left"/>
      <w:outlineLvl w:val="1"/>
    </w:pPr>
    <w:rPr>
      <w:rFonts w:asciiTheme="majorHAnsi" w:eastAsia="黑体" w:hAnsiTheme="majorHAnsi" w:cstheme="majorBidi"/>
      <w:b/>
      <w:bCs/>
      <w:sz w:val="32"/>
      <w:szCs w:val="32"/>
    </w:rPr>
  </w:style>
  <w:style w:type="paragraph" w:styleId="3">
    <w:name w:val="heading 3"/>
    <w:basedOn w:val="a"/>
    <w:next w:val="a"/>
    <w:link w:val="30"/>
    <w:uiPriority w:val="99"/>
    <w:unhideWhenUsed/>
    <w:qFormat/>
    <w:rsid w:val="002D0FB7"/>
    <w:pPr>
      <w:keepNext/>
      <w:keepLines/>
      <w:spacing w:before="260" w:after="260"/>
      <w:outlineLvl w:val="2"/>
    </w:pPr>
    <w:rPr>
      <w:b/>
      <w:bCs/>
      <w:sz w:val="28"/>
      <w:szCs w:val="32"/>
    </w:rPr>
  </w:style>
  <w:style w:type="paragraph" w:styleId="4">
    <w:name w:val="heading 4"/>
    <w:basedOn w:val="a"/>
    <w:next w:val="a"/>
    <w:link w:val="40"/>
    <w:uiPriority w:val="99"/>
    <w:unhideWhenUsed/>
    <w:qFormat/>
    <w:rsid w:val="002D0FB7"/>
    <w:pPr>
      <w:keepNext/>
      <w:keepLines/>
      <w:spacing w:line="377" w:lineRule="auto"/>
      <w:jc w:val="both"/>
      <w:outlineLvl w:val="3"/>
    </w:pPr>
    <w:rPr>
      <w:rFonts w:asciiTheme="majorHAnsi" w:eastAsiaTheme="majorEastAsia" w:hAnsiTheme="majorHAnsi" w:cstheme="majorBidi"/>
      <w:bCs/>
      <w:sz w:val="28"/>
      <w:szCs w:val="28"/>
    </w:rPr>
  </w:style>
  <w:style w:type="paragraph" w:styleId="5">
    <w:name w:val="heading 5"/>
    <w:basedOn w:val="a"/>
    <w:next w:val="a"/>
    <w:link w:val="50"/>
    <w:unhideWhenUsed/>
    <w:qFormat/>
    <w:rsid w:val="002D0FB7"/>
    <w:pPr>
      <w:keepNext/>
      <w:keepLines/>
      <w:spacing w:before="80" w:after="40"/>
      <w:jc w:val="both"/>
      <w:outlineLvl w:val="4"/>
    </w:pPr>
    <w:rPr>
      <w:rFonts w:cstheme="majorBidi"/>
      <w:sz w:val="24"/>
    </w:rPr>
  </w:style>
  <w:style w:type="paragraph" w:styleId="6">
    <w:name w:val="heading 6"/>
    <w:basedOn w:val="a"/>
    <w:next w:val="a"/>
    <w:link w:val="60"/>
    <w:uiPriority w:val="9"/>
    <w:semiHidden/>
    <w:unhideWhenUsed/>
    <w:qFormat/>
    <w:rsid w:val="002D0FB7"/>
    <w:pPr>
      <w:keepNext/>
      <w:keepLines/>
      <w:spacing w:before="40"/>
      <w:outlineLvl w:val="5"/>
    </w:pPr>
    <w:rPr>
      <w:rFonts w:cstheme="majorBidi"/>
      <w:b/>
      <w:bCs/>
      <w:color w:val="2F5496" w:themeColor="accent1" w:themeShade="BF"/>
    </w:rPr>
  </w:style>
  <w:style w:type="paragraph" w:styleId="7">
    <w:name w:val="heading 7"/>
    <w:basedOn w:val="a"/>
    <w:next w:val="a"/>
    <w:link w:val="70"/>
    <w:semiHidden/>
    <w:unhideWhenUsed/>
    <w:qFormat/>
    <w:rsid w:val="002D0FB7"/>
    <w:pPr>
      <w:keepNext/>
      <w:keepLines/>
      <w:spacing w:before="40"/>
      <w:outlineLvl w:val="6"/>
    </w:pPr>
    <w:rPr>
      <w:rFonts w:cstheme="majorBidi"/>
      <w:b/>
      <w:bCs/>
      <w:color w:val="595959" w:themeColor="text1" w:themeTint="A6"/>
    </w:rPr>
  </w:style>
  <w:style w:type="paragraph" w:styleId="8">
    <w:name w:val="heading 8"/>
    <w:basedOn w:val="a"/>
    <w:next w:val="a"/>
    <w:link w:val="80"/>
    <w:semiHidden/>
    <w:unhideWhenUsed/>
    <w:qFormat/>
    <w:rsid w:val="002D0FB7"/>
    <w:pPr>
      <w:keepNext/>
      <w:keepLines/>
      <w:outlineLvl w:val="7"/>
    </w:pPr>
    <w:rPr>
      <w:rFonts w:cstheme="majorBidi"/>
      <w:color w:val="595959" w:themeColor="text1" w:themeTint="A6"/>
    </w:rPr>
  </w:style>
  <w:style w:type="paragraph" w:styleId="9">
    <w:name w:val="heading 9"/>
    <w:basedOn w:val="a"/>
    <w:next w:val="a"/>
    <w:link w:val="90"/>
    <w:semiHidden/>
    <w:unhideWhenUsed/>
    <w:qFormat/>
    <w:rsid w:val="002D0F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D0FB7"/>
    <w:rPr>
      <w:rFonts w:ascii="Times New Roman" w:eastAsia="宋体" w:hAnsi="Times New Roman" w:cs="Times New Roman"/>
      <w:b/>
      <w:bCs/>
      <w:kern w:val="44"/>
      <w:sz w:val="44"/>
      <w:szCs w:val="44"/>
      <w:lang w:val="en-GB"/>
    </w:rPr>
  </w:style>
  <w:style w:type="character" w:customStyle="1" w:styleId="20">
    <w:name w:val="标题 2 字符"/>
    <w:basedOn w:val="a0"/>
    <w:link w:val="2"/>
    <w:uiPriority w:val="9"/>
    <w:qFormat/>
    <w:rsid w:val="002D0FB7"/>
    <w:rPr>
      <w:rFonts w:asciiTheme="majorHAnsi" w:eastAsia="黑体" w:hAnsiTheme="majorHAnsi" w:cstheme="majorBidi"/>
      <w:b/>
      <w:bCs/>
      <w:kern w:val="0"/>
      <w:sz w:val="32"/>
      <w:szCs w:val="32"/>
      <w:lang w:val="en-GB"/>
    </w:rPr>
  </w:style>
  <w:style w:type="character" w:customStyle="1" w:styleId="30">
    <w:name w:val="标题 3 字符"/>
    <w:basedOn w:val="a0"/>
    <w:link w:val="3"/>
    <w:uiPriority w:val="99"/>
    <w:qFormat/>
    <w:rsid w:val="002D0FB7"/>
    <w:rPr>
      <w:rFonts w:ascii="Times New Roman" w:eastAsia="宋体" w:hAnsi="Times New Roman" w:cs="Times New Roman"/>
      <w:b/>
      <w:bCs/>
      <w:kern w:val="0"/>
      <w:sz w:val="28"/>
      <w:szCs w:val="32"/>
      <w:lang w:val="en-GB"/>
    </w:rPr>
  </w:style>
  <w:style w:type="character" w:customStyle="1" w:styleId="40">
    <w:name w:val="标题 4 字符"/>
    <w:basedOn w:val="a0"/>
    <w:link w:val="4"/>
    <w:uiPriority w:val="99"/>
    <w:rsid w:val="002D0FB7"/>
    <w:rPr>
      <w:rFonts w:asciiTheme="majorHAnsi" w:eastAsiaTheme="majorEastAsia" w:hAnsiTheme="majorHAnsi" w:cstheme="majorBidi"/>
      <w:bCs/>
      <w:kern w:val="0"/>
      <w:sz w:val="28"/>
      <w:szCs w:val="28"/>
      <w:lang w:val="en-GB"/>
    </w:rPr>
  </w:style>
  <w:style w:type="character" w:customStyle="1" w:styleId="50">
    <w:name w:val="标题 5 字符"/>
    <w:basedOn w:val="a0"/>
    <w:link w:val="5"/>
    <w:rsid w:val="002D0FB7"/>
    <w:rPr>
      <w:rFonts w:ascii="Times New Roman" w:eastAsia="宋体" w:hAnsi="Times New Roman" w:cstheme="majorBidi"/>
      <w:kern w:val="0"/>
      <w:sz w:val="24"/>
      <w:szCs w:val="21"/>
      <w:lang w:val="en-GB"/>
    </w:rPr>
  </w:style>
  <w:style w:type="character" w:customStyle="1" w:styleId="60">
    <w:name w:val="标题 6 字符"/>
    <w:basedOn w:val="a0"/>
    <w:link w:val="6"/>
    <w:uiPriority w:val="9"/>
    <w:semiHidden/>
    <w:rsid w:val="002D0FB7"/>
    <w:rPr>
      <w:rFonts w:ascii="Times New Roman" w:eastAsia="宋体" w:hAnsi="Times New Roman" w:cstheme="majorBidi"/>
      <w:b/>
      <w:bCs/>
      <w:color w:val="2F5496" w:themeColor="accent1" w:themeShade="BF"/>
      <w:kern w:val="0"/>
      <w:szCs w:val="21"/>
      <w:lang w:val="en-GB"/>
    </w:rPr>
  </w:style>
  <w:style w:type="paragraph" w:styleId="a3">
    <w:name w:val="header"/>
    <w:basedOn w:val="a"/>
    <w:link w:val="a4"/>
    <w:unhideWhenUsed/>
    <w:rsid w:val="00856C2E"/>
    <w:pPr>
      <w:pBdr>
        <w:bottom w:val="single" w:sz="6" w:space="1" w:color="auto"/>
      </w:pBdr>
      <w:tabs>
        <w:tab w:val="center" w:pos="4153"/>
        <w:tab w:val="right" w:pos="8306"/>
      </w:tabs>
      <w:snapToGrid w:val="0"/>
    </w:pPr>
    <w:rPr>
      <w:sz w:val="18"/>
      <w:szCs w:val="18"/>
    </w:rPr>
  </w:style>
  <w:style w:type="character" w:customStyle="1" w:styleId="a4">
    <w:name w:val="页眉 字符"/>
    <w:basedOn w:val="a0"/>
    <w:link w:val="a3"/>
    <w:rsid w:val="00856C2E"/>
    <w:rPr>
      <w:sz w:val="18"/>
      <w:szCs w:val="18"/>
    </w:rPr>
  </w:style>
  <w:style w:type="paragraph" w:styleId="a5">
    <w:name w:val="footer"/>
    <w:basedOn w:val="a"/>
    <w:link w:val="a6"/>
    <w:uiPriority w:val="99"/>
    <w:unhideWhenUsed/>
    <w:rsid w:val="00856C2E"/>
    <w:pPr>
      <w:tabs>
        <w:tab w:val="center" w:pos="4153"/>
        <w:tab w:val="right" w:pos="8306"/>
      </w:tabs>
      <w:snapToGrid w:val="0"/>
      <w:jc w:val="left"/>
    </w:pPr>
    <w:rPr>
      <w:sz w:val="18"/>
      <w:szCs w:val="18"/>
    </w:rPr>
  </w:style>
  <w:style w:type="character" w:customStyle="1" w:styleId="a6">
    <w:name w:val="页脚 字符"/>
    <w:basedOn w:val="a0"/>
    <w:link w:val="a5"/>
    <w:uiPriority w:val="99"/>
    <w:rsid w:val="00856C2E"/>
    <w:rPr>
      <w:sz w:val="18"/>
      <w:szCs w:val="18"/>
    </w:rPr>
  </w:style>
  <w:style w:type="paragraph" w:styleId="TOC1">
    <w:name w:val="toc 1"/>
    <w:basedOn w:val="a"/>
    <w:next w:val="a"/>
    <w:autoRedefine/>
    <w:uiPriority w:val="39"/>
    <w:unhideWhenUsed/>
    <w:qFormat/>
    <w:rsid w:val="00856C2E"/>
    <w:pPr>
      <w:tabs>
        <w:tab w:val="clear" w:pos="7140"/>
      </w:tabs>
      <w:spacing w:before="360"/>
      <w:jc w:val="left"/>
    </w:pPr>
    <w:rPr>
      <w:rFonts w:asciiTheme="majorHAnsi" w:eastAsiaTheme="majorHAnsi"/>
      <w:b/>
      <w:bCs/>
      <w:caps/>
      <w:sz w:val="24"/>
      <w:szCs w:val="24"/>
    </w:rPr>
  </w:style>
  <w:style w:type="character" w:customStyle="1" w:styleId="70">
    <w:name w:val="标题 7 字符"/>
    <w:basedOn w:val="a0"/>
    <w:link w:val="7"/>
    <w:semiHidden/>
    <w:rsid w:val="002D0FB7"/>
    <w:rPr>
      <w:rFonts w:ascii="Times New Roman" w:eastAsia="宋体" w:hAnsi="Times New Roman" w:cstheme="majorBidi"/>
      <w:b/>
      <w:bCs/>
      <w:color w:val="595959" w:themeColor="text1" w:themeTint="A6"/>
      <w:kern w:val="0"/>
      <w:szCs w:val="21"/>
      <w:lang w:val="en-GB"/>
    </w:rPr>
  </w:style>
  <w:style w:type="character" w:customStyle="1" w:styleId="80">
    <w:name w:val="标题 8 字符"/>
    <w:basedOn w:val="a0"/>
    <w:link w:val="8"/>
    <w:semiHidden/>
    <w:rsid w:val="002D0FB7"/>
    <w:rPr>
      <w:rFonts w:ascii="Times New Roman" w:eastAsia="宋体" w:hAnsi="Times New Roman" w:cstheme="majorBidi"/>
      <w:color w:val="595959" w:themeColor="text1" w:themeTint="A6"/>
      <w:kern w:val="0"/>
      <w:szCs w:val="21"/>
      <w:lang w:val="en-GB"/>
    </w:rPr>
  </w:style>
  <w:style w:type="character" w:customStyle="1" w:styleId="90">
    <w:name w:val="标题 9 字符"/>
    <w:basedOn w:val="a0"/>
    <w:link w:val="9"/>
    <w:semiHidden/>
    <w:rsid w:val="002D0FB7"/>
    <w:rPr>
      <w:rFonts w:ascii="Times New Roman" w:eastAsiaTheme="majorEastAsia" w:hAnsi="Times New Roman" w:cstheme="majorBidi"/>
      <w:color w:val="595959" w:themeColor="text1" w:themeTint="A6"/>
      <w:kern w:val="0"/>
      <w:szCs w:val="21"/>
      <w:lang w:val="en-GB"/>
    </w:rPr>
  </w:style>
  <w:style w:type="paragraph" w:styleId="TOC2">
    <w:name w:val="toc 2"/>
    <w:basedOn w:val="a"/>
    <w:next w:val="a"/>
    <w:autoRedefine/>
    <w:uiPriority w:val="39"/>
    <w:unhideWhenUsed/>
    <w:rsid w:val="006117FF"/>
    <w:pPr>
      <w:tabs>
        <w:tab w:val="clear" w:pos="7140"/>
        <w:tab w:val="right" w:leader="dot" w:pos="8296"/>
      </w:tabs>
      <w:spacing w:before="240"/>
      <w:ind w:leftChars="100" w:left="210"/>
      <w:jc w:val="left"/>
    </w:pPr>
    <w:rPr>
      <w:rFonts w:asciiTheme="minorHAnsi" w:eastAsiaTheme="minorHAnsi"/>
      <w:bCs/>
      <w:noProof/>
      <w:sz w:val="20"/>
      <w:szCs w:val="20"/>
    </w:rPr>
  </w:style>
  <w:style w:type="character" w:styleId="a7">
    <w:name w:val="Hyperlink"/>
    <w:basedOn w:val="a0"/>
    <w:uiPriority w:val="99"/>
    <w:unhideWhenUsed/>
    <w:rsid w:val="002D0FB7"/>
    <w:rPr>
      <w:color w:val="0563C1" w:themeColor="hyperlink"/>
      <w:u w:val="single"/>
    </w:rPr>
  </w:style>
  <w:style w:type="table" w:styleId="a8">
    <w:name w:val="Table Grid"/>
    <w:basedOn w:val="a1"/>
    <w:uiPriority w:val="39"/>
    <w:qFormat/>
    <w:rsid w:val="002D0FB7"/>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1级标题"/>
    <w:basedOn w:val="1"/>
    <w:next w:val="a"/>
    <w:autoRedefine/>
    <w:qFormat/>
    <w:rsid w:val="002D0FB7"/>
    <w:pPr>
      <w:spacing w:before="120" w:after="120" w:line="560" w:lineRule="exact"/>
      <w:jc w:val="left"/>
    </w:pPr>
    <w:rPr>
      <w:rFonts w:ascii="宋体" w:hAnsi="宋体"/>
      <w:bCs w:val="0"/>
      <w:iCs/>
      <w:kern w:val="0"/>
      <w:sz w:val="30"/>
      <w:szCs w:val="28"/>
    </w:rPr>
  </w:style>
  <w:style w:type="paragraph" w:customStyle="1" w:styleId="21">
    <w:name w:val="2级标题"/>
    <w:next w:val="a"/>
    <w:autoRedefine/>
    <w:qFormat/>
    <w:rsid w:val="002D0FB7"/>
    <w:pPr>
      <w:spacing w:before="120" w:after="60"/>
      <w:outlineLvl w:val="1"/>
    </w:pPr>
    <w:rPr>
      <w:rFonts w:ascii="宋体" w:eastAsia="宋体" w:hAnsi="宋体" w:cs="Times New Roman"/>
      <w:kern w:val="0"/>
      <w:sz w:val="30"/>
      <w:szCs w:val="24"/>
      <w:lang w:val="en-GB"/>
    </w:rPr>
  </w:style>
  <w:style w:type="paragraph" w:styleId="a9">
    <w:name w:val="Title"/>
    <w:aliases w:val="标题3"/>
    <w:basedOn w:val="a"/>
    <w:next w:val="a"/>
    <w:link w:val="aa"/>
    <w:uiPriority w:val="10"/>
    <w:qFormat/>
    <w:rsid w:val="002D0FB7"/>
    <w:pPr>
      <w:spacing w:before="240" w:after="60"/>
      <w:outlineLvl w:val="0"/>
    </w:pPr>
    <w:rPr>
      <w:rFonts w:asciiTheme="majorHAnsi" w:hAnsiTheme="majorHAnsi" w:cstheme="majorBidi"/>
      <w:b/>
      <w:bCs/>
      <w:sz w:val="28"/>
      <w:szCs w:val="32"/>
    </w:rPr>
  </w:style>
  <w:style w:type="character" w:customStyle="1" w:styleId="aa">
    <w:name w:val="标题 字符"/>
    <w:aliases w:val="标题3 字符"/>
    <w:basedOn w:val="a0"/>
    <w:link w:val="a9"/>
    <w:uiPriority w:val="10"/>
    <w:rsid w:val="002D0FB7"/>
    <w:rPr>
      <w:rFonts w:asciiTheme="majorHAnsi" w:eastAsia="宋体" w:hAnsiTheme="majorHAnsi" w:cstheme="majorBidi"/>
      <w:b/>
      <w:bCs/>
      <w:kern w:val="0"/>
      <w:sz w:val="28"/>
      <w:szCs w:val="32"/>
      <w:lang w:val="en-GB"/>
    </w:rPr>
  </w:style>
  <w:style w:type="paragraph" w:styleId="ab">
    <w:name w:val="No Spacing"/>
    <w:uiPriority w:val="1"/>
    <w:qFormat/>
    <w:rsid w:val="002D0FB7"/>
    <w:pPr>
      <w:widowControl w:val="0"/>
      <w:spacing w:line="440" w:lineRule="exact"/>
      <w:ind w:firstLineChars="200" w:firstLine="200"/>
      <w:jc w:val="both"/>
    </w:pPr>
    <w:rPr>
      <w:rFonts w:eastAsia="宋体"/>
      <w:sz w:val="24"/>
    </w:rPr>
  </w:style>
  <w:style w:type="paragraph" w:styleId="ac">
    <w:name w:val="Subtitle"/>
    <w:basedOn w:val="a"/>
    <w:next w:val="a"/>
    <w:link w:val="ad"/>
    <w:uiPriority w:val="11"/>
    <w:qFormat/>
    <w:rsid w:val="002D0FB7"/>
    <w:pPr>
      <w:numPr>
        <w:ilvl w:val="1"/>
      </w:numPr>
      <w:spacing w:after="160"/>
      <w:ind w:firstLineChars="200" w:firstLine="200"/>
    </w:pPr>
    <w:rPr>
      <w:rFonts w:asciiTheme="majorHAnsi" w:eastAsiaTheme="majorEastAsia" w:hAnsiTheme="majorHAnsi" w:cstheme="majorBidi"/>
      <w:color w:val="595959" w:themeColor="text1" w:themeTint="A6"/>
      <w:spacing w:val="15"/>
      <w:sz w:val="28"/>
      <w:szCs w:val="28"/>
    </w:rPr>
  </w:style>
  <w:style w:type="character" w:customStyle="1" w:styleId="ad">
    <w:name w:val="副标题 字符"/>
    <w:basedOn w:val="a0"/>
    <w:link w:val="ac"/>
    <w:uiPriority w:val="11"/>
    <w:rsid w:val="002D0FB7"/>
    <w:rPr>
      <w:rFonts w:asciiTheme="majorHAnsi" w:eastAsiaTheme="majorEastAsia" w:hAnsiTheme="majorHAnsi" w:cstheme="majorBidi"/>
      <w:color w:val="595959" w:themeColor="text1" w:themeTint="A6"/>
      <w:spacing w:val="15"/>
      <w:kern w:val="0"/>
      <w:sz w:val="28"/>
      <w:szCs w:val="28"/>
      <w:lang w:val="en-GB"/>
    </w:rPr>
  </w:style>
  <w:style w:type="paragraph" w:styleId="ae">
    <w:name w:val="Quote"/>
    <w:basedOn w:val="a"/>
    <w:next w:val="a"/>
    <w:link w:val="af"/>
    <w:uiPriority w:val="29"/>
    <w:qFormat/>
    <w:rsid w:val="002D0FB7"/>
    <w:pPr>
      <w:spacing w:before="160" w:after="160"/>
    </w:pPr>
    <w:rPr>
      <w:i/>
      <w:iCs/>
      <w:color w:val="404040" w:themeColor="text1" w:themeTint="BF"/>
    </w:rPr>
  </w:style>
  <w:style w:type="character" w:customStyle="1" w:styleId="af">
    <w:name w:val="引用 字符"/>
    <w:basedOn w:val="a0"/>
    <w:link w:val="ae"/>
    <w:uiPriority w:val="29"/>
    <w:rsid w:val="002D0FB7"/>
    <w:rPr>
      <w:rFonts w:ascii="Times New Roman" w:eastAsia="宋体" w:hAnsi="Times New Roman" w:cs="Times New Roman"/>
      <w:i/>
      <w:iCs/>
      <w:color w:val="404040" w:themeColor="text1" w:themeTint="BF"/>
      <w:kern w:val="0"/>
      <w:szCs w:val="21"/>
      <w:lang w:val="en-GB"/>
    </w:rPr>
  </w:style>
  <w:style w:type="paragraph" w:styleId="af0">
    <w:name w:val="List Paragraph"/>
    <w:basedOn w:val="a"/>
    <w:uiPriority w:val="34"/>
    <w:qFormat/>
    <w:rsid w:val="002D0FB7"/>
    <w:pPr>
      <w:ind w:left="720"/>
      <w:contextualSpacing/>
    </w:pPr>
  </w:style>
  <w:style w:type="character" w:styleId="af1">
    <w:name w:val="Intense Emphasis"/>
    <w:basedOn w:val="a0"/>
    <w:uiPriority w:val="21"/>
    <w:qFormat/>
    <w:rsid w:val="002D0FB7"/>
    <w:rPr>
      <w:i/>
      <w:iCs/>
      <w:color w:val="2F5496" w:themeColor="accent1" w:themeShade="BF"/>
    </w:rPr>
  </w:style>
  <w:style w:type="paragraph" w:styleId="af2">
    <w:name w:val="Intense Quote"/>
    <w:basedOn w:val="a"/>
    <w:next w:val="a"/>
    <w:link w:val="af3"/>
    <w:uiPriority w:val="30"/>
    <w:qFormat/>
    <w:rsid w:val="002D0FB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f3">
    <w:name w:val="明显引用 字符"/>
    <w:basedOn w:val="a0"/>
    <w:link w:val="af2"/>
    <w:uiPriority w:val="30"/>
    <w:rsid w:val="002D0FB7"/>
    <w:rPr>
      <w:rFonts w:ascii="Times New Roman" w:eastAsia="宋体" w:hAnsi="Times New Roman" w:cs="Times New Roman"/>
      <w:i/>
      <w:iCs/>
      <w:color w:val="2F5496" w:themeColor="accent1" w:themeShade="BF"/>
      <w:kern w:val="0"/>
      <w:szCs w:val="21"/>
      <w:lang w:val="en-GB"/>
    </w:rPr>
  </w:style>
  <w:style w:type="character" w:styleId="af4">
    <w:name w:val="Intense Reference"/>
    <w:basedOn w:val="a0"/>
    <w:uiPriority w:val="32"/>
    <w:qFormat/>
    <w:rsid w:val="002D0FB7"/>
    <w:rPr>
      <w:b/>
      <w:bCs/>
      <w:smallCaps/>
      <w:color w:val="2F5496" w:themeColor="accent1" w:themeShade="BF"/>
      <w:spacing w:val="5"/>
    </w:rPr>
  </w:style>
  <w:style w:type="paragraph" w:customStyle="1" w:styleId="BG">
    <w:name w:val="BG正文"/>
    <w:qFormat/>
    <w:rsid w:val="002D0FB7"/>
    <w:pPr>
      <w:widowControl w:val="0"/>
      <w:spacing w:line="440" w:lineRule="exact"/>
      <w:ind w:firstLineChars="200" w:firstLine="480"/>
      <w:jc w:val="both"/>
      <w:textAlignment w:val="center"/>
    </w:pPr>
    <w:rPr>
      <w:rFonts w:ascii="Cambria Math" w:eastAsia="宋体" w:hAnsi="Cambria Math" w:cs="Times New Roman"/>
      <w:kern w:val="0"/>
      <w:sz w:val="24"/>
      <w:szCs w:val="24"/>
      <w:lang w:val="en-GB"/>
    </w:rPr>
  </w:style>
  <w:style w:type="paragraph" w:customStyle="1" w:styleId="af5">
    <w:name w:val="图表"/>
    <w:next w:val="af6"/>
    <w:autoRedefine/>
    <w:qFormat/>
    <w:rsid w:val="002D0FB7"/>
    <w:pPr>
      <w:widowControl w:val="0"/>
      <w:ind w:firstLineChars="200" w:firstLine="420"/>
      <w:jc w:val="center"/>
    </w:pPr>
    <w:rPr>
      <w:rFonts w:ascii="仿宋_GB2312" w:eastAsia="仿宋_GB2312" w:hAnsi="Times New Roman" w:cs="Times New Roman"/>
      <w:kern w:val="0"/>
      <w:szCs w:val="21"/>
      <w:lang w:val="en-GB"/>
    </w:rPr>
  </w:style>
  <w:style w:type="paragraph" w:customStyle="1" w:styleId="af6">
    <w:name w:val="图表标题"/>
    <w:next w:val="BG"/>
    <w:autoRedefine/>
    <w:qFormat/>
    <w:rsid w:val="002D0FB7"/>
    <w:pPr>
      <w:keepNext/>
      <w:widowControl w:val="0"/>
      <w:spacing w:afterLines="50" w:after="156"/>
      <w:jc w:val="right"/>
    </w:pPr>
    <w:rPr>
      <w:rFonts w:ascii="仿宋_GB2312" w:eastAsia="仿宋_GB2312" w:hAnsi="Times New Roman" w:cs="Times New Roman"/>
      <w:kern w:val="0"/>
      <w:szCs w:val="21"/>
      <w:lang w:val="en-GB"/>
    </w:rPr>
  </w:style>
  <w:style w:type="paragraph" w:styleId="af7">
    <w:name w:val="caption"/>
    <w:basedOn w:val="a"/>
    <w:next w:val="a"/>
    <w:uiPriority w:val="35"/>
    <w:unhideWhenUsed/>
    <w:qFormat/>
    <w:rsid w:val="002D0FB7"/>
    <w:rPr>
      <w:rFonts w:asciiTheme="majorHAnsi" w:eastAsia="黑体" w:hAnsiTheme="majorHAnsi" w:cstheme="majorBidi"/>
      <w:sz w:val="20"/>
      <w:szCs w:val="20"/>
    </w:rPr>
  </w:style>
  <w:style w:type="paragraph" w:customStyle="1" w:styleId="FirstParagraph">
    <w:name w:val="First Paragraph"/>
    <w:basedOn w:val="af8"/>
    <w:next w:val="af8"/>
    <w:qFormat/>
    <w:rsid w:val="002D0FB7"/>
    <w:pPr>
      <w:widowControl/>
      <w:tabs>
        <w:tab w:val="clear" w:pos="7140"/>
      </w:tabs>
      <w:spacing w:before="180" w:after="180" w:line="240" w:lineRule="auto"/>
      <w:jc w:val="left"/>
      <w:textAlignment w:val="auto"/>
    </w:pPr>
    <w:rPr>
      <w:rFonts w:asciiTheme="minorHAnsi" w:eastAsiaTheme="minorEastAsia" w:hAnsiTheme="minorHAnsi" w:cstheme="minorBidi"/>
      <w:i/>
      <w:lang w:val="en-US" w:eastAsia="en-US"/>
    </w:rPr>
  </w:style>
  <w:style w:type="paragraph" w:styleId="af8">
    <w:name w:val="Body Text"/>
    <w:basedOn w:val="a"/>
    <w:link w:val="af9"/>
    <w:unhideWhenUsed/>
    <w:rsid w:val="002D0FB7"/>
    <w:pPr>
      <w:spacing w:after="120"/>
    </w:pPr>
  </w:style>
  <w:style w:type="character" w:customStyle="1" w:styleId="af9">
    <w:name w:val="正文文本 字符"/>
    <w:basedOn w:val="a0"/>
    <w:link w:val="af8"/>
    <w:rsid w:val="002D0FB7"/>
    <w:rPr>
      <w:rFonts w:ascii="Times New Roman" w:eastAsia="宋体" w:hAnsi="Times New Roman" w:cs="Times New Roman"/>
      <w:kern w:val="0"/>
      <w:szCs w:val="21"/>
      <w:lang w:val="en-GB"/>
    </w:rPr>
  </w:style>
  <w:style w:type="paragraph" w:styleId="afa">
    <w:name w:val="Normal (Web)"/>
    <w:basedOn w:val="a"/>
    <w:uiPriority w:val="99"/>
    <w:unhideWhenUsed/>
    <w:rsid w:val="002D0FB7"/>
    <w:pPr>
      <w:widowControl/>
      <w:tabs>
        <w:tab w:val="clear" w:pos="7140"/>
      </w:tabs>
      <w:spacing w:before="100" w:beforeAutospacing="1" w:after="100" w:afterAutospacing="1" w:line="312" w:lineRule="auto"/>
      <w:jc w:val="left"/>
      <w:textAlignment w:val="auto"/>
    </w:pPr>
    <w:rPr>
      <w:rFonts w:ascii="宋体" w:eastAsia="仿宋" w:hAnsi="宋体" w:cs="宋体"/>
      <w:i/>
      <w:lang w:val="en-US"/>
    </w:rPr>
  </w:style>
  <w:style w:type="paragraph" w:customStyle="1" w:styleId="31">
    <w:name w:val="3级标题"/>
    <w:next w:val="BG"/>
    <w:autoRedefine/>
    <w:qFormat/>
    <w:rsid w:val="002D0FB7"/>
    <w:pPr>
      <w:spacing w:beforeLines="100" w:before="312"/>
      <w:outlineLvl w:val="2"/>
    </w:pPr>
    <w:rPr>
      <w:rFonts w:ascii="仿宋_GB2312" w:eastAsia="仿宋_GB2312" w:hAnsi="Times New Roman" w:cs="Times New Roman"/>
      <w:b/>
      <w:kern w:val="0"/>
      <w:sz w:val="28"/>
      <w:szCs w:val="28"/>
      <w:lang w:val="en-GB"/>
    </w:rPr>
  </w:style>
  <w:style w:type="paragraph" w:styleId="TOC3">
    <w:name w:val="toc 3"/>
    <w:basedOn w:val="a"/>
    <w:next w:val="a"/>
    <w:autoRedefine/>
    <w:uiPriority w:val="39"/>
    <w:unhideWhenUsed/>
    <w:rsid w:val="002D0FB7"/>
    <w:pPr>
      <w:tabs>
        <w:tab w:val="clear" w:pos="7140"/>
      </w:tabs>
      <w:ind w:left="210"/>
      <w:jc w:val="left"/>
    </w:pPr>
    <w:rPr>
      <w:rFonts w:asciiTheme="minorHAnsi" w:eastAsiaTheme="minorHAnsi"/>
      <w:sz w:val="20"/>
      <w:szCs w:val="20"/>
    </w:rPr>
  </w:style>
  <w:style w:type="paragraph" w:styleId="TOC4">
    <w:name w:val="toc 4"/>
    <w:basedOn w:val="a"/>
    <w:next w:val="a"/>
    <w:autoRedefine/>
    <w:uiPriority w:val="39"/>
    <w:unhideWhenUsed/>
    <w:rsid w:val="002D0FB7"/>
    <w:pPr>
      <w:tabs>
        <w:tab w:val="clear" w:pos="7140"/>
      </w:tabs>
      <w:ind w:left="420"/>
      <w:jc w:val="left"/>
    </w:pPr>
    <w:rPr>
      <w:rFonts w:asciiTheme="minorHAnsi" w:eastAsiaTheme="minorHAnsi"/>
      <w:sz w:val="20"/>
      <w:szCs w:val="20"/>
    </w:rPr>
  </w:style>
  <w:style w:type="paragraph" w:styleId="TOC5">
    <w:name w:val="toc 5"/>
    <w:basedOn w:val="a"/>
    <w:next w:val="a"/>
    <w:autoRedefine/>
    <w:uiPriority w:val="39"/>
    <w:unhideWhenUsed/>
    <w:rsid w:val="002D0FB7"/>
    <w:pPr>
      <w:tabs>
        <w:tab w:val="clear" w:pos="7140"/>
      </w:tabs>
      <w:ind w:left="630"/>
      <w:jc w:val="left"/>
    </w:pPr>
    <w:rPr>
      <w:rFonts w:asciiTheme="minorHAnsi" w:eastAsiaTheme="minorHAnsi"/>
      <w:sz w:val="20"/>
      <w:szCs w:val="20"/>
    </w:rPr>
  </w:style>
  <w:style w:type="paragraph" w:styleId="TOC6">
    <w:name w:val="toc 6"/>
    <w:basedOn w:val="a"/>
    <w:next w:val="a"/>
    <w:autoRedefine/>
    <w:uiPriority w:val="39"/>
    <w:unhideWhenUsed/>
    <w:rsid w:val="002D0FB7"/>
    <w:pPr>
      <w:tabs>
        <w:tab w:val="clear" w:pos="7140"/>
      </w:tabs>
      <w:ind w:left="840"/>
      <w:jc w:val="left"/>
    </w:pPr>
    <w:rPr>
      <w:rFonts w:asciiTheme="minorHAnsi" w:eastAsiaTheme="minorHAnsi"/>
      <w:sz w:val="20"/>
      <w:szCs w:val="20"/>
    </w:rPr>
  </w:style>
  <w:style w:type="paragraph" w:styleId="TOC7">
    <w:name w:val="toc 7"/>
    <w:basedOn w:val="a"/>
    <w:next w:val="a"/>
    <w:autoRedefine/>
    <w:uiPriority w:val="39"/>
    <w:unhideWhenUsed/>
    <w:rsid w:val="002D0FB7"/>
    <w:pPr>
      <w:tabs>
        <w:tab w:val="clear" w:pos="7140"/>
      </w:tabs>
      <w:ind w:left="1050"/>
      <w:jc w:val="left"/>
    </w:pPr>
    <w:rPr>
      <w:rFonts w:asciiTheme="minorHAnsi" w:eastAsiaTheme="minorHAnsi"/>
      <w:sz w:val="20"/>
      <w:szCs w:val="20"/>
    </w:rPr>
  </w:style>
  <w:style w:type="paragraph" w:styleId="TOC8">
    <w:name w:val="toc 8"/>
    <w:basedOn w:val="a"/>
    <w:next w:val="a"/>
    <w:autoRedefine/>
    <w:uiPriority w:val="39"/>
    <w:unhideWhenUsed/>
    <w:rsid w:val="002D0FB7"/>
    <w:pPr>
      <w:tabs>
        <w:tab w:val="clear" w:pos="7140"/>
      </w:tabs>
      <w:ind w:left="1260"/>
      <w:jc w:val="left"/>
    </w:pPr>
    <w:rPr>
      <w:rFonts w:asciiTheme="minorHAnsi" w:eastAsiaTheme="minorHAnsi"/>
      <w:sz w:val="20"/>
      <w:szCs w:val="20"/>
    </w:rPr>
  </w:style>
  <w:style w:type="paragraph" w:styleId="TOC9">
    <w:name w:val="toc 9"/>
    <w:basedOn w:val="a"/>
    <w:next w:val="a"/>
    <w:autoRedefine/>
    <w:uiPriority w:val="39"/>
    <w:unhideWhenUsed/>
    <w:rsid w:val="002D0FB7"/>
    <w:pPr>
      <w:tabs>
        <w:tab w:val="clear" w:pos="7140"/>
      </w:tabs>
      <w:ind w:left="1470"/>
      <w:jc w:val="left"/>
    </w:pPr>
    <w:rPr>
      <w:rFonts w:asciiTheme="minorHAnsi" w:eastAsiaTheme="minorHAnsi"/>
      <w:sz w:val="20"/>
      <w:szCs w:val="20"/>
    </w:rPr>
  </w:style>
  <w:style w:type="character" w:customStyle="1" w:styleId="afb">
    <w:name w:val="批注文字 字符"/>
    <w:basedOn w:val="a0"/>
    <w:link w:val="afc"/>
    <w:uiPriority w:val="99"/>
    <w:semiHidden/>
    <w:rsid w:val="002D0FB7"/>
    <w:rPr>
      <w:rFonts w:ascii="Times New Roman" w:eastAsia="宋体" w:hAnsi="Times New Roman" w:cs="Times New Roman"/>
      <w:kern w:val="0"/>
      <w:szCs w:val="21"/>
      <w:lang w:val="en-GB"/>
    </w:rPr>
  </w:style>
  <w:style w:type="paragraph" w:styleId="afc">
    <w:name w:val="annotation text"/>
    <w:basedOn w:val="a"/>
    <w:link w:val="afb"/>
    <w:uiPriority w:val="99"/>
    <w:semiHidden/>
    <w:unhideWhenUsed/>
    <w:rsid w:val="002D0FB7"/>
    <w:pPr>
      <w:jc w:val="left"/>
    </w:pPr>
  </w:style>
  <w:style w:type="character" w:customStyle="1" w:styleId="12">
    <w:name w:val="批注文字 字符1"/>
    <w:basedOn w:val="a0"/>
    <w:uiPriority w:val="99"/>
    <w:semiHidden/>
    <w:rsid w:val="002D0FB7"/>
    <w:rPr>
      <w:rFonts w:ascii="Times New Roman" w:eastAsia="宋体" w:hAnsi="Times New Roman" w:cs="Times New Roman"/>
      <w:kern w:val="0"/>
      <w:szCs w:val="21"/>
      <w:lang w:val="en-GB"/>
    </w:rPr>
  </w:style>
  <w:style w:type="character" w:customStyle="1" w:styleId="afd">
    <w:name w:val="批注主题 字符"/>
    <w:basedOn w:val="afb"/>
    <w:link w:val="afe"/>
    <w:uiPriority w:val="99"/>
    <w:semiHidden/>
    <w:rsid w:val="002D0FB7"/>
    <w:rPr>
      <w:rFonts w:ascii="Times New Roman" w:eastAsia="宋体" w:hAnsi="Times New Roman" w:cs="Times New Roman"/>
      <w:b/>
      <w:bCs/>
      <w:kern w:val="0"/>
      <w:szCs w:val="21"/>
      <w:lang w:val="en-GB"/>
    </w:rPr>
  </w:style>
  <w:style w:type="paragraph" w:styleId="afe">
    <w:name w:val="annotation subject"/>
    <w:basedOn w:val="afc"/>
    <w:next w:val="afc"/>
    <w:link w:val="afd"/>
    <w:uiPriority w:val="99"/>
    <w:semiHidden/>
    <w:unhideWhenUsed/>
    <w:rsid w:val="002D0FB7"/>
    <w:rPr>
      <w:b/>
      <w:bCs/>
    </w:rPr>
  </w:style>
  <w:style w:type="character" w:customStyle="1" w:styleId="13">
    <w:name w:val="批注主题 字符1"/>
    <w:basedOn w:val="12"/>
    <w:uiPriority w:val="99"/>
    <w:semiHidden/>
    <w:rsid w:val="002D0FB7"/>
    <w:rPr>
      <w:rFonts w:ascii="Times New Roman" w:eastAsia="宋体" w:hAnsi="Times New Roman" w:cs="Times New Roman"/>
      <w:b/>
      <w:bCs/>
      <w:kern w:val="0"/>
      <w:szCs w:val="21"/>
      <w:lang w:val="en-GB"/>
    </w:rPr>
  </w:style>
  <w:style w:type="character" w:customStyle="1" w:styleId="aff">
    <w:name w:val="批注框文本 字符"/>
    <w:basedOn w:val="a0"/>
    <w:link w:val="aff0"/>
    <w:uiPriority w:val="99"/>
    <w:semiHidden/>
    <w:rsid w:val="002D0FB7"/>
    <w:rPr>
      <w:rFonts w:ascii="Times New Roman" w:eastAsia="宋体" w:hAnsi="Times New Roman" w:cs="Times New Roman"/>
      <w:kern w:val="0"/>
      <w:sz w:val="18"/>
      <w:szCs w:val="18"/>
      <w:lang w:val="en-GB"/>
    </w:rPr>
  </w:style>
  <w:style w:type="paragraph" w:styleId="aff0">
    <w:name w:val="Balloon Text"/>
    <w:basedOn w:val="a"/>
    <w:link w:val="aff"/>
    <w:uiPriority w:val="99"/>
    <w:semiHidden/>
    <w:unhideWhenUsed/>
    <w:rsid w:val="002D0FB7"/>
    <w:pPr>
      <w:spacing w:line="240" w:lineRule="auto"/>
    </w:pPr>
    <w:rPr>
      <w:sz w:val="18"/>
      <w:szCs w:val="18"/>
    </w:rPr>
  </w:style>
  <w:style w:type="character" w:customStyle="1" w:styleId="14">
    <w:name w:val="批注框文本 字符1"/>
    <w:basedOn w:val="a0"/>
    <w:uiPriority w:val="99"/>
    <w:semiHidden/>
    <w:rsid w:val="002D0FB7"/>
    <w:rPr>
      <w:rFonts w:ascii="Times New Roman" w:eastAsia="宋体" w:hAnsi="Times New Roman" w:cs="Times New Roman"/>
      <w:kern w:val="0"/>
      <w:sz w:val="18"/>
      <w:szCs w:val="18"/>
      <w:lang w:val="en-GB"/>
    </w:rPr>
  </w:style>
  <w:style w:type="character" w:customStyle="1" w:styleId="aff1">
    <w:name w:val="日期 字符"/>
    <w:basedOn w:val="a0"/>
    <w:link w:val="aff2"/>
    <w:uiPriority w:val="99"/>
    <w:semiHidden/>
    <w:rsid w:val="002D0FB7"/>
    <w:rPr>
      <w:rFonts w:ascii="Times New Roman" w:eastAsia="宋体" w:hAnsi="Times New Roman" w:cs="Times New Roman"/>
      <w:kern w:val="0"/>
      <w:szCs w:val="21"/>
      <w:lang w:val="en-GB"/>
    </w:rPr>
  </w:style>
  <w:style w:type="paragraph" w:styleId="aff2">
    <w:name w:val="Date"/>
    <w:basedOn w:val="a"/>
    <w:next w:val="a"/>
    <w:link w:val="aff1"/>
    <w:uiPriority w:val="99"/>
    <w:semiHidden/>
    <w:unhideWhenUsed/>
    <w:rsid w:val="002D0FB7"/>
    <w:pPr>
      <w:ind w:leftChars="2500" w:left="100"/>
    </w:pPr>
  </w:style>
  <w:style w:type="character" w:customStyle="1" w:styleId="15">
    <w:name w:val="日期 字符1"/>
    <w:basedOn w:val="a0"/>
    <w:uiPriority w:val="99"/>
    <w:semiHidden/>
    <w:rsid w:val="002D0FB7"/>
    <w:rPr>
      <w:rFonts w:ascii="Times New Roman" w:eastAsia="宋体" w:hAnsi="Times New Roman" w:cs="Times New Roman"/>
      <w:kern w:val="0"/>
      <w:szCs w:val="21"/>
      <w:lang w:val="en-GB"/>
    </w:rPr>
  </w:style>
  <w:style w:type="paragraph" w:styleId="aff3">
    <w:name w:val="Normal Indent"/>
    <w:basedOn w:val="a"/>
    <w:link w:val="aff4"/>
    <w:rsid w:val="002D0FB7"/>
    <w:pPr>
      <w:tabs>
        <w:tab w:val="clear" w:pos="7140"/>
      </w:tabs>
      <w:ind w:firstLineChars="200" w:firstLine="420"/>
      <w:jc w:val="both"/>
      <w:textAlignment w:val="auto"/>
    </w:pPr>
    <w:rPr>
      <w:kern w:val="2"/>
      <w:sz w:val="28"/>
      <w:szCs w:val="20"/>
      <w:lang w:val="en-US"/>
    </w:rPr>
  </w:style>
  <w:style w:type="character" w:customStyle="1" w:styleId="aff4">
    <w:name w:val="正文缩进 字符"/>
    <w:basedOn w:val="a0"/>
    <w:link w:val="aff3"/>
    <w:rsid w:val="002D0FB7"/>
    <w:rPr>
      <w:rFonts w:ascii="Times New Roman" w:eastAsia="宋体" w:hAnsi="Times New Roman" w:cs="Times New Roman"/>
      <w:sz w:val="28"/>
      <w:szCs w:val="20"/>
    </w:rPr>
  </w:style>
  <w:style w:type="character" w:styleId="aff5">
    <w:name w:val="page number"/>
    <w:basedOn w:val="a0"/>
    <w:rsid w:val="002D0FB7"/>
  </w:style>
  <w:style w:type="character" w:styleId="aff6">
    <w:name w:val="Strong"/>
    <w:qFormat/>
    <w:rsid w:val="002D0FB7"/>
    <w:rPr>
      <w:b/>
    </w:rPr>
  </w:style>
  <w:style w:type="paragraph" w:customStyle="1" w:styleId="-">
    <w:name w:val="正文-各级标题"/>
    <w:basedOn w:val="a"/>
    <w:link w:val="-0"/>
    <w:qFormat/>
    <w:rsid w:val="002D0FB7"/>
    <w:pPr>
      <w:keepNext/>
      <w:keepLines/>
      <w:tabs>
        <w:tab w:val="clear" w:pos="7140"/>
      </w:tabs>
      <w:jc w:val="both"/>
      <w:textAlignment w:val="auto"/>
      <w:outlineLvl w:val="0"/>
    </w:pPr>
    <w:rPr>
      <w:rFonts w:ascii="黑体" w:eastAsia="黑体"/>
      <w:bCs/>
      <w:kern w:val="44"/>
      <w:sz w:val="28"/>
      <w:szCs w:val="28"/>
      <w:lang w:val="en-US"/>
    </w:rPr>
  </w:style>
  <w:style w:type="character" w:customStyle="1" w:styleId="-0">
    <w:name w:val="正文-各级标题 字符"/>
    <w:basedOn w:val="a0"/>
    <w:link w:val="-"/>
    <w:qFormat/>
    <w:rsid w:val="002D0FB7"/>
    <w:rPr>
      <w:rFonts w:ascii="黑体" w:eastAsia="黑体" w:hAnsi="Times New Roman" w:cs="Times New Roman"/>
      <w:bCs/>
      <w:kern w:val="44"/>
      <w:sz w:val="28"/>
      <w:szCs w:val="28"/>
    </w:rPr>
  </w:style>
  <w:style w:type="paragraph" w:customStyle="1" w:styleId="-1">
    <w:name w:val="正文-内容"/>
    <w:basedOn w:val="a"/>
    <w:link w:val="-2"/>
    <w:qFormat/>
    <w:rsid w:val="002D0FB7"/>
    <w:pPr>
      <w:tabs>
        <w:tab w:val="clear" w:pos="7140"/>
      </w:tabs>
      <w:ind w:firstLineChars="200" w:firstLine="560"/>
      <w:jc w:val="both"/>
      <w:textAlignment w:val="auto"/>
    </w:pPr>
    <w:rPr>
      <w:rFonts w:cs="宋体"/>
      <w:kern w:val="2"/>
      <w:sz w:val="28"/>
      <w:szCs w:val="28"/>
      <w:lang w:val="en-US"/>
    </w:rPr>
  </w:style>
  <w:style w:type="character" w:customStyle="1" w:styleId="-2">
    <w:name w:val="正文-内容 字符"/>
    <w:basedOn w:val="a0"/>
    <w:link w:val="-1"/>
    <w:qFormat/>
    <w:rsid w:val="002D0FB7"/>
    <w:rPr>
      <w:rFonts w:ascii="Times New Roman" w:eastAsia="宋体" w:hAnsi="Times New Roman" w:cs="宋体"/>
      <w:sz w:val="28"/>
      <w:szCs w:val="28"/>
    </w:rPr>
  </w:style>
  <w:style w:type="paragraph" w:customStyle="1" w:styleId="aff7">
    <w:name w:val="图题表题"/>
    <w:basedOn w:val="a"/>
    <w:link w:val="aff8"/>
    <w:qFormat/>
    <w:rsid w:val="002D0FB7"/>
    <w:pPr>
      <w:tabs>
        <w:tab w:val="clear" w:pos="7140"/>
      </w:tabs>
      <w:spacing w:line="240" w:lineRule="auto"/>
      <w:textAlignment w:val="auto"/>
    </w:pPr>
    <w:rPr>
      <w:rFonts w:ascii="黑体" w:eastAsia="黑体" w:hAnsi="黑体" w:cs="黑体"/>
      <w:kern w:val="2"/>
      <w:sz w:val="28"/>
      <w:szCs w:val="28"/>
      <w:lang w:val="en-US"/>
    </w:rPr>
  </w:style>
  <w:style w:type="character" w:customStyle="1" w:styleId="aff8">
    <w:name w:val="图题表题 字符"/>
    <w:basedOn w:val="a0"/>
    <w:link w:val="aff7"/>
    <w:qFormat/>
    <w:rsid w:val="002D0FB7"/>
    <w:rPr>
      <w:rFonts w:ascii="黑体" w:eastAsia="黑体" w:hAnsi="黑体" w:cs="黑体"/>
      <w:sz w:val="28"/>
      <w:szCs w:val="28"/>
    </w:rPr>
  </w:style>
  <w:style w:type="paragraph" w:customStyle="1" w:styleId="aff9">
    <w:name w:val="表格内容"/>
    <w:basedOn w:val="a"/>
    <w:link w:val="affa"/>
    <w:qFormat/>
    <w:rsid w:val="002D0FB7"/>
    <w:pPr>
      <w:tabs>
        <w:tab w:val="clear" w:pos="7140"/>
      </w:tabs>
      <w:adjustRightInd w:val="0"/>
      <w:snapToGrid w:val="0"/>
      <w:spacing w:beforeLines="50" w:before="50" w:afterLines="50" w:after="50" w:line="240" w:lineRule="auto"/>
      <w:textAlignment w:val="auto"/>
    </w:pPr>
    <w:rPr>
      <w:snapToGrid w:val="0"/>
      <w:lang w:val="en-US"/>
    </w:rPr>
  </w:style>
  <w:style w:type="character" w:customStyle="1" w:styleId="affa">
    <w:name w:val="表格内容 字符"/>
    <w:basedOn w:val="a0"/>
    <w:link w:val="aff9"/>
    <w:qFormat/>
    <w:rsid w:val="002D0FB7"/>
    <w:rPr>
      <w:rFonts w:ascii="Times New Roman" w:eastAsia="宋体" w:hAnsi="Times New Roman" w:cs="Times New Roman"/>
      <w:snapToGrid w:val="0"/>
      <w:kern w:val="0"/>
      <w:szCs w:val="21"/>
    </w:rPr>
  </w:style>
  <w:style w:type="paragraph" w:customStyle="1" w:styleId="MTDisplayEquation">
    <w:name w:val="MTDisplayEquation"/>
    <w:basedOn w:val="a"/>
    <w:next w:val="a"/>
    <w:link w:val="MTDisplayEquation0"/>
    <w:rsid w:val="002D0FB7"/>
    <w:pPr>
      <w:tabs>
        <w:tab w:val="clear" w:pos="7140"/>
        <w:tab w:val="center" w:pos="4160"/>
        <w:tab w:val="right" w:pos="8300"/>
      </w:tabs>
      <w:spacing w:after="160" w:line="278" w:lineRule="auto"/>
      <w:ind w:firstLineChars="200" w:firstLine="560"/>
      <w:jc w:val="left"/>
      <w:textAlignment w:val="auto"/>
    </w:pPr>
    <w:rPr>
      <w:rFonts w:ascii="宋体" w:hAnsi="宋体" w:cstheme="minorBidi"/>
      <w:kern w:val="2"/>
      <w:sz w:val="28"/>
      <w:szCs w:val="28"/>
      <w:lang w:val="en-US"/>
      <w14:ligatures w14:val="standardContextual"/>
    </w:rPr>
  </w:style>
  <w:style w:type="character" w:customStyle="1" w:styleId="MTDisplayEquation0">
    <w:name w:val="MTDisplayEquation 字符"/>
    <w:basedOn w:val="a0"/>
    <w:link w:val="MTDisplayEquation"/>
    <w:rsid w:val="002D0FB7"/>
    <w:rPr>
      <w:rFonts w:ascii="宋体" w:eastAsia="宋体" w:hAnsi="宋体"/>
      <w:sz w:val="28"/>
      <w:szCs w:val="28"/>
      <w14:ligatures w14:val="standardContextual"/>
    </w:rPr>
  </w:style>
  <w:style w:type="paragraph" w:customStyle="1" w:styleId="affb">
    <w:name w:val="居中"/>
    <w:basedOn w:val="a"/>
    <w:qFormat/>
    <w:rsid w:val="002D0FB7"/>
    <w:pPr>
      <w:tabs>
        <w:tab w:val="clear" w:pos="7140"/>
      </w:tabs>
      <w:adjustRightInd w:val="0"/>
      <w:snapToGrid w:val="0"/>
      <w:spacing w:line="240" w:lineRule="auto"/>
      <w:textAlignment w:val="auto"/>
    </w:pPr>
    <w:rPr>
      <w:color w:val="000000"/>
      <w:kern w:val="2"/>
      <w:lang w:val="en-US"/>
    </w:rPr>
  </w:style>
  <w:style w:type="paragraph" w:customStyle="1" w:styleId="affc">
    <w:name w:val="题注，图头 题注"/>
    <w:basedOn w:val="a"/>
    <w:next w:val="af7"/>
    <w:qFormat/>
    <w:rsid w:val="002D0FB7"/>
    <w:pPr>
      <w:tabs>
        <w:tab w:val="clear" w:pos="7140"/>
      </w:tabs>
      <w:spacing w:afterLines="50" w:after="50"/>
      <w:textAlignment w:val="auto"/>
    </w:pPr>
    <w:rPr>
      <w:kern w:val="2"/>
      <w:sz w:val="24"/>
      <w:szCs w:val="22"/>
      <w:lang w:val="en-US"/>
    </w:rPr>
  </w:style>
  <w:style w:type="paragraph" w:styleId="TOC">
    <w:name w:val="TOC Heading"/>
    <w:basedOn w:val="1"/>
    <w:next w:val="a"/>
    <w:uiPriority w:val="39"/>
    <w:unhideWhenUsed/>
    <w:qFormat/>
    <w:rsid w:val="002D0FB7"/>
    <w:pPr>
      <w:widowControl/>
      <w:tabs>
        <w:tab w:val="clear" w:pos="7140"/>
      </w:tabs>
      <w:spacing w:before="240" w:after="0" w:line="259" w:lineRule="auto"/>
      <w:jc w:val="left"/>
      <w:textAlignment w:val="auto"/>
      <w:outlineLvl w:val="9"/>
    </w:pPr>
    <w:rPr>
      <w:rFonts w:asciiTheme="majorHAnsi" w:eastAsiaTheme="majorEastAsia" w:hAnsiTheme="majorHAnsi" w:cstheme="majorBidi"/>
      <w:b w:val="0"/>
      <w:bCs w:val="0"/>
      <w:color w:val="2F5496" w:themeColor="accent1" w:themeShade="BF"/>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theme" Target="theme/theme1.xml"/><Relationship Id="rId5" Type="http://schemas.openxmlformats.org/officeDocument/2006/relationships/webSettings" Target="webSettings.xml"/><Relationship Id="rId4" Type="http://schemas.openxmlformats.org/officeDocument/2006/relationships/settings" Target="settings.xml"/><Relationship Id="rId56"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9" Type="http://schemas.openxmlformats.org/officeDocument/2006/relationships/image" Target="media/image28.png"/><Relationship Id="rId10" Type="http://schemas.openxmlformats.org/officeDocument/2006/relationships/image" Target="media/image29.png"/><Relationship Id="rId11" Type="http://schemas.openxmlformats.org/officeDocument/2006/relationships/image" Target="media/image30.png"/><Relationship Id="rId12" Type="http://schemas.openxmlformats.org/officeDocument/2006/relationships/image" Target="media/image31.png"/><Relationship Id="rId13" Type="http://schemas.openxmlformats.org/officeDocument/2006/relationships/image" Target="media/image32.png"/><Relationship Id="rId14" Type="http://schemas.openxmlformats.org/officeDocument/2006/relationships/image" Target="media/image33.png"/><Relationship Id="rId15" Type="http://schemas.openxmlformats.org/officeDocument/2006/relationships/image" Target="media/image34.png"/><Relationship Id="rId16" Type="http://schemas.openxmlformats.org/officeDocument/2006/relationships/image" Target="media/image35.png"/><Relationship Id="rId17" Type="http://schemas.openxmlformats.org/officeDocument/2006/relationships/image" Target="media/image36.png"/><Relationship Id="rId18" Type="http://schemas.openxmlformats.org/officeDocument/2006/relationships/image" Target="media/image37.png"/><Relationship Id="rId19" Type="http://schemas.openxmlformats.org/officeDocument/2006/relationships/image" Target="media/image38.png"/><Relationship Id="rId20" Type="http://schemas.openxmlformats.org/officeDocument/2006/relationships/image" Target="media/image39.png"/><Relationship Id="rId21" Type="http://schemas.openxmlformats.org/officeDocument/2006/relationships/image" Target="media/image40.png"/><Relationship Id="rId22" Type="http://schemas.openxmlformats.org/officeDocument/2006/relationships/image" Target="media/image41.png"/><Relationship Id="rId23" Type="http://schemas.openxmlformats.org/officeDocument/2006/relationships/image" Target="media/image42.png"/><Relationship Id="rId24" Type="http://schemas.openxmlformats.org/officeDocument/2006/relationships/image" Target="media/image43.png"/><Relationship Id="rId25" Type="http://schemas.openxmlformats.org/officeDocument/2006/relationships/image" Target="media/image44.png"/><Relationship Id="rId26" Type="http://schemas.openxmlformats.org/officeDocument/2006/relationships/image" Target="media/image45.png"/><Relationship Id="rId27" Type="http://schemas.openxmlformats.org/officeDocument/2006/relationships/image" Target="media/image46.png"/><Relationship Id="rId28" Type="http://schemas.openxmlformats.org/officeDocument/2006/relationships/image" Target="media/image47.png"/><Relationship Id="rIdReport2Math1_media" Type="http://schemas.openxmlformats.org/officeDocument/2006/relationships/image" Target="media/report2-math-0001.png"/><Relationship Id="rIdReport2Math1_embeddings" Type="http://schemas.openxmlformats.org/officeDocument/2006/relationships/oleObject" Target="embeddings/report2-math-0001.bin"/><Relationship Id="rIdReport2Math2_media" Type="http://schemas.openxmlformats.org/officeDocument/2006/relationships/image" Target="media/report2-math-0002.png"/><Relationship Id="rIdReport2Math2_embeddings" Type="http://schemas.openxmlformats.org/officeDocument/2006/relationships/oleObject" Target="embeddings/report2-math-0002.bin"/><Relationship Id="rIdReport2Math3_media" Type="http://schemas.openxmlformats.org/officeDocument/2006/relationships/image" Target="media/report2-math-0003.png"/><Relationship Id="rIdReport2Math3_embeddings" Type="http://schemas.openxmlformats.org/officeDocument/2006/relationships/oleObject" Target="embeddings/report2-math-0003.bin"/><Relationship Id="rIdReport2Math4_media" Type="http://schemas.openxmlformats.org/officeDocument/2006/relationships/image" Target="media/report2-math-0004.png"/><Relationship Id="rIdReport2Math4_embeddings" Type="http://schemas.openxmlformats.org/officeDocument/2006/relationships/oleObject" Target="embeddings/report2-math-0004.bin"/><Relationship Id="rIdReport2Math5_media" Type="http://schemas.openxmlformats.org/officeDocument/2006/relationships/image" Target="media/report2-math-0005.png"/><Relationship Id="rIdReport2Math5_embeddings" Type="http://schemas.openxmlformats.org/officeDocument/2006/relationships/oleObject" Target="embeddings/report2-math-0005.bin"/><Relationship Id="rIdReport2Math6_media" Type="http://schemas.openxmlformats.org/officeDocument/2006/relationships/image" Target="media/report2-math-0006.png"/><Relationship Id="rIdReport2Math6_embeddings" Type="http://schemas.openxmlformats.org/officeDocument/2006/relationships/oleObject" Target="embeddings/report2-math-0006.bin"/><Relationship Id="rIdReport2Math7_media" Type="http://schemas.openxmlformats.org/officeDocument/2006/relationships/image" Target="media/report2-math-0007.png"/><Relationship Id="rIdReport2Math7_embeddings" Type="http://schemas.openxmlformats.org/officeDocument/2006/relationships/oleObject" Target="embeddings/report2-math-0007.bin"/><Relationship Id="rIdReport2Math8_media" Type="http://schemas.openxmlformats.org/officeDocument/2006/relationships/image" Target="media/report2-math-0008.png"/><Relationship Id="rIdReport2Math8_embeddings" Type="http://schemas.openxmlformats.org/officeDocument/2006/relationships/oleObject" Target="embeddings/report2-math-0008.bin"/><Relationship Id="rIdReport2Math9_media" Type="http://schemas.openxmlformats.org/officeDocument/2006/relationships/image" Target="media/report2-math-0009.png"/><Relationship Id="rIdReport2Math9_embeddings" Type="http://schemas.openxmlformats.org/officeDocument/2006/relationships/oleObject" Target="embeddings/report2-math-0009.bin"/><Relationship Id="rIdReport2Math10_media" Type="http://schemas.openxmlformats.org/officeDocument/2006/relationships/image" Target="media/report2-math-0010.png"/><Relationship Id="rIdReport2Math10_embeddings" Type="http://schemas.openxmlformats.org/officeDocument/2006/relationships/oleObject" Target="embeddings/report2-math-0010.bin"/><Relationship Id="rIdReport2Math11_media" Type="http://schemas.openxmlformats.org/officeDocument/2006/relationships/image" Target="media/report2-math-0011.png"/><Relationship Id="rIdReport2Math11_embeddings" Type="http://schemas.openxmlformats.org/officeDocument/2006/relationships/oleObject" Target="embeddings/report2-math-0011.bin"/><Relationship Id="rIdReport2Math12_media" Type="http://schemas.openxmlformats.org/officeDocument/2006/relationships/image" Target="media/report2-math-0012.png"/><Relationship Id="rIdReport2Math12_embeddings" Type="http://schemas.openxmlformats.org/officeDocument/2006/relationships/oleObject" Target="embeddings/report2-math-0012.bin"/><Relationship Id="rIdReport2Math13_media" Type="http://schemas.openxmlformats.org/officeDocument/2006/relationships/image" Target="media/report2-math-0013.png"/><Relationship Id="rIdReport2Math13_embeddings" Type="http://schemas.openxmlformats.org/officeDocument/2006/relationships/oleObject" Target="embeddings/report2-math-0013.bin"/><Relationship Id="rIdReport2Math14_media" Type="http://schemas.openxmlformats.org/officeDocument/2006/relationships/image" Target="media/report2-math-0014.png"/><Relationship Id="rIdReport2Math14_embeddings" Type="http://schemas.openxmlformats.org/officeDocument/2006/relationships/oleObject" Target="embeddings/report2-math-0014.bin"/><Relationship Id="rIdReport2Math15_media" Type="http://schemas.openxmlformats.org/officeDocument/2006/relationships/image" Target="media/report2-math-0015.png"/><Relationship Id="rIdReport2Math15_embeddings" Type="http://schemas.openxmlformats.org/officeDocument/2006/relationships/oleObject" Target="embeddings/report2-math-0015.bin"/><Relationship Id="rIdReport2Math16_media" Type="http://schemas.openxmlformats.org/officeDocument/2006/relationships/image" Target="media/report2-math-0016.png"/><Relationship Id="rIdReport2Math16_embeddings" Type="http://schemas.openxmlformats.org/officeDocument/2006/relationships/oleObject" Target="embeddings/report2-math-0016.bin"/><Relationship Id="rIdReport2Math17_media" Type="http://schemas.openxmlformats.org/officeDocument/2006/relationships/image" Target="media/report2-math-0017.png"/><Relationship Id="rIdReport2Math17_embeddings" Type="http://schemas.openxmlformats.org/officeDocument/2006/relationships/oleObject" Target="embeddings/report2-math-0017.bin"/><Relationship Id="rIdReport2Math18_media" Type="http://schemas.openxmlformats.org/officeDocument/2006/relationships/image" Target="media/report2-math-0018.png"/><Relationship Id="rIdReport2Math18_embeddings" Type="http://schemas.openxmlformats.org/officeDocument/2006/relationships/oleObject" Target="embeddings/report2-math-0018.bin"/><Relationship Id="rIdReport2Math19_media" Type="http://schemas.openxmlformats.org/officeDocument/2006/relationships/image" Target="media/report2-math-0019.png"/><Relationship Id="rIdReport2Math19_embeddings" Type="http://schemas.openxmlformats.org/officeDocument/2006/relationships/oleObject" Target="embeddings/report2-math-0019.bin"/><Relationship Id="rIdReport2Math20_media" Type="http://schemas.openxmlformats.org/officeDocument/2006/relationships/image" Target="media/report2-math-0020.png"/><Relationship Id="rIdReport2Math20_embeddings" Type="http://schemas.openxmlformats.org/officeDocument/2006/relationships/oleObject" Target="embeddings/report2-math-0020.bin"/><Relationship Id="rIdReport2Math21_media" Type="http://schemas.openxmlformats.org/officeDocument/2006/relationships/image" Target="media/report2-math-0021.png"/><Relationship Id="rIdReport2Math21_embeddings" Type="http://schemas.openxmlformats.org/officeDocument/2006/relationships/oleObject" Target="embeddings/report2-math-0021.bin"/><Relationship Id="rIdReport2Math22_media" Type="http://schemas.openxmlformats.org/officeDocument/2006/relationships/image" Target="media/report2-math-0022.png"/><Relationship Id="rIdReport2Math22_embeddings" Type="http://schemas.openxmlformats.org/officeDocument/2006/relationships/oleObject" Target="embeddings/report2-math-0022.bin"/><Relationship Id="rIdReport2Math23_media" Type="http://schemas.openxmlformats.org/officeDocument/2006/relationships/image" Target="media/report2-math-0023.png"/><Relationship Id="rIdReport2Math23_embeddings" Type="http://schemas.openxmlformats.org/officeDocument/2006/relationships/oleObject" Target="embeddings/report2-math-0023.bin"/><Relationship Id="rIdReport2Math24_media" Type="http://schemas.openxmlformats.org/officeDocument/2006/relationships/image" Target="media/report2-math-0024.png"/><Relationship Id="rIdReport2Math24_embeddings" Type="http://schemas.openxmlformats.org/officeDocument/2006/relationships/oleObject" Target="embeddings/report2-math-0024.bin"/><Relationship Id="rIdReport2Math25_media" Type="http://schemas.openxmlformats.org/officeDocument/2006/relationships/image" Target="media/report2-math-0025.png"/><Relationship Id="rIdReport2Math25_embeddings" Type="http://schemas.openxmlformats.org/officeDocument/2006/relationships/oleObject" Target="embeddings/report2-math-0025.bin"/><Relationship Id="rIdReport2Math26_media" Type="http://schemas.openxmlformats.org/officeDocument/2006/relationships/image" Target="media/report2-math-0026.png"/><Relationship Id="rIdReport2Math26_embeddings" Type="http://schemas.openxmlformats.org/officeDocument/2006/relationships/oleObject" Target="embeddings/report2-math-0026.bin"/><Relationship Id="rIdReport2Math27_media" Type="http://schemas.openxmlformats.org/officeDocument/2006/relationships/image" Target="media/report2-math-0027.png"/><Relationship Id="rIdReport2Math27_embeddings" Type="http://schemas.openxmlformats.org/officeDocument/2006/relationships/oleObject" Target="embeddings/report2-math-0027.bin"/><Relationship Id="rIdReport2Math28_media" Type="http://schemas.openxmlformats.org/officeDocument/2006/relationships/image" Target="media/report2-math-0028.png"/><Relationship Id="rIdReport2Math28_embeddings" Type="http://schemas.openxmlformats.org/officeDocument/2006/relationships/oleObject" Target="embeddings/report2-math-0028.bin"/><Relationship Id="rIdReport2Math29_media" Type="http://schemas.openxmlformats.org/officeDocument/2006/relationships/image" Target="media/report2-math-0029.png"/><Relationship Id="rIdReport2Math29_embeddings" Type="http://schemas.openxmlformats.org/officeDocument/2006/relationships/oleObject" Target="embeddings/report2-math-0029.bin"/><Relationship Id="rIdReport2Math30_media" Type="http://schemas.openxmlformats.org/officeDocument/2006/relationships/image" Target="media/report2-math-0030.png"/><Relationship Id="rIdReport2Math30_embeddings" Type="http://schemas.openxmlformats.org/officeDocument/2006/relationships/oleObject" Target="embeddings/report2-math-0030.bin"/><Relationship Id="rIdReport2Math31_media" Type="http://schemas.openxmlformats.org/officeDocument/2006/relationships/image" Target="media/report2-math-0031.png"/><Relationship Id="rIdReport2Math31_embeddings" Type="http://schemas.openxmlformats.org/officeDocument/2006/relationships/oleObject" Target="embeddings/report2-math-0031.bin"/><Relationship Id="rIdReport2Math32_media" Type="http://schemas.openxmlformats.org/officeDocument/2006/relationships/image" Target="media/report2-math-0032.png"/><Relationship Id="rIdReport2Math32_embeddings" Type="http://schemas.openxmlformats.org/officeDocument/2006/relationships/oleObject" Target="embeddings/report2-math-003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01621-B6DA-43EB-857C-6070E2F9B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1371</Words>
  <Characters>7820</Characters>
  <Application>Microsoft Office Word</Application>
  <DocSecurity>0</DocSecurity>
  <Lines>65</Lines>
  <Paragraphs>18</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小样本情况下的明显异常估计</dc:title>
  <dc:subject>报告2</dc:subject>
  <dc:creator>NX Wu</dc:creator>
  <cp:keywords/>
  <dc:description/>
  <cp:lastModifiedBy>NX Wu</cp:lastModifiedBy>
  <cp:revision>10</cp:revision>
  <dcterms:created xsi:type="dcterms:W3CDTF">2026-07-21T18:20:00Z</dcterms:created>
  <dcterms:modified xsi:type="dcterms:W3CDTF">2026-07-21T22:47:00Z</dcterms:modified>
</cp:coreProperties>
</file>