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eastAsia="黑体" w:hAnsi="Arial"/>
          <w:b/>
          <w:bCs/>
          <w:sz w:val="40"/>
          <w:szCs w:val="40"/>
        </w:rPr>
        <w:t xml:space="preserve">三参数 Weibull(β, η, γ)参数估计准确性</w:t>
      </w:r>
    </w:p>
    <w:p>
      <w:pPr>
        <w:spacing w:after="200"/>
        <w:jc w:val="center"/>
      </w:pPr>
      <w:r>
        <w:rPr>
          <w:rFonts w:ascii="Arial" w:eastAsia="黑体" w:hAnsi="Arial"/>
          <w:b/>
          <w:bCs/>
          <w:sz w:val="40"/>
          <w:szCs w:val="40"/>
        </w:rPr>
        <w:t xml:space="preserve">评价指标:统一方案与实证论证</w:t>
      </w:r>
    </w:p>
    <w:p>
      <w:pPr>
        <w:spacing w:after="60"/>
        <w:jc w:val="center"/>
      </w:pPr>
      <w:r>
        <w:rPr>
          <w:rFonts w:ascii="Times New Roman" w:eastAsia="宋体" w:hAnsi="Times New Roman"/>
          <w:color w:val="444444"/>
          <w:sz w:val="22"/>
          <w:szCs w:val="22"/>
        </w:rPr>
        <w:t xml:space="preserve">一个分布 · 三个视角 · 每视角一个主指标 + 少量正交辅助</w:t>
      </w:r>
    </w:p>
    <w:p>
      <w:pPr>
        <w:spacing w:after="240"/>
        <w:jc w:val="center"/>
      </w:pPr>
      <w:r>
        <w:rPr>
          <w:rFonts w:ascii="Times New Roman" w:eastAsia="宋体" w:hAnsi="Times New Roman"/>
          <w:color w:val="666666"/>
          <w:sz w:val="20"/>
          <w:szCs w:val="20"/>
        </w:rPr>
        <w:t xml:space="preserve">评价用稳健中位数族,训练用可微平方族,二者同处相对/对数空间</w:t>
      </w:r>
    </w:p>
    <w:p>
      <w:pPr>
        <w:pBdr>
          <w:bottom w:val="single" w:color="1F3864" w:sz="6" w:space="1"/>
        </w:pBdr>
        <w:spacing w:after="20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摘要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本报告整合既有方案,给出一套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简单、可用、无争议</w:t>
      </w:r>
      <w:r>
        <w:rPr>
          <w:rFonts w:ascii="Times New Roman" w:eastAsia="宋体" w:hAnsi="Times New Roman"/>
          <w:sz w:val="21"/>
          <w:szCs w:val="21"/>
        </w:rPr>
        <w:t xml:space="preserve">的三参数 Weibull 参数估计准确性评价体系。核心主张是:所有点估计指标本质上都在描述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相对误差的分布</w:t>
      </w:r>
      <w:r>
        <w:rPr>
          <w:rFonts w:ascii="Times New Roman" w:eastAsia="宋体" w:hAnsi="Times New Roman"/>
          <w:sz w:val="21"/>
          <w:szCs w:val="21"/>
        </w:rPr>
        <w:t xml:space="preserve">;因此每个评价视角只需一个主指标回答“误差有多大”,再配几个互不重叠的辅助指标回答“偏哪边、有多散、尾多深、算不算数”。报告设三个视角——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参数视角、工程应用视角、训练损失</w:t>
      </w:r>
      <w:r>
        <w:rPr>
          <w:rFonts w:ascii="Times New Roman" w:eastAsia="宋体" w:hAnsi="Times New Roman"/>
          <w:sz w:val="21"/>
          <w:szCs w:val="21"/>
        </w:rPr>
        <w:t xml:space="preserve">。准确性主指标统一为中位绝对百分比误差(Median Absolute Percentage Error, MdAPE);方向、稳定性、尾部分别用中位带符号误差、区间 [P25,P75]、区间 [P5,P95] 与 P95;并以有效估计率作门槛。训练损失不被视为第四类独立指标,而是“所选视角的准确性指标的可微版本”。所有指标选择都配有可复现的数值测试(含构造反例)加以论证。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1  问题分析与总体框架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1.1  评价对象与适用场景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三参数 Weibull 的可靠度函数为 R(t)=exp(−((t−γ)/η)</w:t>
      </w:r>
      <w:r>
        <w:rPr>
          <w:rFonts w:ascii="Times New Roman" w:eastAsia="宋体" w:hAnsi="Times New Roman"/>
          <w:sz w:val="21"/>
          <w:szCs w:val="21"/>
          <w:vertAlign w:val="superscript"/>
        </w:rPr>
        <w:t xml:space="preserve">β</w:t>
      </w:r>
      <w:r>
        <w:rPr>
          <w:rFonts w:ascii="Times New Roman" w:eastAsia="宋体" w:hAnsi="Times New Roman"/>
          <w:sz w:val="21"/>
          <w:szCs w:val="21"/>
        </w:rPr>
        <w:t xml:space="preserve">),其中 β 为形状、η 为尺度、γ 为位置(最小寿命)。本报告评价的是“把 (β,η,γ) 估得多准”,而非“模型与数据拟合得多好”——只有在真值已知时,这两件事才一致。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准确性只能在真值已知的场景下度量:</w:t>
      </w:r>
      <w:r>
        <w:rPr>
          <w:rFonts w:ascii="Times New Roman" w:eastAsia="宋体" w:hAnsi="Times New Roman"/>
          <w:sz w:val="21"/>
          <w:szCs w:val="21"/>
        </w:rPr>
        <w:t xml:space="preserve">即蒙特卡洛(Monte Carlo, MC)仿真(从已知 (β,η,γ) 抽样再估计)与深度学习的仿真训练/评测(标签即真值)。在真实工程数据上真值不可得,只能退而评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拟合优度</w:t>
      </w:r>
      <w:r>
        <w:rPr>
          <w:rFonts w:ascii="Times New Roman" w:eastAsia="宋体" w:hAnsi="Times New Roman"/>
          <w:sz w:val="21"/>
          <w:szCs w:val="21"/>
        </w:rPr>
        <w:t xml:space="preserve">(柯尔莫哥洛夫–斯米尔诺夫检验(Kolmogorov–Smirnov, K-S)、安德森–达令检验(Anderson–Darling, A-D)、概率图相关系数等),它衡量“像不像 Weibull”,不是“参数准不准”,二者不可混为一谈。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外部效度警告:</w:t>
      </w:r>
      <w:r>
        <w:rPr>
          <w:rFonts w:ascii="Times New Roman" w:eastAsia="宋体" w:hAnsi="Times New Roman"/>
          <w:sz w:val="21"/>
          <w:szCs w:val="21"/>
        </w:rPr>
        <w:t xml:space="preserve">蒙特卡洛若要为真实场景背书,其先验池(β,η,γ 的范围)、样本量 n、删失比例必须与目标场景一致;否则“仿真里很准”不能推广到“真实数据上很准”。本报告数值示例取 β=2.5、η=1000、γ=100,n∈{20,50,100},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仅用于说明方法</w:t>
      </w:r>
      <w:r>
        <w:rPr>
          <w:rFonts w:ascii="Times New Roman" w:eastAsia="宋体" w:hAnsi="Times New Roman"/>
          <w:sz w:val="21"/>
          <w:szCs w:val="21"/>
        </w:rPr>
        <w:t xml:space="preserve">,落地时应替换为你的真实设定。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1.2  一个分布,三类指标 + 一道门槛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对任一被估量 θ(参数或寿命分位),定义其在多次重复下的相对误差 e=(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̂−θ)/θ。一个好的体系只需回答关于 e 分布的三个正交问题,外加一道 Weibull 特有的门槛: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有多大(准确性):</w:t>
      </w:r>
      <w:r>
        <w:rPr>
          <w:rFonts w:ascii="Times New Roman" w:eastAsia="宋体" w:hAnsi="Times New Roman"/>
          <w:sz w:val="21"/>
          <w:szCs w:val="21"/>
        </w:rPr>
        <w:t xml:space="preserve">|e| 的典型量级 → 主指标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MdAPE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偏哪边(方向):</w:t>
      </w:r>
      <w:r>
        <w:rPr>
          <w:rFonts w:ascii="Times New Roman" w:eastAsia="宋体" w:hAnsi="Times New Roman"/>
          <w:sz w:val="21"/>
          <w:szCs w:val="21"/>
        </w:rPr>
        <w:t xml:space="preserve">e 的中心位置 →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中位带符号误差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有多散(稳定性):</w:t>
      </w:r>
      <w:r>
        <w:rPr>
          <w:rFonts w:ascii="Times New Roman" w:eastAsia="宋体" w:hAnsi="Times New Roman"/>
          <w:sz w:val="21"/>
          <w:szCs w:val="21"/>
        </w:rPr>
        <w:t xml:space="preserve">e 的内 50% 离散 → 区间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[P25, P75]</w:t>
      </w:r>
      <w:r>
        <w:rPr>
          <w:rFonts w:ascii="Times New Roman" w:eastAsia="宋体" w:hAnsi="Times New Roman"/>
          <w:sz w:val="21"/>
          <w:szCs w:val="21"/>
        </w:rPr>
        <w:t xml:space="preserve">(即 RelIQR)。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多深的尾(尾部风险):</w:t>
      </w:r>
      <w:r>
        <w:rPr>
          <w:rFonts w:ascii="Times New Roman" w:eastAsia="宋体" w:hAnsi="Times New Roman"/>
          <w:sz w:val="21"/>
          <w:szCs w:val="21"/>
        </w:rPr>
        <w:t xml:space="preserve">e 的极端分位 → 区间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[P5, P95] 与 P95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算不算数(求解率):</w:t>
      </w:r>
      <w:r>
        <w:rPr>
          <w:rFonts w:ascii="Times New Roman" w:eastAsia="宋体" w:hAnsi="Times New Roman"/>
          <w:sz w:val="21"/>
          <w:szCs w:val="21"/>
        </w:rPr>
        <w:t xml:space="preserve">有效估计的比例 →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有效估计率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这套划分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简单且不重叠</w:t>
      </w:r>
      <w:r>
        <w:rPr>
          <w:rFonts w:ascii="Times New Roman" w:eastAsia="宋体" w:hAnsi="Times New Roman"/>
          <w:sz w:val="21"/>
          <w:szCs w:val="21"/>
        </w:rPr>
        <w:t xml:space="preserve">:每个指标只回答一个问题,合起来覆盖误差分布的全部侧面。报告刻意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</w:t>
      </w:r>
      <w:r>
        <w:rPr>
          <w:rFonts w:ascii="Times New Roman" w:eastAsia="宋体" w:hAnsi="Times New Roman"/>
          <w:sz w:val="21"/>
          <w:szCs w:val="21"/>
        </w:rPr>
        <w:t xml:space="preserve">把它们加权成单一综合分数作为主指标——加权会让分项问题互相掩盖(见附录 A)。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记号约定:相对误差 e = 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</w:rPr>
        <w:t xml:space="preserve"> − θ)/θ;P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α</w:t>
      </w:r>
      <w:r>
        <w:rPr>
          <w:rFonts w:ascii="Times New Roman" w:eastAsia="宋体" w:hAnsi="Times New Roman"/>
          <w:sz w:val="21"/>
          <w:szCs w:val="21"/>
        </w:rPr>
        <w:t xml:space="preserve">(·) 表示第 α 百分位数(percentile),如 P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95</w:t>
      </w:r>
      <w:r>
        <w:rPr>
          <w:rFonts w:ascii="Times New Roman" w:eastAsia="宋体" w:hAnsi="Times New Roman"/>
          <w:sz w:val="21"/>
          <w:szCs w:val="21"/>
        </w:rPr>
        <w:t xml:space="preserve">(|e|) 为 |e| 的第 95 百分位;Q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1</w:t>
      </w:r>
      <w:r>
        <w:rPr>
          <w:rFonts w:ascii="Times New Roman" w:eastAsia="宋体" w:hAnsi="Times New Roman"/>
          <w:sz w:val="21"/>
          <w:szCs w:val="21"/>
        </w:rPr>
        <w:t xml:space="preserve">、Q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3</w:t>
      </w:r>
      <w:r>
        <w:rPr>
          <w:rFonts w:ascii="Times New Roman" w:eastAsia="宋体" w:hAnsi="Times New Roman"/>
          <w:sz w:val="21"/>
          <w:szCs w:val="21"/>
        </w:rPr>
        <w:t xml:space="preserve"> 为上、下四分位数。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1.3  评价与训练:同一空间,两种形态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有一个贯穿全报告的关键区分: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评价(给人看、要稳健)</w:t>
      </w:r>
      <w:r>
        <w:rPr>
          <w:rFonts w:ascii="Times New Roman" w:eastAsia="宋体" w:hAnsi="Times New Roman"/>
          <w:sz w:val="21"/>
          <w:szCs w:val="21"/>
        </w:rPr>
        <w:t xml:space="preserve">用“中位数 + 绝对值”族:中位数对 Weibull 常见的异常解稳健,绝对值直观。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训练(给优化器、要可微且惩罚尾部)</w:t>
      </w:r>
      <w:r>
        <w:rPr>
          <w:rFonts w:ascii="Times New Roman" w:eastAsia="宋体" w:hAnsi="Times New Roman"/>
          <w:sz w:val="21"/>
          <w:szCs w:val="21"/>
        </w:rPr>
        <w:t xml:space="preserve">用“均值 + 平方”族:可微,且平方天然对大误差施加更大梯度。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两者处于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同一相对/对数空间</w:t>
      </w:r>
      <w:r>
        <w:rPr>
          <w:rFonts w:ascii="Times New Roman" w:eastAsia="宋体" w:hAnsi="Times New Roman"/>
          <w:sz w:val="21"/>
          <w:szCs w:val="21"/>
        </w:rPr>
        <w:t xml:space="preserve">(都按相对误差度量),只是聚合形态不同。这恰好化解一个隐忧:中位数评价指标“看不见右尾”,而训练用的平方损失对右尾敏感,优化时会自动压低尾部误差——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评价的盲区被训练的形态补上了</w:t>
      </w:r>
      <w:r>
        <w:rPr>
          <w:rFonts w:ascii="Times New Roman" w:eastAsia="宋体" w:hAnsi="Times New Roman"/>
          <w:sz w:val="21"/>
          <w:szCs w:val="21"/>
        </w:rPr>
        <w:t xml:space="preserve">。损失因此不是第四类独立指标,而是“所选视角准确性指标的可微版本”(见第 4 节)。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1.4  总览(三视角 × 五类指标)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1980"/>
        <w:gridCol w:w="1500"/>
        <w:gridCol w:w="1620"/>
        <w:gridCol w:w="1680"/>
        <w:gridCol w:w="1200"/>
      </w:tblGrid>
      <w:tr>
        <w:tc>
          <w:tcPr>
            <w:tcW w:type="dxa" w:w="13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视角</w:t>
            </w:r>
          </w:p>
        </w:tc>
        <w:tc>
          <w:tcPr>
            <w:tcW w:type="dxa" w:w="19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准确性(主)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1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稳定性</w:t>
            </w:r>
          </w:p>
        </w:tc>
        <w:tc>
          <w:tcPr>
            <w:tcW w:type="dxa" w:w="16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尾部</w:t>
            </w:r>
          </w:p>
        </w:tc>
        <w:tc>
          <w:tcPr>
            <w:tcW w:type="dxa" w:w="12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求解率</w:t>
            </w:r>
          </w:p>
        </w:tc>
      </w:tr>
      <w:tr>
        <w:tc>
          <w:tcPr>
            <w:tcW w:type="dxa" w:w="13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参数视角</w:t>
            </w:r>
          </w:p>
        </w:tc>
        <w:tc>
          <w:tcPr>
            <w:tcW w:type="dxa" w:w="19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MdAPE(β、η;γ 用 /η)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中位带符号误差</w:t>
            </w:r>
          </w:p>
        </w:tc>
        <w:tc>
          <w:tcPr>
            <w:tcW w:type="dxa" w:w="1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[P25,P75] / RelIQR</w:t>
            </w:r>
          </w:p>
        </w:tc>
        <w:tc>
          <w:tcPr>
            <w:tcW w:type="dxa" w:w="16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[P5,P95]、P95</w:t>
            </w:r>
          </w:p>
        </w:tc>
        <w:tc>
          <w:tcPr>
            <w:tcW w:type="dxa" w:w="12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有效估计率</w:t>
            </w:r>
          </w:p>
        </w:tc>
      </w:tr>
      <w:tr>
        <w:tc>
          <w:tcPr>
            <w:tcW w:type="dxa" w:w="13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工程应用视角</w:t>
            </w:r>
          </w:p>
        </w:tc>
        <w:tc>
          <w:tcPr>
            <w:tcW w:type="dxa" w:w="19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MdAPE(每个 R 一个)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中位带符号误差</w:t>
            </w:r>
          </w:p>
        </w:tc>
        <w:tc>
          <w:tcPr>
            <w:tcW w:type="dxa" w:w="1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[P25,P75] / RelIQR</w:t>
            </w:r>
          </w:p>
        </w:tc>
        <w:tc>
          <w:tcPr>
            <w:tcW w:type="dxa" w:w="16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[P5,P95]、P95(高 R 尤需)</w:t>
            </w:r>
          </w:p>
        </w:tc>
        <w:tc>
          <w:tcPr>
            <w:tcW w:type="dxa" w:w="12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同左</w:t>
            </w:r>
          </w:p>
        </w:tc>
      </w:tr>
      <w:tr>
        <w:tc>
          <w:tcPr>
            <w:tcW w:type="dxa" w:w="13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训练损失</w:t>
            </w:r>
          </w:p>
        </w:tc>
        <w:tc>
          <w:tcPr>
            <w:tcW w:type="dxa" w:w="7980"/>
            <w:gridSpan w:val="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非独立指标:按视角用 log-参数 MSE 或 log-分位 MSE;均值+平方,天然惩罚尾部。</w:t>
            </w:r>
          </w:p>
        </w:tc>
      </w:tr>
    </w:tbl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(此外全局随附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相对均方根误差(Relative Root Mean Square Error, RRMSE)</w:t>
      </w:r>
      <w:r>
        <w:rPr>
          <w:rFonts w:ascii="Times New Roman" w:eastAsia="宋体" w:hAnsi="Times New Roman"/>
          <w:sz w:val="21"/>
          <w:szCs w:val="21"/>
        </w:rPr>
        <w:t xml:space="preserve">与经典的偏差²–方差–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均方误差(Mean Squared Error, MSE)</w:t>
      </w:r>
      <w:r>
        <w:rPr>
          <w:rFonts w:ascii="Times New Roman" w:eastAsia="宋体" w:hAnsi="Times New Roman"/>
          <w:sz w:val="21"/>
          <w:szCs w:val="21"/>
        </w:rPr>
        <w:t xml:space="preserve">分解作为辅助,便于与文献对话、与估计理论衔接,但不作主指标,理由见 2.6。)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2  参数视角指标与验证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2.1  主指标:MdAPE(中位绝对百分比误差)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是什么 / 怎么算:</w:t>
      </w:r>
      <w:r>
        <w:rPr>
          <w:rFonts w:ascii="Times New Roman" w:eastAsia="宋体" w:hAnsi="Times New Roman"/>
          <w:sz w:val="21"/>
          <w:szCs w:val="21"/>
        </w:rPr>
        <w:t xml:space="preserve">对 θ∈{β,η},先对每次重复算绝对相对误差,再取这 N 个值的中位数: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MdAPE(θ) = median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|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− θ| / θ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对位置参数 γ,因其可能为 0(不能除以自身),改用真尺度 η 归一: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MdAE(γ)/η = median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|</w:t>
      </w:r>
      <w:r>
        <w:rPr>
          <w:rFonts w:ascii="Times New Roman" w:eastAsia="宋体" w:hAnsi="Times New Roman"/>
          <w:sz w:val="21"/>
          <w:szCs w:val="21"/>
        </w:rPr>
        <w:t xml:space="preserve">γ̂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− γ| / η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反映什么:</w:t>
      </w:r>
      <w:r>
        <w:rPr>
          <w:rFonts w:ascii="Times New Roman" w:eastAsia="宋体" w:hAnsi="Times New Roman"/>
          <w:sz w:val="21"/>
          <w:szCs w:val="21"/>
        </w:rPr>
        <w:t xml:space="preserve">至少一半的估计其相对误差不超过 MdAPE——它是“典型一次估计能做到的相对精度”。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关键提醒:</w:t>
      </w:r>
      <w:r>
        <w:rPr>
          <w:rFonts w:ascii="Times New Roman" w:eastAsia="宋体" w:hAnsi="Times New Roman"/>
          <w:sz w:val="21"/>
          <w:szCs w:val="21"/>
        </w:rPr>
        <w:t xml:space="preserve">MdAPE 是“误差的中位数”,不是“中位估计的误差”;必须先逐次算误差、再取中位,两者不同。此外,MdAPE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只有幅度、没有正负</w:t>
      </w:r>
      <w:r>
        <w:rPr>
          <w:rFonts w:ascii="Times New Roman" w:eastAsia="宋体" w:hAnsi="Times New Roman"/>
          <w:sz w:val="21"/>
          <w:szCs w:val="21"/>
        </w:rPr>
        <w:t xml:space="preserve">(它取了绝对值);“高估还是低估”由 2.2 的带符号方向指标回答。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为什么用它、不用别的: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不用平均绝对百分比误差(Mean Absolute Percentage Error, MAPE)/RRMSE(均值族)作主——</w:t>
      </w:r>
      <w:r>
        <w:rPr>
          <w:rFonts w:ascii="Times New Roman" w:eastAsia="宋体" w:hAnsi="Times New Roman"/>
          <w:sz w:val="21"/>
          <w:szCs w:val="21"/>
        </w:rPr>
        <w:t xml:space="preserve">三参数 Weibull 似然在 γ→样本最小值附近可发散,边界解/异常解时有发生,均值族会被放大。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验证(T1b):</w:t>
      </w:r>
      <w:r>
        <w:rPr>
          <w:rFonts w:ascii="Times New Roman" w:eastAsia="宋体" w:hAnsi="Times New Roman"/>
          <w:sz w:val="21"/>
          <w:szCs w:val="21"/>
        </w:rPr>
        <w:t xml:space="preserve">向一个无偏估计注入 2% 离谱解(放大到 3–6 倍),MdAPE 仅从 20.3% 微动到 20.8%,而均值绝对误差从 24.0% 升到 30.5%、RRMSE 从 30.1% 近乎翻倍到 59.1%。中位数对“有效但异常”的解稳健。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用相对/对数尺度、不用原尺度——</w:t>
      </w:r>
      <w:r>
        <w:rPr>
          <w:rFonts w:ascii="Times New Roman" w:eastAsia="宋体" w:hAnsi="Times New Roman"/>
          <w:sz w:val="21"/>
          <w:szCs w:val="21"/>
        </w:rPr>
        <w:t xml:space="preserve">见 2.6 与第 4 节的量纲论证(T2)。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等价替代:</w:t>
      </w:r>
      <w:r>
        <w:rPr>
          <w:rFonts w:ascii="Times New Roman" w:eastAsia="宋体" w:hAnsi="Times New Roman"/>
          <w:sz w:val="21"/>
          <w:szCs w:val="21"/>
        </w:rPr>
        <w:t xml:space="preserve">中位 |ln 比| = median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|ln(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/θ)| 与 MdAPE 含义几乎一致,但具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乘法对称性</w:t>
      </w:r>
      <w:r>
        <w:rPr>
          <w:rFonts w:ascii="Times New Roman" w:eastAsia="宋体" w:hAnsi="Times New Roman"/>
          <w:sz w:val="21"/>
          <w:szCs w:val="21"/>
        </w:rPr>
        <w:t xml:space="preserve">(高估 2 倍与低估到 1/2 同等惩罚),且与推荐的 log-参数损失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严格同一空间</w:t>
      </w:r>
      <w:r>
        <w:rPr>
          <w:rFonts w:ascii="Times New Roman" w:eastAsia="宋体" w:hAnsi="Times New Roman"/>
          <w:sz w:val="21"/>
          <w:szCs w:val="21"/>
        </w:rPr>
        <w:t xml:space="preserve">。两者在误差 &lt;20% 时数值几乎相同,可任选其一并全程保持一致;本报告以 MdAPE 为默认表述。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2.2  方向:中位带符号相对误差(替代 Mean RelBias)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是什么:</w:t>
      </w:r>
      <w:r>
        <w:rPr>
          <w:rFonts w:ascii="Times New Roman" w:eastAsia="宋体" w:hAnsi="Times New Roman"/>
          <w:sz w:val="21"/>
          <w:szCs w:val="21"/>
        </w:rPr>
        <w:t xml:space="preserve">它就是你要的“高估/低估”指标——逐参数相对误差的中位数,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带正负号</w:t>
      </w:r>
      <w:r>
        <w:rPr>
          <w:rFonts w:ascii="Times New Roman" w:eastAsia="宋体" w:hAnsi="Times New Roman"/>
          <w:sz w:val="21"/>
          <w:szCs w:val="21"/>
        </w:rPr>
        <w:t xml:space="preserve">: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Med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(θ) = median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− θ) / θ</w:t>
      </w:r>
      <w:r>
        <w:rPr>
          <w:rFonts w:ascii="Times New Roman" w:eastAsia="宋体" w:hAnsi="Times New Roman"/>
          <w:sz w:val="21"/>
          <w:szCs w:val="21"/>
        </w:rPr>
        <w:t xml:space="preserve">      (γ 用 /η);   正值 = 系统高估,负值 = 系统低估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为什么幅度与方向要各报一个、而不是只用一个带符号的:</w:t>
      </w:r>
      <w:r>
        <w:rPr>
          <w:rFonts w:ascii="Times New Roman" w:eastAsia="宋体" w:hAnsi="Times New Roman"/>
          <w:sz w:val="21"/>
          <w:szCs w:val="21"/>
        </w:rPr>
        <w:t xml:space="preserve">因为“准不准”和“偏哪边”是两个正交问题。只看带符号中位,一个高一半、低一半的估计器会显示 ≈0、看似完美,但它每次其实都偏 30%(幅度大、方向中性);反之 MdAPE(纯幅度,取了绝对值)看不出系统性高估还是低估。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二者必须并列:MdAPE 报幅度用于排序,Med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 报方向用于判断高估/低估。</w:t>
      </w:r>
      <w:r>
        <w:rPr>
          <w:rFonts w:ascii="Times New Roman" w:eastAsia="宋体" w:hAnsi="Times New Roman"/>
          <w:sz w:val="21"/>
          <w:szCs w:val="21"/>
        </w:rPr>
        <w:t xml:space="preserve">数值验证见 5.4(S4):β 的 ±10% 偏差给出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完全相同的 |MdAPE|</w:t>
      </w:r>
      <w:r>
        <w:rPr>
          <w:rFonts w:ascii="Times New Roman" w:eastAsia="宋体" w:hAnsi="Times New Roman"/>
          <w:sz w:val="21"/>
          <w:szCs w:val="21"/>
        </w:rPr>
        <w:t xml:space="preserve">,却产生方向相反的寿命误差,只有带符号指标能把“抬高寿命=危险”那一侧识别出来。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为什么改用中位、而非均值:</w:t>
      </w:r>
      <w:r>
        <w:rPr>
          <w:rFonts w:ascii="Times New Roman" w:eastAsia="宋体" w:hAnsi="Times New Roman"/>
          <w:sz w:val="21"/>
          <w:szCs w:val="21"/>
        </w:rPr>
        <w:t xml:space="preserve">原方案用 Mean RelBias(均值),而它最怕的恰恰是主指标想躲开的那几个异常解,与整套中位数思想不一致。改用中位带符号误差后,方向与大小、稳定性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同源同形态</w:t>
      </w:r>
      <w:r>
        <w:rPr>
          <w:rFonts w:ascii="Times New Roman" w:eastAsia="宋体" w:hAnsi="Times New Roman"/>
          <w:sz w:val="21"/>
          <w:szCs w:val="21"/>
        </w:rPr>
        <w:t xml:space="preserve">,既稳健又一致。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为什么方向必须独立于大小:</w:t>
      </w:r>
      <w:r>
        <w:rPr>
          <w:rFonts w:ascii="Times New Roman" w:eastAsia="宋体" w:hAnsi="Times New Roman"/>
          <w:sz w:val="21"/>
          <w:szCs w:val="21"/>
        </w:rPr>
        <w:t xml:space="preserve">验证(T1)构造两个 η 估计器——A 无偏但分散(σ=30%),B 偏低 15% 但集中(σ=10%)。结果 A:RRMSE 30.1%、方向 −0.3%;B:RRMSE 18.0%、方向 −15.0%。若只看混合指标 RRMSE 会判 B 更优,却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完全掩盖 B 系统性低估 15%</w:t>
      </w:r>
      <w:r>
        <w:rPr>
          <w:rFonts w:ascii="Times New Roman" w:eastAsia="宋体" w:hAnsi="Times New Roman"/>
          <w:sz w:val="21"/>
          <w:szCs w:val="21"/>
        </w:rPr>
        <w:t xml:space="preserve">这一在可靠性工程里致命的问题。验证(T6)还表明中位与均值方向可显著不同(n=50 时 η 的中位方向 −7.5%、均值方向 −3.7%),进一步说明稳健方向指标的必要性。见图 1。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fig1_biasvar.png" descr="为什么大小、方向、稳定性必须分开报告。RRMSE 判 B 优于 A,却藏住了 B 的 −15% 系统性低估。" title="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Times New Roman" w:eastAsia="宋体" w:hAnsi="Times New Roman"/>
          <w:b/>
          <w:bCs/>
          <w:sz w:val="18"/>
          <w:szCs w:val="18"/>
        </w:rPr>
        <w:t xml:space="preserve">图 1  </w:t>
      </w:r>
      <w:r>
        <w:rPr>
          <w:rFonts w:ascii="Times New Roman" w:eastAsia="宋体" w:hAnsi="Times New Roman"/>
          <w:color w:val="555555"/>
          <w:sz w:val="18"/>
          <w:szCs w:val="18"/>
        </w:rPr>
        <w:t xml:space="preserve">为什么大小、方向、稳定性必须分开报告。RRMSE 判 B 优于 A,却藏住了 B 的 −15% 系统性低估。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2.3  稳定性:区间 [P25, P75](等价 RelIQR)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是什么:</w:t>
      </w:r>
      <w:r>
        <w:rPr>
          <w:rFonts w:ascii="Times New Roman" w:eastAsia="宋体" w:hAnsi="Times New Roman"/>
          <w:sz w:val="21"/>
          <w:szCs w:val="21"/>
        </w:rPr>
        <w:t xml:space="preserve">相对误差分布的内 50% 区间;其相对宽度即相对四分位距(Relative Interquartile Range, RelIQR),其中四分位距(Interquartile Range, IQR)= Q3 − Q1: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[P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25</w:t>
      </w:r>
      <w:r>
        <w:rPr>
          <w:rFonts w:ascii="Times New Roman" w:eastAsia="宋体" w:hAnsi="Times New Roman"/>
          <w:sz w:val="21"/>
          <w:szCs w:val="21"/>
        </w:rPr>
        <w:t xml:space="preserve">(e), P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75</w:t>
      </w:r>
      <w:r>
        <w:rPr>
          <w:rFonts w:ascii="Times New Roman" w:eastAsia="宋体" w:hAnsi="Times New Roman"/>
          <w:sz w:val="21"/>
          <w:szCs w:val="21"/>
        </w:rPr>
        <w:t xml:space="preserve">(e)] ,    e = 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</w:rPr>
        <w:t xml:space="preserve"> − θ)/θ ;     RelIQR = (Q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3</w:t>
      </w:r>
      <w:r>
        <w:rPr>
          <w:rFonts w:ascii="Times New Roman" w:eastAsia="宋体" w:hAnsi="Times New Roman"/>
          <w:sz w:val="21"/>
          <w:szCs w:val="21"/>
        </w:rPr>
        <w:t xml:space="preserve">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</w:rPr>
        <w:t xml:space="preserve">) − Q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1</w:t>
      </w:r>
      <w:r>
        <w:rPr>
          <w:rFonts w:ascii="Times New Roman" w:eastAsia="宋体" w:hAnsi="Times New Roman"/>
          <w:sz w:val="21"/>
          <w:szCs w:val="21"/>
        </w:rPr>
        <w:t xml:space="preserve">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</w:rPr>
        <w:t xml:space="preserve">)) / median(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</w:rPr>
        <w:t xml:space="preserve">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反映什么:</w:t>
      </w:r>
      <w:r>
        <w:rPr>
          <w:rFonts w:ascii="Times New Roman" w:eastAsia="宋体" w:hAnsi="Times New Roman"/>
          <w:sz w:val="21"/>
          <w:szCs w:val="21"/>
        </w:rPr>
        <w:t xml:space="preserve">同一方法在重复实验间的可复现性/抖动幅度,与“准不准”(中心位置)解耦。区间形式比单一数字更直观地给出“中间一半的估计落在哪”。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2.4  尾部:区间 [P5, P95] 与 P95(补上中位+IQR 的盲区)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动机:</w:t>
      </w:r>
      <w:r>
        <w:rPr>
          <w:rFonts w:ascii="Times New Roman" w:eastAsia="宋体" w:hAnsi="Times New Roman"/>
          <w:sz w:val="21"/>
          <w:szCs w:val="21"/>
        </w:rPr>
        <w:t xml:space="preserve">MdAPE 是 P50、[P25,P75] 是中间 50%,两者都“看不见”右尾;而求解率只挡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无效</w:t>
      </w:r>
      <w:r>
        <w:rPr>
          <w:rFonts w:ascii="Times New Roman" w:eastAsia="宋体" w:hAnsi="Times New Roman"/>
          <w:sz w:val="21"/>
          <w:szCs w:val="21"/>
        </w:rPr>
        <w:t xml:space="preserve">解(不收敛、边界、发散),挡不住“有效但很烂”的解。一个方法完全可能 100% 有效、中位误差很小,却有可观比例的样本误差很大。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指标:</w:t>
      </w:r>
      <w:r>
        <w:rPr>
          <w:rFonts w:ascii="Times New Roman" w:eastAsia="宋体" w:hAnsi="Times New Roman"/>
          <w:sz w:val="21"/>
          <w:szCs w:val="21"/>
        </w:rPr>
        <w:t xml:space="preserve">相对误差分布的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[P5, P95]</w:t>
      </w:r>
      <w:r>
        <w:rPr>
          <w:rFonts w:ascii="Times New Roman" w:eastAsia="宋体" w:hAnsi="Times New Roman"/>
          <w:sz w:val="21"/>
          <w:szCs w:val="21"/>
        </w:rPr>
        <w:t xml:space="preserve"> 区间 + 上尾幅度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P95(|e|)</w:t>
      </w:r>
      <w:r>
        <w:rPr>
          <w:rFonts w:ascii="Times New Roman" w:eastAsia="宋体" w:hAnsi="Times New Roman"/>
          <w:sz w:val="21"/>
          <w:szCs w:val="21"/>
        </w:rPr>
        <w:t xml:space="preserve">(必要时 P99);其中 [P25,P75] 与 [P5,P95] 即两个嵌套的区间形式辅助,分别刻画“中间一半”与“近尾”。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[P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5</w:t>
      </w:r>
      <w:r>
        <w:rPr>
          <w:rFonts w:ascii="Times New Roman" w:eastAsia="宋体" w:hAnsi="Times New Roman"/>
          <w:sz w:val="21"/>
          <w:szCs w:val="21"/>
        </w:rPr>
        <w:t xml:space="preserve">(e), P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95</w:t>
      </w:r>
      <w:r>
        <w:rPr>
          <w:rFonts w:ascii="Times New Roman" w:eastAsia="宋体" w:hAnsi="Times New Roman"/>
          <w:sz w:val="21"/>
          <w:szCs w:val="21"/>
        </w:rPr>
        <w:t xml:space="preserve">(e)] ;    P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95</w:t>
      </w:r>
      <w:r>
        <w:rPr>
          <w:rFonts w:ascii="Times New Roman" w:eastAsia="宋体" w:hAnsi="Times New Roman"/>
          <w:sz w:val="21"/>
          <w:szCs w:val="21"/>
        </w:rPr>
        <w:t xml:space="preserve">(|e|) = |e| 的第 95 百分位 ;    P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99</w:t>
      </w:r>
      <w:r>
        <w:rPr>
          <w:rFonts w:ascii="Times New Roman" w:eastAsia="宋体" w:hAnsi="Times New Roman"/>
          <w:sz w:val="21"/>
          <w:szCs w:val="21"/>
        </w:rPr>
        <w:t xml:space="preserve">(|e|) = |e| 的第 99 百分位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验证(T1c):</w:t>
      </w:r>
      <w:r>
        <w:rPr>
          <w:rFonts w:ascii="Times New Roman" w:eastAsia="宋体" w:hAnsi="Times New Roman"/>
          <w:sz w:val="21"/>
          <w:szCs w:val="21"/>
        </w:rPr>
        <w:t xml:space="preserve">构造 80% 集中(σ=5%)、20% 发散(σ=60%)的混合估计器。其 MdAPE=4.3%、RelIQR=8.6%,看上去极好;但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[P5,P95]=[−41%,+40%]、P95(|e|)=69%</w:t>
      </w:r>
      <w:r>
        <w:rPr>
          <w:rFonts w:ascii="Times New Roman" w:eastAsia="宋体" w:hAnsi="Times New Roman"/>
          <w:sz w:val="21"/>
          <w:szCs w:val="21"/>
        </w:rPr>
        <w:t xml:space="preserve">。若只报中位与 IQR,会完全错过“每十次就有一次偏 40% 以上”。这类问题在真实 MLE 中也确实出现(见 3.3,图 2)。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2.5  门槛:有效估计率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定义:</w:t>
      </w:r>
      <w:r>
        <w:rPr>
          <w:rFonts w:ascii="Times New Roman" w:eastAsia="宋体" w:hAnsi="Times New Roman"/>
          <w:sz w:val="21"/>
          <w:szCs w:val="21"/>
        </w:rPr>
        <w:t xml:space="preserve">有效估计 = 收敛 ∩ 非边界(</w:t>
      </w:r>
      <w:r>
        <w:rPr>
          <w:rFonts w:ascii="Times New Roman" w:eastAsia="宋体" w:hAnsi="Times New Roman"/>
          <w:sz w:val="21"/>
          <w:szCs w:val="21"/>
        </w:rPr>
        <w:t xml:space="preserve">γ̂</w:t>
      </w:r>
      <w:r>
        <w:rPr>
          <w:rFonts w:ascii="Times New Roman" w:eastAsia="宋体" w:hAnsi="Times New Roman"/>
          <w:sz w:val="21"/>
          <w:szCs w:val="21"/>
        </w:rPr>
        <w:t xml:space="preserve"> 未贴到样本最小值)∩ 非异常(</w:t>
      </w:r>
      <w:r>
        <w:rPr>
          <w:rFonts w:ascii="Times New Roman" w:eastAsia="宋体" w:hAnsi="Times New Roman"/>
          <w:sz w:val="21"/>
          <w:szCs w:val="21"/>
        </w:rPr>
        <w:t xml:space="preserve">β̂</w:t>
      </w:r>
      <w:r>
        <w:rPr>
          <w:rFonts w:ascii="Times New Roman" w:eastAsia="宋体" w:hAnsi="Times New Roman"/>
          <w:sz w:val="21"/>
          <w:szCs w:val="21"/>
        </w:rPr>
        <w:t xml:space="preserve">、</w:t>
      </w:r>
      <w:r>
        <w:rPr>
          <w:rFonts w:ascii="Times New Roman" w:eastAsia="宋体" w:hAnsi="Times New Roman"/>
          <w:sz w:val="21"/>
          <w:szCs w:val="21"/>
        </w:rPr>
        <w:t xml:space="preserve">η̂</w:t>
      </w:r>
      <w:r>
        <w:rPr>
          <w:rFonts w:ascii="Times New Roman" w:eastAsia="宋体" w:hAnsi="Times New Roman"/>
          <w:sz w:val="21"/>
          <w:szCs w:val="21"/>
        </w:rPr>
        <w:t xml:space="preserve"> 落在事先约定的合理范围)∩ 数值有限。有效估计率 = 有效次数 / 总次数。判定准则须在实验前固定,且所有准确性/稳定性指标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只在有效集上计算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有效估计率  r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valid</w:t>
      </w:r>
      <w:r>
        <w:rPr>
          <w:rFonts w:ascii="Times New Roman" w:eastAsia="宋体" w:hAnsi="Times New Roman"/>
          <w:sz w:val="21"/>
          <w:szCs w:val="21"/>
        </w:rPr>
        <w:t xml:space="preserve"> = (有效次数) / N ,    有效 = 收敛 ∩ 非边界 ∩ 非异常 ∩ 数值有限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为什么需要它:</w:t>
      </w:r>
      <w:r>
        <w:rPr>
          <w:rFonts w:ascii="Times New Roman" w:eastAsia="宋体" w:hAnsi="Times New Roman"/>
          <w:sz w:val="21"/>
          <w:szCs w:val="21"/>
        </w:rPr>
        <w:t xml:space="preserve">它回答“方法在多大比例情形下能给出可用的解”。验证(T6):真实概率剖面极大似然(profile maximum likelihood estimation, MLE)在 n=20 时有效率 93.8%(存在边界/异常解),n=50、100 时升至 100%。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明确边界:</w:t>
      </w:r>
      <w:r>
        <w:rPr>
          <w:rFonts w:ascii="Times New Roman" w:eastAsia="宋体" w:hAnsi="Times New Roman"/>
          <w:sz w:val="21"/>
          <w:szCs w:val="21"/>
        </w:rPr>
        <w:t xml:space="preserve">有效估计率与尾部指标分工不同——前者剔除“不算数”的解,后者刻画“算数但很差”的解;二者都需要,缺一不可。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2.6  文献陪跑与经典分解(辅助,非主)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RRMSE:</w:t>
      </w:r>
      <w:r>
        <w:rPr>
          <w:rFonts w:ascii="Times New Roman" w:eastAsia="宋体" w:hAnsi="Times New Roman"/>
          <w:sz w:val="21"/>
          <w:szCs w:val="21"/>
        </w:rPr>
        <w:t xml:space="preserve">RRMSE=√mean((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</w:rPr>
        <w:t xml:space="preserve">/θ−1)²) 是 Weibull 文献最常用的精度指标,本报告将其作为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辅助列随附</w:t>
      </w:r>
      <w:r>
        <w:rPr>
          <w:rFonts w:ascii="Times New Roman" w:eastAsia="宋体" w:hAnsi="Times New Roman"/>
          <w:sz w:val="21"/>
          <w:szCs w:val="21"/>
        </w:rPr>
        <w:t xml:space="preserve">,以便与既有文献直接对话。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为什么不作主:</w:t>
      </w:r>
      <w:r>
        <w:rPr>
          <w:rFonts w:ascii="Times New Roman" w:eastAsia="宋体" w:hAnsi="Times New Roman"/>
          <w:sz w:val="21"/>
          <w:szCs w:val="21"/>
        </w:rPr>
        <w:t xml:space="preserve">它把偏差与方差混在一个数里(T1 中它判 B 优于 A 即源于此),且作为均值平方统计量对异常解敏感(T1b 中从 30% 跳到 59%)。MdAPE 更稳健、且把大小/方向/散度分开报告,信息更清晰;但保留 RRMSE 陪跑,兼顾稳健性与可比性。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RRMSE(θ) = √( (1/N) Σ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/θ − 1)² 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经典“偏差²–方差–MSE”:</w:t>
      </w:r>
      <w:r>
        <w:rPr>
          <w:rFonts w:ascii="Times New Roman" w:eastAsia="宋体" w:hAnsi="Times New Roman"/>
          <w:sz w:val="21"/>
          <w:szCs w:val="21"/>
        </w:rPr>
        <w:t xml:space="preserve">同样作为辅助保留。它在相对/对数空间给出 MSE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=bias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²+var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 的标准分解,直通估计理论语言,便于审稿人对照。它本身是混合指标(MSE 即“想避开的混合”),故只作辅助;但其分解视角对解释“误差来自系统偏倚还是随机波动”很有价值。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bias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 = (1/N) Σ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e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;   var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 = (1/N) Σ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(e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− bias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)² ;   MSE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 = bias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² + var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 = (1/N) Σ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e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²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3  工程应用视角指标与验证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3.1  为什么需要应用视角(参数视角不能替代)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更有解释力的说法:</w:t>
      </w:r>
      <w:r>
        <w:rPr>
          <w:rFonts w:ascii="Times New Roman" w:eastAsia="宋体" w:hAnsi="Times New Roman"/>
          <w:sz w:val="21"/>
          <w:szCs w:val="21"/>
        </w:rPr>
        <w:t xml:space="preserve">参数视角与应用视角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并不独立</w:t>
      </w:r>
      <w:r>
        <w:rPr>
          <w:rFonts w:ascii="Times New Roman" w:eastAsia="宋体" w:hAnsi="Times New Roman"/>
          <w:sz w:val="21"/>
          <w:szCs w:val="21"/>
        </w:rPr>
        <w:t xml:space="preserve">——可靠寿命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=γ+η(−ln R)</w:t>
      </w:r>
      <w:r>
        <w:rPr>
          <w:rFonts w:ascii="Times New Roman" w:eastAsia="宋体" w:hAnsi="Times New Roman"/>
          <w:sz w:val="21"/>
          <w:szCs w:val="21"/>
          <w:vertAlign w:val="superscript"/>
        </w:rPr>
        <w:t xml:space="preserve">1/β</w:t>
      </w:r>
      <w:r>
        <w:rPr>
          <w:rFonts w:ascii="Times New Roman" w:eastAsia="宋体" w:hAnsi="Times New Roman"/>
          <w:sz w:val="21"/>
          <w:szCs w:val="21"/>
        </w:rPr>
        <w:t xml:space="preserve"> 是 (β,η,γ) 的确定函数,故参数的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联合误差分布完全决定了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的误差分布</w:t>
      </w:r>
      <w:r>
        <w:rPr>
          <w:rFonts w:ascii="Times New Roman" w:eastAsia="宋体" w:hAnsi="Times New Roman"/>
          <w:sz w:val="21"/>
          <w:szCs w:val="21"/>
        </w:rPr>
        <w:t xml:space="preserve">。应用视角的价值不在于“另一组独立信息”,而在于:其一,它是“按工程实际使用方式(给定 R 求寿命)做的那个投影”,直接对应决策量;其二,它能反映边际(逐参数)指标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根本看不到的误差相关性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验证(T4):</w:t>
      </w:r>
      <w:r>
        <w:rPr>
          <w:rFonts w:ascii="Times New Roman" w:eastAsia="宋体" w:hAnsi="Times New Roman"/>
          <w:sz w:val="21"/>
          <w:szCs w:val="21"/>
        </w:rPr>
        <w:t xml:space="preserve">固定 </w:t>
      </w:r>
      <w:r>
        <w:rPr>
          <w:rFonts w:ascii="Times New Roman" w:eastAsia="宋体" w:hAnsi="Times New Roman"/>
          <w:sz w:val="21"/>
          <w:szCs w:val="21"/>
        </w:rPr>
        <w:t xml:space="preserve">β̂</w:t>
      </w:r>
      <w:r>
        <w:rPr>
          <w:rFonts w:ascii="Times New Roman" w:eastAsia="宋体" w:hAnsi="Times New Roman"/>
          <w:sz w:val="21"/>
          <w:szCs w:val="21"/>
        </w:rPr>
        <w:t xml:space="preserve">、</w:t>
      </w:r>
      <w:r>
        <w:rPr>
          <w:rFonts w:ascii="Times New Roman" w:eastAsia="宋体" w:hAnsi="Times New Roman"/>
          <w:sz w:val="21"/>
          <w:szCs w:val="21"/>
        </w:rPr>
        <w:t xml:space="preserve">η̂</w:t>
      </w:r>
      <w:r>
        <w:rPr>
          <w:rFonts w:ascii="Times New Roman" w:eastAsia="宋体" w:hAnsi="Times New Roman"/>
          <w:sz w:val="21"/>
          <w:szCs w:val="21"/>
        </w:rPr>
        <w:t xml:space="preserve"> 的边际精度完全相同(RMSE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β</w:t>
      </w:r>
      <w:r>
        <w:rPr>
          <w:rFonts w:ascii="Times New Roman" w:eastAsia="宋体" w:hAnsi="Times New Roman"/>
          <w:sz w:val="21"/>
          <w:szCs w:val="21"/>
        </w:rPr>
        <w:t xml:space="preserve">≈0.45、RMSE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η</w:t>
      </w:r>
      <w:r>
        <w:rPr>
          <w:rFonts w:ascii="Times New Roman" w:eastAsia="宋体" w:hAnsi="Times New Roman"/>
          <w:sz w:val="21"/>
          <w:szCs w:val="21"/>
        </w:rPr>
        <w:t xml:space="preserve">≈130),仅改变二者误差的相关系数 ρ。x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0.99</w:t>
      </w:r>
      <w:r>
        <w:rPr>
          <w:rFonts w:ascii="Times New Roman" w:eastAsia="宋体" w:hAnsi="Times New Roman"/>
          <w:sz w:val="21"/>
          <w:szCs w:val="21"/>
        </w:rPr>
        <w:t xml:space="preserve"> 的 RRMSE 随之为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14.8%(ρ=−0.8)、21.3%(ρ=0)、26.9%(ρ=+0.8)</w:t>
      </w:r>
      <w:r>
        <w:rPr>
          <w:rFonts w:ascii="Times New Roman" w:eastAsia="宋体" w:hAnsi="Times New Roman"/>
          <w:sz w:val="21"/>
          <w:szCs w:val="21"/>
        </w:rPr>
        <w:t xml:space="preserve">。三种情形下逐参数指标一模一样,工程寿命误差却差出近一倍(图 3)。这证明:只报 β、η、γ 各自的精度无法预测寿命估计的好坏,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必须直接在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上度量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fig3_rho.png" descr="边际精度完全相同,仅 β、η 误差相关性不同,x_0.99 的误差却近乎翻倍——应用视角不可省略。" title="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Times New Roman" w:eastAsia="宋体" w:hAnsi="Times New Roman"/>
          <w:b/>
          <w:bCs/>
          <w:sz w:val="18"/>
          <w:szCs w:val="18"/>
        </w:rPr>
        <w:t xml:space="preserve">图 3  </w:t>
      </w:r>
      <w:r>
        <w:rPr>
          <w:rFonts w:ascii="Times New Roman" w:eastAsia="宋体" w:hAnsi="Times New Roman"/>
          <w:color w:val="555555"/>
          <w:sz w:val="18"/>
          <w:szCs w:val="18"/>
        </w:rPr>
        <w:t xml:space="preserve">边际精度完全相同,仅 β、η 误差相关性不同,x_0.99 的误差却近乎翻倍——应用视角不可省略。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3.2  应用视角的指标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被估量:</w:t>
      </w:r>
      <w:r>
        <w:rPr>
          <w:rFonts w:ascii="Times New Roman" w:eastAsia="宋体" w:hAnsi="Times New Roman"/>
          <w:sz w:val="21"/>
          <w:szCs w:val="21"/>
        </w:rPr>
        <w:t xml:space="preserve">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=γ+η(−ln R)</w:t>
      </w:r>
      <w:r>
        <w:rPr>
          <w:rFonts w:ascii="Times New Roman" w:eastAsia="宋体" w:hAnsi="Times New Roman"/>
          <w:sz w:val="21"/>
          <w:szCs w:val="21"/>
          <w:vertAlign w:val="superscript"/>
        </w:rPr>
        <w:t xml:space="preserve">1/β</w:t>
      </w:r>
      <w:r>
        <w:rPr>
          <w:rFonts w:ascii="Times New Roman" w:eastAsia="宋体" w:hAnsi="Times New Roman"/>
          <w:sz w:val="21"/>
          <w:szCs w:val="21"/>
        </w:rPr>
        <w:t xml:space="preserve">。对每个目标 R,报告与参数视角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同一套族</w:t>
      </w:r>
      <w:r>
        <w:rPr>
          <w:rFonts w:ascii="Times New Roman" w:eastAsia="宋体" w:hAnsi="Times New Roman"/>
          <w:sz w:val="21"/>
          <w:szCs w:val="21"/>
        </w:rPr>
        <w:t xml:space="preserve">:主指标 MdAPE,辅以中位带符号误差、[P25,P75]、[P5,P95] 与 P95。如此两视角共用同一套“读法”,学习成本低、口径一致。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3.3  为什么要多个 R,且 R 必须与数据支撑挂钩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为什么多个 R(不用单点):</w:t>
      </w:r>
      <w:r>
        <w:rPr>
          <w:rFonts w:ascii="Times New Roman" w:eastAsia="宋体" w:hAnsi="Times New Roman"/>
          <w:sz w:val="21"/>
          <w:szCs w:val="21"/>
        </w:rPr>
        <w:t xml:space="preserve">验证(T5)对 (β,η,γ) 各 +10%,看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的相对变化:+10% β 在 R=0.999 处引起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11.0%</w:t>
      </w:r>
      <w:r>
        <w:rPr>
          <w:rFonts w:ascii="Times New Roman" w:eastAsia="宋体" w:hAnsi="Times New Roman"/>
          <w:sz w:val="21"/>
          <w:szCs w:val="21"/>
        </w:rPr>
        <w:t xml:space="preserve"> 变化、在 R=0.5 处仅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1.2%</w:t>
      </w:r>
      <w:r>
        <w:rPr>
          <w:rFonts w:ascii="Times New Roman" w:eastAsia="宋体" w:hAnsi="Times New Roman"/>
          <w:sz w:val="21"/>
          <w:szCs w:val="21"/>
        </w:rPr>
        <w:t xml:space="preserve">;+10% η 在 R=0.5 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9.0%</w:t>
      </w:r>
      <w:r>
        <w:rPr>
          <w:rFonts w:ascii="Times New Roman" w:eastAsia="宋体" w:hAnsi="Times New Roman"/>
          <w:sz w:val="21"/>
          <w:szCs w:val="21"/>
        </w:rPr>
        <w:t xml:space="preserve">、在 R=0.999 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3.9%</w:t>
      </w:r>
      <w:r>
        <w:rPr>
          <w:rFonts w:ascii="Times New Roman" w:eastAsia="宋体" w:hAnsi="Times New Roman"/>
          <w:sz w:val="21"/>
          <w:szCs w:val="21"/>
        </w:rPr>
        <w:t xml:space="preserve">;+10% γ 在 R=0.999 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6.1%</w:t>
      </w:r>
      <w:r>
        <w:rPr>
          <w:rFonts w:ascii="Times New Roman" w:eastAsia="宋体" w:hAnsi="Times New Roman"/>
          <w:sz w:val="21"/>
          <w:szCs w:val="21"/>
        </w:rPr>
        <w:t xml:space="preserve">、在 R=0.5 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1.0%</w:t>
      </w:r>
      <w:r>
        <w:rPr>
          <w:rFonts w:ascii="Times New Roman" w:eastAsia="宋体" w:hAnsi="Times New Roman"/>
          <w:sz w:val="21"/>
          <w:szCs w:val="21"/>
        </w:rPr>
        <w:t xml:space="preserve">。即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不同可靠度由不同参数主导</w:t>
      </w:r>
      <w:r>
        <w:rPr>
          <w:rFonts w:ascii="Times New Roman" w:eastAsia="宋体" w:hAnsi="Times New Roman"/>
          <w:sz w:val="21"/>
          <w:szCs w:val="21"/>
        </w:rPr>
        <w:t xml:space="preserve">——只报一个 R 会系统性隐藏方法在其它区段的表现。建议标准化报告 R∈{0.50, 0.90, 0.95, 0.99, 0.999}。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R 必须与数据支撑挂钩:</w:t>
      </w:r>
      <w:r>
        <w:rPr>
          <w:rFonts w:ascii="Times New Roman" w:eastAsia="宋体" w:hAnsi="Times New Roman"/>
          <w:sz w:val="21"/>
          <w:szCs w:val="21"/>
        </w:rPr>
        <w:t xml:space="preserve">验证(T6,真实 MLE)显示,深尾分位的误差主要来自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外推</w:t>
      </w:r>
      <w:r>
        <w:rPr>
          <w:rFonts w:ascii="Times New Roman" w:eastAsia="宋体" w:hAnsi="Times New Roman"/>
          <w:sz w:val="21"/>
          <w:szCs w:val="21"/>
        </w:rPr>
        <w:t xml:space="preserve">、而非方法本身。n=50 时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的 MdAPE 从 R=0.5 的 4.4% 单调升到 R=0.999 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49.7%</w:t>
      </w:r>
      <w:r>
        <w:rPr>
          <w:rFonts w:ascii="Times New Roman" w:eastAsia="宋体" w:hAnsi="Times New Roman"/>
          <w:sz w:val="21"/>
          <w:szCs w:val="21"/>
        </w:rPr>
        <w:t xml:space="preserve">,P95(|e|) 从 12.8% 升到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144.3%</w:t>
      </w:r>
      <w:r>
        <w:rPr>
          <w:rFonts w:ascii="Times New Roman" w:eastAsia="宋体" w:hAnsi="Times New Roman"/>
          <w:sz w:val="21"/>
          <w:szCs w:val="21"/>
        </w:rPr>
        <w:t xml:space="preserve">;即便有效率 100%,深尾依旧极差。从几十个样本去估 99.9% 分位,本就是远超数据范围的外推。因此报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0.999</w:t>
      </w:r>
      <w:r>
        <w:rPr>
          <w:rFonts w:ascii="Times New Roman" w:eastAsia="宋体" w:hAnsi="Times New Roman"/>
          <w:sz w:val="21"/>
          <w:szCs w:val="21"/>
        </w:rPr>
        <w:t xml:space="preserve"> 这类点要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克制</w:t>
      </w:r>
      <w:r>
        <w:rPr>
          <w:rFonts w:ascii="Times New Roman" w:eastAsia="宋体" w:hAnsi="Times New Roman"/>
          <w:sz w:val="21"/>
          <w:szCs w:val="21"/>
        </w:rPr>
        <w:t xml:space="preserve">:不要报样本量根本撑不起的分位(经验规则:目标尾概率 1−R 不应远小于 ~1/n;估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0.999</w:t>
      </w:r>
      <w:r>
        <w:rPr>
          <w:rFonts w:ascii="Times New Roman" w:eastAsia="宋体" w:hAnsi="Times New Roman"/>
          <w:sz w:val="21"/>
          <w:szCs w:val="21"/>
        </w:rPr>
        <w:t xml:space="preserve"> 通常需数百至上千样本),否则读者会把“外推困难”误读成“方法很差”。图 2 直观展示了这一尾部增长。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1971675"/>
            <wp:effectExtent t="0" r="0" b="0" l="0"/>
            <wp:docPr id="1" name="fig2_tail.png" descr="真实 profile-MLE(n=50)。中位误差很小而上尾急剧扩大并系统性偏正(高估寿命);中位+IQR 看不见,必须补一个高分位。" title="图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Times New Roman" w:eastAsia="宋体" w:hAnsi="Times New Roman"/>
          <w:b/>
          <w:bCs/>
          <w:sz w:val="18"/>
          <w:szCs w:val="18"/>
        </w:rPr>
        <w:t xml:space="preserve">图 2  </w:t>
      </w:r>
      <w:r>
        <w:rPr>
          <w:rFonts w:ascii="Times New Roman" w:eastAsia="宋体" w:hAnsi="Times New Roman"/>
          <w:color w:val="555555"/>
          <w:sz w:val="18"/>
          <w:szCs w:val="18"/>
        </w:rPr>
        <w:t xml:space="preserve">真实 profile-MLE(n=50)。中位误差很小而上尾急剧扩大并系统性偏正(高估寿命);中位+IQR 看不见,必须补一个高分位。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3.4  方向在应用视角尤为关键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验证(T6):</w:t>
      </w:r>
      <w:r>
        <w:rPr>
          <w:rFonts w:ascii="Times New Roman" w:eastAsia="宋体" w:hAnsi="Times New Roman"/>
          <w:sz w:val="21"/>
          <w:szCs w:val="21"/>
        </w:rPr>
        <w:t xml:space="preserve">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的方向在高 R 处系统性为正且很大——n=50 时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0.999</w:t>
      </w:r>
      <w:r>
        <w:rPr>
          <w:rFonts w:ascii="Times New Roman" w:eastAsia="宋体" w:hAnsi="Times New Roman"/>
          <w:sz w:val="21"/>
          <w:szCs w:val="21"/>
        </w:rPr>
        <w:t xml:space="preserve"> 的中位方向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+27.7%</w:t>
      </w:r>
      <w:r>
        <w:rPr>
          <w:rFonts w:ascii="Times New Roman" w:eastAsia="宋体" w:hAnsi="Times New Roman"/>
          <w:sz w:val="21"/>
          <w:szCs w:val="21"/>
        </w:rPr>
        <w:t xml:space="preserve">、均值方向 +23.8%。这意味着方法在深尾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系统性高估寿命</w:t>
      </w:r>
      <w:r>
        <w:rPr>
          <w:rFonts w:ascii="Times New Roman" w:eastAsia="宋体" w:hAnsi="Times New Roman"/>
          <w:sz w:val="21"/>
          <w:szCs w:val="21"/>
        </w:rPr>
        <w:t xml:space="preserve">,在可靠性设计里是偏危险的方向(高估寿命→低估失效风险)。这再次说明方向指标必须单列,且在工程语境下尤需关注其符号。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3.5  可选:命中率(有明确容差时)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若工程上存在明确的可接受相对误差容差 τ(例如 ±10%),可加报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命中率 HR(τ) = P(|e| &lt; τ)</w:t>
      </w:r>
      <w:r>
        <w:rPr>
          <w:rFonts w:ascii="Times New Roman" w:eastAsia="宋体" w:hAnsi="Times New Roman"/>
          <w:sz w:val="21"/>
          <w:szCs w:val="21"/>
        </w:rPr>
        <w:t xml:space="preserve">,作为应用视角最直观的“通过/不通过”型并列主指标。无明确容差时不必引入,以免人为设定阈值。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HR(τ) = (1/N) Σ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𝟙[ |e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| &lt; τ ]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4  训练损失:不是第四个指标,而是视角的可微投影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4.1  框架:损失 = 所选视角准确性指标的“可微 + 均值 + 平方”版本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你已决定按“参数”还是“工程寿命”衡量准确性;训练损失只需是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同一目标的可微形态</w:t>
      </w:r>
      <w:r>
        <w:rPr>
          <w:rFonts w:ascii="Times New Roman" w:eastAsia="宋体" w:hAnsi="Times New Roman"/>
          <w:sz w:val="21"/>
          <w:szCs w:val="21"/>
        </w:rPr>
        <w:t xml:space="preserve">,无需另立标准: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评价视角是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参数恢复</w:t>
      </w:r>
      <w:r>
        <w:rPr>
          <w:rFonts w:ascii="Times New Roman" w:eastAsia="宋体" w:hAnsi="Times New Roman"/>
          <w:sz w:val="21"/>
          <w:szCs w:val="21"/>
        </w:rPr>
        <w:t xml:space="preserve"> → 损失用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log-参数 MSE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评价视角是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工程寿命</w:t>
      </w:r>
      <w:r>
        <w:rPr>
          <w:rFonts w:ascii="Times New Roman" w:eastAsia="宋体" w:hAnsi="Times New Roman"/>
          <w:sz w:val="21"/>
          <w:szCs w:val="21"/>
        </w:rPr>
        <w:t xml:space="preserve"> → 损失用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log-分位 MSE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两者都重要 → 二者加权。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与评价的唯一差别是聚合形态:评价用中位+绝对值(稳健、可读),训练用均值+平方(可微、对尾部敏感),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两者同处相对/对数空间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可行性结论:</w:t>
      </w:r>
      <w:r>
        <w:rPr>
          <w:rFonts w:ascii="Times New Roman" w:eastAsia="宋体" w:hAnsi="Times New Roman"/>
          <w:sz w:val="21"/>
          <w:szCs w:val="21"/>
        </w:rPr>
        <w:t xml:space="preserve">这个写法不仅可行,而且比“把损失当第四类独立指标”更自洽——它把“训练用什么”直接锚定到“评价关心什么”,并让平方损失的尾部敏感性补上中位评价指标的尾部盲区。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4.2  基础损失:log-参数 MSE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L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param</w:t>
      </w:r>
      <w:r>
        <w:rPr>
          <w:rFonts w:ascii="Times New Roman" w:eastAsia="宋体" w:hAnsi="Times New Roman"/>
          <w:sz w:val="21"/>
          <w:szCs w:val="21"/>
        </w:rPr>
        <w:t xml:space="preserve"> = (ln </w:t>
      </w:r>
      <w:r>
        <w:rPr>
          <w:rFonts w:ascii="Times New Roman" w:eastAsia="宋体" w:hAnsi="Times New Roman"/>
          <w:sz w:val="21"/>
          <w:szCs w:val="21"/>
        </w:rPr>
        <w:t xml:space="preserve">β̂</w:t>
      </w:r>
      <w:r>
        <w:rPr>
          <w:rFonts w:ascii="Times New Roman" w:eastAsia="宋体" w:hAnsi="Times New Roman"/>
          <w:sz w:val="21"/>
          <w:szCs w:val="21"/>
        </w:rPr>
        <w:t xml:space="preserve"> − ln β)² + (ln </w:t>
      </w:r>
      <w:r>
        <w:rPr>
          <w:rFonts w:ascii="Times New Roman" w:eastAsia="宋体" w:hAnsi="Times New Roman"/>
          <w:sz w:val="21"/>
          <w:szCs w:val="21"/>
        </w:rPr>
        <w:t xml:space="preserve">η̂</w:t>
      </w:r>
      <w:r>
        <w:rPr>
          <w:rFonts w:ascii="Times New Roman" w:eastAsia="宋体" w:hAnsi="Times New Roman"/>
          <w:sz w:val="21"/>
          <w:szCs w:val="21"/>
        </w:rPr>
        <w:t xml:space="preserve"> − ln η)² + ((</w:t>
      </w:r>
      <w:r>
        <w:rPr>
          <w:rFonts w:ascii="Times New Roman" w:eastAsia="宋体" w:hAnsi="Times New Roman"/>
          <w:sz w:val="21"/>
          <w:szCs w:val="21"/>
        </w:rPr>
        <w:t xml:space="preserve">γ̂</w:t>
      </w:r>
      <w:r>
        <w:rPr>
          <w:rFonts w:ascii="Times New Roman" w:eastAsia="宋体" w:hAnsi="Times New Roman"/>
          <w:sz w:val="21"/>
          <w:szCs w:val="21"/>
        </w:rPr>
        <w:t xml:space="preserve"> − γ)/η)²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前两项在对数空间度量 β、η 的相对误差(均值平方形态),第三项以尺度 η 归一处理可能为 0 的 γ,与评价指标的 γ 处理一致。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4.3  为什么用它,为什么不用别的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不用原尺度 MSE((</w:t>
      </w:r>
      <w:r>
        <w:rPr>
          <w:rFonts w:ascii="Times New Roman" w:eastAsia="宋体" w:hAnsi="Times New Roman"/>
          <w:sz w:val="21"/>
          <w:szCs w:val="21"/>
        </w:rPr>
        <w:t xml:space="preserve">β̂</w:t>
      </w:r>
      <w:r>
        <w:rPr>
          <w:rFonts w:ascii="Times New Roman" w:eastAsia="宋体" w:hAnsi="Times New Roman"/>
          <w:sz w:val="21"/>
          <w:szCs w:val="21"/>
        </w:rPr>
        <w:t xml:space="preserve">−β)²+(</w:t>
      </w:r>
      <w:r>
        <w:rPr>
          <w:rFonts w:ascii="Times New Roman" w:eastAsia="宋体" w:hAnsi="Times New Roman"/>
          <w:sz w:val="21"/>
          <w:szCs w:val="21"/>
        </w:rPr>
        <w:t xml:space="preserve">η̂</w:t>
      </w:r>
      <w:r>
        <w:rPr>
          <w:rFonts w:ascii="Times New Roman" w:eastAsia="宋体" w:hAnsi="Times New Roman"/>
          <w:sz w:val="21"/>
          <w:szCs w:val="21"/>
        </w:rPr>
        <w:t xml:space="preserve">−η)²+(</w:t>
      </w:r>
      <w:r>
        <w:rPr>
          <w:rFonts w:ascii="Times New Roman" w:eastAsia="宋体" w:hAnsi="Times New Roman"/>
          <w:sz w:val="21"/>
          <w:szCs w:val="21"/>
        </w:rPr>
        <w:t xml:space="preserve">γ̂</w:t>
      </w:r>
      <w:r>
        <w:rPr>
          <w:rFonts w:ascii="Times New Roman" w:eastAsia="宋体" w:hAnsi="Times New Roman"/>
          <w:sz w:val="21"/>
          <w:szCs w:val="21"/>
        </w:rPr>
        <w:t xml:space="preserve">−γ)²):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量纲依赖(T2,决定性)——</w:t>
      </w:r>
      <w:r>
        <w:rPr>
          <w:rFonts w:ascii="Times New Roman" w:eastAsia="宋体" w:hAnsi="Times New Roman"/>
          <w:sz w:val="21"/>
          <w:szCs w:val="21"/>
        </w:rPr>
        <w:t xml:space="preserve">同一组各 10% 的相对误差,把 η、γ 的时间单位从“小时”换成“千小时”,原尺度 MSE 中 β 的占比从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0.0006% 跳到 86.0%</w:t>
      </w:r>
      <w:r>
        <w:rPr>
          <w:rFonts w:ascii="Times New Roman" w:eastAsia="宋体" w:hAnsi="Times New Roman"/>
          <w:sz w:val="21"/>
          <w:szCs w:val="21"/>
        </w:rPr>
        <w:t xml:space="preserve">、η 的占比从 99.0% 降到 13.8%;而相对/对数空间恒为约 33/33/33。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一个会随单位改变含义的损失不可接受。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梯度失衡(T7 机制)——</w:t>
      </w:r>
      <w:r>
        <w:rPr>
          <w:rFonts w:ascii="Times New Roman" w:eastAsia="宋体" w:hAnsi="Times New Roman"/>
          <w:sz w:val="21"/>
          <w:szCs w:val="21"/>
        </w:rPr>
        <w:t xml:space="preserve">在 +10% 误差处,原尺度 MSE 对 η 输出的梯度幅度约为对 β 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450 倍</w:t>
      </w:r>
      <w:r>
        <w:rPr>
          <w:rFonts w:ascii="Times New Roman" w:eastAsia="宋体" w:hAnsi="Times New Roman"/>
          <w:sz w:val="21"/>
          <w:szCs w:val="21"/>
        </w:rPr>
        <w:t xml:space="preserve">(η 主导);log 参数损失把各参数的相对梯度拉平(比值约 0.002,实为按 1/参数 归一,使“相对误差等量齐观”)。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诚实更正(T7 实证)——</w:t>
      </w:r>
      <w:r>
        <w:rPr>
          <w:rFonts w:ascii="Times New Roman" w:eastAsia="宋体" w:hAnsi="Times New Roman"/>
          <w:sz w:val="21"/>
          <w:szCs w:val="21"/>
        </w:rPr>
        <w:t xml:space="preserve">需澄清:此前文档里那张“log 参数 MSE 给出 0.00% 误差”的对比表,是把真 log 参数直接当理想目标喂进去的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恒等式式 sanity check</w:t>
      </w:r>
      <w:r>
        <w:rPr>
          <w:rFonts w:ascii="Times New Roman" w:eastAsia="宋体" w:hAnsi="Times New Roman"/>
          <w:sz w:val="21"/>
          <w:szCs w:val="21"/>
        </w:rPr>
        <w:t xml:space="preserve">——能说明量纲论点,但不能作为损失有效性的实证。为补上真正实证,本报告用同一套特征、同一网络结构、同一初始化、同一优化器即自适应矩估计(Adaptive Moment Estimation, Adam),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只切换损失</w:t>
      </w:r>
      <w:r>
        <w:rPr>
          <w:rFonts w:ascii="Times New Roman" w:eastAsia="宋体" w:hAnsi="Times New Roman"/>
          <w:sz w:val="21"/>
          <w:szCs w:val="21"/>
        </w:rPr>
        <w:t xml:space="preserve">,真实训练后在留出集比较:原尺度 MSE 得 {β 9.6%, η 5.7%, γ 4.3%,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0.90</w:t>
      </w:r>
      <w:r>
        <w:rPr>
          <w:rFonts w:ascii="Times New Roman" w:eastAsia="宋体" w:hAnsi="Times New Roman"/>
          <w:sz w:val="21"/>
          <w:szCs w:val="21"/>
        </w:rPr>
        <w:t xml:space="preserve"> 7.0%},log 参数 MSE 得 {β 8.7%, η 7.0%, γ 4.6%,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0.90</w:t>
      </w:r>
      <w:r>
        <w:rPr>
          <w:rFonts w:ascii="Times New Roman" w:eastAsia="宋体" w:hAnsi="Times New Roman"/>
          <w:sz w:val="21"/>
          <w:szCs w:val="21"/>
        </w:rPr>
        <w:t xml:space="preserve"> 6.8%}(均为 MdAPE,图 4)。结论是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权衡而非灾难</w:t>
      </w:r>
      <w:r>
        <w:rPr>
          <w:rFonts w:ascii="Times New Roman" w:eastAsia="宋体" w:hAnsi="Times New Roman"/>
          <w:sz w:val="21"/>
          <w:szCs w:val="21"/>
        </w:rPr>
        <w:t xml:space="preserve">:原尺度损失把精度堆在大尺度的 η 上、牺牲 β;log 损失更均衡、在 β 上更好,工程寿命基本打平。在带自适应优化器(Adam 按坐标重标定梯度)的现实训练里,原尺度 MSE 并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不会</w:t>
      </w:r>
      <w:r>
        <w:rPr>
          <w:rFonts w:ascii="Times New Roman" w:eastAsia="宋体" w:hAnsi="Times New Roman"/>
          <w:sz w:val="21"/>
          <w:szCs w:val="21"/>
        </w:rPr>
        <w:t xml:space="preserve">让 β“学不出来”——之前文档对其失效程度有所夸大。故选 log 参数 MSE 的真正理由是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量纲不变性 + 与评价指标同空间 + 跨优化器稳健</w:t>
      </w:r>
      <w:r>
        <w:rPr>
          <w:rFonts w:ascii="Times New Roman" w:eastAsia="宋体" w:hAnsi="Times New Roman"/>
          <w:sz w:val="21"/>
          <w:szCs w:val="21"/>
        </w:rPr>
        <w:t xml:space="preserve">,而非某种训练崩溃。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不用负对数似然(Negative Log-Likelihood, NLL)/对数似然作主——</w:t>
      </w:r>
      <w:r>
        <w:rPr>
          <w:rFonts w:ascii="Times New Roman" w:eastAsia="宋体" w:hAnsi="Times New Roman"/>
          <w:sz w:val="21"/>
          <w:szCs w:val="21"/>
        </w:rPr>
        <w:t xml:space="preserve">NLL 适合直接对原始(可含删失)样本建模;但当网络直接输出 (β,η,γ) 或寿命分位、且评价用相对误差时,NLL 与评价目标不在同一度量上,既非必要也不对齐。可在原始/删失样本场景作为补充损失。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NLL = − Σ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宋体" w:hAnsi="Times New Roman"/>
          <w:sz w:val="21"/>
          <w:szCs w:val="21"/>
        </w:rPr>
        <w:t xml:space="preserve"> [ ln β − β ln η + (β−1) ln(t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宋体" w:hAnsi="Times New Roman"/>
          <w:sz w:val="21"/>
          <w:szCs w:val="21"/>
        </w:rPr>
        <w:t xml:space="preserve">−γ) − ((t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宋体" w:hAnsi="Times New Roman"/>
          <w:sz w:val="21"/>
          <w:szCs w:val="21"/>
        </w:rPr>
        <w:t xml:space="preserve">−γ)/η)</w:t>
      </w:r>
      <w:r>
        <w:rPr>
          <w:rFonts w:ascii="Times New Roman" w:eastAsia="宋体" w:hAnsi="Times New Roman"/>
          <w:sz w:val="21"/>
          <w:szCs w:val="21"/>
          <w:vertAlign w:val="superscript"/>
        </w:rPr>
        <w:t xml:space="preserve">β</w:t>
      </w:r>
      <w:r>
        <w:rPr>
          <w:rFonts w:ascii="Times New Roman" w:eastAsia="宋体" w:hAnsi="Times New Roman"/>
          <w:sz w:val="21"/>
          <w:szCs w:val="21"/>
        </w:rPr>
        <w:t xml:space="preserve"> ]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(右删失观测仅保留生存项 ((t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宋体" w:hAnsi="Times New Roman"/>
          <w:sz w:val="21"/>
          <w:szCs w:val="21"/>
        </w:rPr>
        <w:t xml:space="preserve">−γ)/η)</w:t>
      </w:r>
      <w:r>
        <w:rPr>
          <w:rFonts w:ascii="Times New Roman" w:eastAsia="宋体" w:hAnsi="Times New Roman"/>
          <w:sz w:val="21"/>
          <w:szCs w:val="21"/>
          <w:vertAlign w:val="superscript"/>
        </w:rPr>
        <w:t xml:space="preserve">β</w:t>
      </w:r>
      <w:r>
        <w:rPr>
          <w:rFonts w:ascii="Times New Roman" w:eastAsia="宋体" w:hAnsi="Times New Roman"/>
          <w:sz w:val="21"/>
          <w:szCs w:val="21"/>
        </w:rPr>
        <w:t xml:space="preserve">,即 −ln S(t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eastAsia="宋体" w:hAnsi="Times New Roman"/>
          <w:color w:val="555555"/>
          <w:sz w:val="19"/>
          <w:szCs w:val="19"/>
        </w:rPr>
        <w:t xml:space="preserve">),不计前面的密度项。)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不用一致性指数(Concordance Index, C-index)等排序型指标作损失——</w:t>
      </w:r>
      <w:r>
        <w:rPr>
          <w:rFonts w:ascii="Times New Roman" w:eastAsia="宋体" w:hAnsi="Times New Roman"/>
          <w:sz w:val="21"/>
          <w:szCs w:val="21"/>
        </w:rPr>
        <w:t xml:space="preserve">它度量风险排序的一致性,而非参数或寿命的数值准确性,与本任务目标不符。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fig4_loss.png" descr="左:+10% 误差处的梯度幅度,原尺度下 η 压过 β 约 450×,log 参数则均衡。右:真实训练(Adam,收敛)是权衡而非灾难。" title="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Times New Roman" w:eastAsia="宋体" w:hAnsi="Times New Roman"/>
          <w:b/>
          <w:bCs/>
          <w:sz w:val="18"/>
          <w:szCs w:val="18"/>
        </w:rPr>
        <w:t xml:space="preserve">图 4  </w:t>
      </w:r>
      <w:r>
        <w:rPr>
          <w:rFonts w:ascii="Times New Roman" w:eastAsia="宋体" w:hAnsi="Times New Roman"/>
          <w:color w:val="555555"/>
          <w:sz w:val="18"/>
          <w:szCs w:val="18"/>
        </w:rPr>
        <w:t xml:space="preserve">左:+10% 误差处的梯度幅度,原尺度下 η 压过 β 约 450×,log 参数则均衡。右:真实训练(Adam,收敛)是权衡而非灾难。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4.4  进阶损失(可选,按视角加权)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L = λ·L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param</w:t>
      </w:r>
      <w:r>
        <w:rPr>
          <w:rFonts w:ascii="Times New Roman" w:eastAsia="宋体" w:hAnsi="Times New Roman"/>
          <w:sz w:val="21"/>
          <w:szCs w:val="21"/>
        </w:rPr>
        <w:t xml:space="preserve"> + (1−λ)·Σ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w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(ln </w:t>
      </w:r>
      <w:r>
        <w:rPr>
          <w:rFonts w:ascii="Times New Roman" w:eastAsia="宋体" w:hAnsi="Times New Roman"/>
          <w:sz w:val="21"/>
          <w:szCs w:val="21"/>
        </w:rPr>
        <w:t xml:space="preserve">x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− ln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)²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分位项在对数空间度量寿命相对误差,w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为各可靠度权重(依工程关注点设置),λ∈[0.5, 0.7](默认 0.5)。</w:t>
      </w:r>
      <w:r>
        <w:rPr>
          <w:rFonts w:ascii="Times New Roman" w:eastAsia="宋体" w:hAnsi="Times New Roman"/>
          <w:sz w:val="21"/>
          <w:szCs w:val="21"/>
        </w:rPr>
        <w:t xml:space="preserve">λ 越小越偏向工程寿命、越大越偏向参数恢复——这正是 4.1“视角切换”在损失里的连续体现。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5  补充情景测试(五个独立情景验证)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本节用五个与第 2–4 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不重复</w:t>
      </w:r>
      <w:r>
        <w:rPr>
          <w:rFonts w:ascii="Times New Roman" w:eastAsia="宋体" w:hAnsi="Times New Roman"/>
          <w:sz w:val="21"/>
          <w:szCs w:val="21"/>
        </w:rPr>
        <w:t xml:space="preserve">的独立情景,进一步检验本套指标的科学性。每个情景给出条件、结果与结论;所有测试固定随机种子、可复现。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5.1  情景 S1:中位与 IQR 看不见“有效但很烂”的尾部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条件:</w:t>
      </w:r>
      <w:r>
        <w:rPr>
          <w:rFonts w:ascii="Times New Roman" w:eastAsia="宋体" w:hAnsi="Times New Roman"/>
          <w:sz w:val="21"/>
          <w:szCs w:val="21"/>
        </w:rPr>
        <w:t xml:space="preserve">构造两个对 η 的估计器(真值归一)。方法 A 为高斯相对误差;方法 B 为“紧核 + 重尾”混合(88% 窄 + 12% 宽),并调到与 A 的 MdAPE 相等。各 40 万次重复。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结果:</w:t>
      </w:r>
      <w:r>
        <w:rPr>
          <w:rFonts w:ascii="Times New Roman" w:eastAsia="宋体" w:hAnsi="Times New Roman"/>
          <w:sz w:val="21"/>
          <w:szCs w:val="21"/>
        </w:rPr>
        <w:t xml:space="preserve">二者 MdAPE 均为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10.1%</w:t>
      </w:r>
      <w:r>
        <w:rPr>
          <w:rFonts w:ascii="Times New Roman" w:eastAsia="宋体" w:hAnsi="Times New Roman"/>
          <w:sz w:val="21"/>
          <w:szCs w:val="21"/>
        </w:rPr>
        <w:t xml:space="preserve">、方向均为 0%、RelIQR 均为 20.2%(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三项完全打平</w:t>
      </w:r>
      <w:r>
        <w:rPr>
          <w:rFonts w:ascii="Times New Roman" w:eastAsia="宋体" w:hAnsi="Times New Roman"/>
          <w:sz w:val="21"/>
          <w:szCs w:val="21"/>
        </w:rPr>
        <w:t xml:space="preserve">);但 B 的尾部显著更差——P95(|e|)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45.2%</w:t>
      </w:r>
      <w:r>
        <w:rPr>
          <w:rFonts w:ascii="Times New Roman" w:eastAsia="宋体" w:hAnsi="Times New Roman"/>
          <w:sz w:val="21"/>
          <w:szCs w:val="21"/>
        </w:rPr>
        <w:t xml:space="preserve"> vs A 的 29.4%,P99(|e|)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95.9%</w:t>
      </w:r>
      <w:r>
        <w:rPr>
          <w:rFonts w:ascii="Times New Roman" w:eastAsia="宋体" w:hAnsi="Times New Roman"/>
          <w:sz w:val="21"/>
          <w:szCs w:val="21"/>
        </w:rPr>
        <w:t xml:space="preserve"> vs 38.6%,[P5,P95] 也更宽。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结论:</w:t>
      </w:r>
      <w:r>
        <w:rPr>
          <w:rFonts w:ascii="Times New Roman" w:eastAsia="宋体" w:hAnsi="Times New Roman"/>
          <w:sz w:val="21"/>
          <w:szCs w:val="21"/>
        </w:rPr>
        <w:t xml:space="preserve">仅凭主指标、方向、稳定性三者,A 与 B 无法区分;只有尾部区间/分位能正确判出 B 风险更高。这印证尾部辅助(2.4)是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排序的必需项</w:t>
      </w:r>
      <w:r>
        <w:rPr>
          <w:rFonts w:ascii="Times New Roman" w:eastAsia="宋体" w:hAnsi="Times New Roman"/>
          <w:sz w:val="21"/>
          <w:szCs w:val="21"/>
        </w:rPr>
        <w:t xml:space="preserve">,而非锦上添花。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figS1_tie.png" descr="S1:A 与 B 在 MdAPE / 方向 / RelIQR 上完全打平(虚线为 P95),只有尾部指标揭示 B 风险远高。" title="图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Times New Roman" w:eastAsia="宋体" w:hAnsi="Times New Roman"/>
          <w:b/>
          <w:bCs/>
          <w:sz w:val="18"/>
          <w:szCs w:val="18"/>
        </w:rPr>
        <w:t xml:space="preserve">图 5  </w:t>
      </w:r>
      <w:r>
        <w:rPr>
          <w:rFonts w:ascii="Times New Roman" w:eastAsia="宋体" w:hAnsi="Times New Roman"/>
          <w:color w:val="555555"/>
          <w:sz w:val="18"/>
          <w:szCs w:val="18"/>
        </w:rPr>
        <w:t xml:space="preserve">S1:A 与 B 在 MdAPE / 方向 / RelIQR 上完全打平(虚线为 P95),只有尾部指标揭示 B 风险远高。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5.2  情景 S2:样本量增大时整套指标应单调改善(一致性检验)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条件:</w:t>
      </w:r>
      <w:r>
        <w:rPr>
          <w:rFonts w:ascii="Times New Roman" w:eastAsia="宋体" w:hAnsi="Times New Roman"/>
          <w:sz w:val="21"/>
          <w:szCs w:val="21"/>
        </w:rPr>
        <w:t xml:space="preserve">真实概率剖面极大似然(profile maximum likelihood),n=20/40/80/160/320,各 1000 次,观察 η 的整套指标随 n 的行为。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00"/>
        <w:gridCol w:w="1500"/>
        <w:gridCol w:w="1560"/>
        <w:gridCol w:w="1560"/>
        <w:gridCol w:w="1680"/>
      </w:tblGrid>
      <w:tr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有效估计率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MdAPE</w:t>
            </w:r>
          </w:p>
        </w:tc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RelIQR</w:t>
            </w:r>
          </w:p>
        </w:tc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P95(|e|)</w:t>
            </w:r>
          </w:p>
        </w:tc>
        <w:tc>
          <w:tcPr>
            <w:tcW w:type="dxa" w:w="16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RRMSE(陪跑)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94.1%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24.3%</w:t>
            </w:r>
          </w:p>
        </w:tc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46.8%</w:t>
            </w:r>
          </w:p>
        </w:tc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142.8%</w:t>
            </w:r>
          </w:p>
        </w:tc>
        <w:tc>
          <w:tcPr>
            <w:tcW w:type="dxa" w:w="16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57.3%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15.2%</w:t>
            </w:r>
          </w:p>
        </w:tc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28.1%</w:t>
            </w:r>
          </w:p>
        </w:tc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42.4%</w:t>
            </w:r>
          </w:p>
        </w:tc>
        <w:tc>
          <w:tcPr>
            <w:tcW w:type="dxa" w:w="16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25.8%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10.1%</w:t>
            </w:r>
          </w:p>
        </w:tc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18.9%</w:t>
            </w:r>
          </w:p>
        </w:tc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27.4%</w:t>
            </w:r>
          </w:p>
        </w:tc>
        <w:tc>
          <w:tcPr>
            <w:tcW w:type="dxa" w:w="16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14.6%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6.4%</w:t>
            </w:r>
          </w:p>
        </w:tc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12.4%</w:t>
            </w:r>
          </w:p>
        </w:tc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18.6%</w:t>
            </w:r>
          </w:p>
        </w:tc>
        <w:tc>
          <w:tcPr>
            <w:tcW w:type="dxa" w:w="16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9.8%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4.0%</w:t>
            </w:r>
          </w:p>
        </w:tc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8.0%</w:t>
            </w:r>
          </w:p>
        </w:tc>
        <w:tc>
          <w:tcPr>
            <w:tcW w:type="dxa" w:w="15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12.0%</w:t>
            </w:r>
          </w:p>
        </w:tc>
        <w:tc>
          <w:tcPr>
            <w:tcW w:type="dxa" w:w="16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6.1%</w:t>
            </w:r>
          </w:p>
        </w:tc>
      </w:tr>
    </w:tbl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结果与结论:</w:t>
      </w:r>
      <w:r>
        <w:rPr>
          <w:rFonts w:ascii="Times New Roman" w:eastAsia="宋体" w:hAnsi="Times New Roman"/>
          <w:sz w:val="21"/>
          <w:szCs w:val="21"/>
        </w:rPr>
        <w:t xml:space="preserve">随 n 增大,MdAPE、RelIQR、P95(|e|) 全部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单调下降</w:t>
      </w:r>
      <w:r>
        <w:rPr>
          <w:rFonts w:ascii="Times New Roman" w:eastAsia="宋体" w:hAnsi="Times New Roman"/>
          <w:sz w:val="21"/>
          <w:szCs w:val="21"/>
        </w:rPr>
        <w:t xml:space="preserve">,有效估计率升到 100%。作为对照,均值族 RRMSE 在小样本被异常解放大(n=20 时 57.3%,是 MdAPE 的 2.4 倍)、更“跳”。一个合格的准确性指标必须满足“数据越多越准”的一致性——本套指标全部通过;且中位族 MdAPE 比 RRMSE 更平滑稳健,再次支持以中位族为主、RRMSE 仅作陪跑。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5.3  情景 S3:相同 MdAPE 也可能有不同的工程命中率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条件:</w:t>
      </w:r>
      <w:r>
        <w:rPr>
          <w:rFonts w:ascii="Times New Roman" w:eastAsia="宋体" w:hAnsi="Times New Roman"/>
          <w:sz w:val="21"/>
          <w:szCs w:val="21"/>
        </w:rPr>
        <w:t xml:space="preserve">容差 τ=±10%。方法 C 为高斯误差(MdAPE=8%);方法 D 为不同形状的混合,调到 MdAPE 同为 8%。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结果:</w:t>
      </w:r>
      <w:r>
        <w:rPr>
          <w:rFonts w:ascii="Times New Roman" w:eastAsia="宋体" w:hAnsi="Times New Roman"/>
          <w:sz w:val="21"/>
          <w:szCs w:val="21"/>
        </w:rPr>
        <w:t xml:space="preserve">两者 MdAPE 都是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8.0%</w:t>
      </w:r>
      <w:r>
        <w:rPr>
          <w:rFonts w:ascii="Times New Roman" w:eastAsia="宋体" w:hAnsi="Times New Roman"/>
          <w:sz w:val="21"/>
          <w:szCs w:val="21"/>
        </w:rPr>
        <w:t xml:space="preserve">,但落在 ±10% 容差内的命中率不同——C 为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60.2%</w:t>
      </w:r>
      <w:r>
        <w:rPr>
          <w:rFonts w:ascii="Times New Roman" w:eastAsia="宋体" w:hAnsi="Times New Roman"/>
          <w:sz w:val="21"/>
          <w:szCs w:val="21"/>
        </w:rPr>
        <w:t xml:space="preserve">、D 为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55.5%</w:t>
      </w:r>
      <w:r>
        <w:rPr>
          <w:rFonts w:ascii="Times New Roman" w:eastAsia="宋体" w:hAnsi="Times New Roman"/>
          <w:sz w:val="21"/>
          <w:szCs w:val="21"/>
        </w:rPr>
        <w:t xml:space="preserve">;且 D 的尾部更差(P95 58.5% vs 23.2%)。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结论:</w:t>
      </w:r>
      <w:r>
        <w:rPr>
          <w:rFonts w:ascii="Times New Roman" w:eastAsia="宋体" w:hAnsi="Times New Roman"/>
          <w:sz w:val="21"/>
          <w:szCs w:val="21"/>
        </w:rPr>
        <w:t xml:space="preserve">“典型误差幅度相同”不等于“工程可接受比例相同”。命中率是与 MdAPE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正交</w:t>
      </w:r>
      <w:r>
        <w:rPr>
          <w:rFonts w:ascii="Times New Roman" w:eastAsia="宋体" w:hAnsi="Times New Roman"/>
          <w:sz w:val="21"/>
          <w:szCs w:val="21"/>
        </w:rPr>
        <w:t xml:space="preserve">、且决策最直观的一个轴;在有明确容差时把它列为应用视角的并列主指标(3.5)是有依据的。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5.4  情景 S4:同样的 |误差|、相反的符号 → 相反方向的寿命误差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条件:</w:t>
      </w:r>
      <w:r>
        <w:rPr>
          <w:rFonts w:ascii="Times New Roman" w:eastAsia="宋体" w:hAnsi="Times New Roman"/>
          <w:sz w:val="21"/>
          <w:szCs w:val="21"/>
        </w:rPr>
        <w:t xml:space="preserve">仅 β 偏 +10% 与 −10%(η、γ 精确),两者 β 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|MdAPE| 同为 10%</w:t>
      </w:r>
      <w:r>
        <w:rPr>
          <w:rFonts w:ascii="Times New Roman" w:eastAsia="宋体" w:hAnsi="Times New Roman"/>
          <w:sz w:val="21"/>
          <w:szCs w:val="21"/>
        </w:rPr>
        <w:t xml:space="preserve">。计算其对寿命分位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的影响。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可靠度 R</w:t>
            </w:r>
          </w:p>
        </w:tc>
        <w:tc>
          <w:tcPr>
            <w:tcW w:type="dxa" w:w="34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β 高估 +10% → x_R 误差</w:t>
            </w:r>
          </w:p>
        </w:tc>
        <w:tc>
          <w:tcPr>
            <w:tcW w:type="dxa" w:w="34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β 低估 −10% → x_R 误差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34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color w:val="B3473D"/>
                <w:sz w:val="18"/>
                <w:szCs w:val="18"/>
              </w:rPr>
              <w:t xml:space="preserve">+1.2%</w:t>
            </w:r>
          </w:p>
        </w:tc>
        <w:tc>
          <w:tcPr>
            <w:tcW w:type="dxa" w:w="34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color w:val="3C7A5A"/>
                <w:sz w:val="18"/>
                <w:szCs w:val="18"/>
              </w:rPr>
              <w:t xml:space="preserve">−1.4%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34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color w:val="B3473D"/>
                <w:sz w:val="18"/>
                <w:szCs w:val="18"/>
              </w:rPr>
              <w:t xml:space="preserve">+6.8%</w:t>
            </w:r>
          </w:p>
        </w:tc>
        <w:tc>
          <w:tcPr>
            <w:tcW w:type="dxa" w:w="34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color w:val="3C7A5A"/>
                <w:sz w:val="18"/>
                <w:szCs w:val="18"/>
              </w:rPr>
              <w:t xml:space="preserve">−7.6%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0.95</w:t>
            </w:r>
          </w:p>
        </w:tc>
        <w:tc>
          <w:tcPr>
            <w:tcW w:type="dxa" w:w="34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color w:val="B3473D"/>
                <w:sz w:val="18"/>
                <w:szCs w:val="18"/>
              </w:rPr>
              <w:t xml:space="preserve">+8.6%</w:t>
            </w:r>
          </w:p>
        </w:tc>
        <w:tc>
          <w:tcPr>
            <w:tcW w:type="dxa" w:w="34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color w:val="3C7A5A"/>
                <w:sz w:val="18"/>
                <w:szCs w:val="18"/>
              </w:rPr>
              <w:t xml:space="preserve">−9.3%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0.99</w:t>
            </w:r>
          </w:p>
        </w:tc>
        <w:tc>
          <w:tcPr>
            <w:tcW w:type="dxa" w:w="34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color w:val="B3473D"/>
                <w:sz w:val="18"/>
                <w:szCs w:val="18"/>
              </w:rPr>
              <w:t xml:space="preserve">+11.2%</w:t>
            </w:r>
          </w:p>
        </w:tc>
        <w:tc>
          <w:tcPr>
            <w:tcW w:type="dxa" w:w="34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color w:val="3C7A5A"/>
                <w:sz w:val="18"/>
                <w:szCs w:val="18"/>
              </w:rPr>
              <w:t xml:space="preserve">−11.3%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34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color w:val="B3473D"/>
                <w:sz w:val="18"/>
                <w:szCs w:val="18"/>
              </w:rPr>
              <w:t xml:space="preserve">+11.0%</w:t>
            </w:r>
          </w:p>
        </w:tc>
        <w:tc>
          <w:tcPr>
            <w:tcW w:type="dxa" w:w="34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color w:val="3C7A5A"/>
                <w:sz w:val="18"/>
                <w:szCs w:val="18"/>
              </w:rPr>
              <w:t xml:space="preserve">−10.2%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5715000" cy="2819400"/>
            <wp:effectExtent t="0" r="0" b="0" l="0"/>
            <wp:docPr id="1" name="figS4_sign.png" descr="S4:β 的 ±10% 偏差给出相同 |MdAPE|,却在各 R 处产生方向相反的寿命误差(红=抬高寿命/危险,绿=保守/安全)。" title="图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Times New Roman" w:eastAsia="宋体" w:hAnsi="Times New Roman"/>
          <w:b/>
          <w:bCs/>
          <w:sz w:val="18"/>
          <w:szCs w:val="18"/>
        </w:rPr>
        <w:t xml:space="preserve">图 6  </w:t>
      </w:r>
      <w:r>
        <w:rPr>
          <w:rFonts w:ascii="Times New Roman" w:eastAsia="宋体" w:hAnsi="Times New Roman"/>
          <w:color w:val="555555"/>
          <w:sz w:val="18"/>
          <w:szCs w:val="18"/>
        </w:rPr>
        <w:t xml:space="preserve">S4:β 的 ±10% 偏差给出相同 |MdAPE|,却在各 R 处产生方向相反的寿命误差(红=抬高寿命/危险,绿=保守/安全)。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结论:</w:t>
      </w:r>
      <w:r>
        <w:rPr>
          <w:rFonts w:ascii="Times New Roman" w:eastAsia="宋体" w:hAnsi="Times New Roman"/>
          <w:sz w:val="21"/>
          <w:szCs w:val="21"/>
        </w:rPr>
        <w:t xml:space="preserve">纯幅度指标(MdAPE)对两者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打同分</w:t>
      </w:r>
      <w:r>
        <w:rPr>
          <w:rFonts w:ascii="Times New Roman" w:eastAsia="宋体" w:hAnsi="Times New Roman"/>
          <w:sz w:val="21"/>
          <w:szCs w:val="21"/>
        </w:rPr>
        <w:t xml:space="preserve">,完全无法区分“抬高寿命=危险”与“偏保守=安全”;只有带符号方向指标能识别危险的一侧。这就是逐参数必须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同时报“幅度(MdAPE)+ 方向(带符号中位)”</w:t>
      </w:r>
      <w:r>
        <w:rPr>
          <w:rFonts w:ascii="Times New Roman" w:eastAsia="宋体" w:hAnsi="Times New Roman"/>
          <w:sz w:val="21"/>
          <w:szCs w:val="21"/>
        </w:rPr>
        <w:t xml:space="preserve">的直接数值证据,也正面回答了“为什么 MdAPE 不带正负、为什么不只用一个带符号指标”。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5.5  情景 S5:加权综合评分会把“危险方法”排到“安全方法”前面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条件:</w:t>
      </w:r>
      <w:r>
        <w:rPr>
          <w:rFonts w:ascii="Times New Roman" w:eastAsia="宋体" w:hAnsi="Times New Roman"/>
          <w:sz w:val="21"/>
          <w:szCs w:val="21"/>
        </w:rPr>
        <w:t xml:space="preserve">方法 X 中心极好(90% 误差很小)但有 10% 灾难性大误差;方法 Y 全程中等但尾部良好。用一个“看似合理”的加权综合分(0.5·MdAPE + 0.3·RelIQR + 0.2·|方向|,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不含尾部</w:t>
      </w:r>
      <w:r>
        <w:rPr>
          <w:rFonts w:ascii="Times New Roman" w:eastAsia="宋体" w:hAnsi="Times New Roman"/>
          <w:sz w:val="21"/>
          <w:szCs w:val="21"/>
        </w:rPr>
        <w:t xml:space="preserve">,越小越好)排序。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结果:</w:t>
      </w:r>
      <w:r>
        <w:rPr>
          <w:rFonts w:ascii="Times New Roman" w:eastAsia="宋体" w:hAnsi="Times New Roman"/>
          <w:sz w:val="21"/>
          <w:szCs w:val="21"/>
        </w:rPr>
        <w:t xml:space="preserve">综合分判 X(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0.042</w:t>
      </w:r>
      <w:r>
        <w:rPr>
          <w:rFonts w:ascii="Times New Roman" w:eastAsia="宋体" w:hAnsi="Times New Roman"/>
          <w:sz w:val="21"/>
          <w:szCs w:val="21"/>
        </w:rPr>
        <w:t xml:space="preserve">)优于 Y(0.097);但 X 的尾部是灾难性的——P95(|e|)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53.7%</w:t>
      </w:r>
      <w:r>
        <w:rPr>
          <w:rFonts w:ascii="Times New Roman" w:eastAsia="宋体" w:hAnsi="Times New Roman"/>
          <w:sz w:val="21"/>
          <w:szCs w:val="21"/>
        </w:rPr>
        <w:t xml:space="preserve">、P99(|e|)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131.3%</w:t>
      </w:r>
      <w:r>
        <w:rPr>
          <w:rFonts w:ascii="Times New Roman" w:eastAsia="宋体" w:hAnsi="Times New Roman"/>
          <w:sz w:val="21"/>
          <w:szCs w:val="21"/>
        </w:rPr>
        <w:t xml:space="preserve">,而 Y 仅 25.5% / 33.5%。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结论:</w:t>
      </w:r>
      <w:r>
        <w:rPr>
          <w:rFonts w:ascii="Times New Roman" w:eastAsia="宋体" w:hAnsi="Times New Roman"/>
          <w:sz w:val="21"/>
          <w:szCs w:val="21"/>
        </w:rPr>
        <w:t xml:space="preserve">把多个分项加权成一个标量、且不含尾部时,会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系统性地把危险方法排在前面</w:t>
      </w:r>
      <w:r>
        <w:rPr>
          <w:rFonts w:ascii="Times New Roman" w:eastAsia="宋体" w:hAnsi="Times New Roman"/>
          <w:sz w:val="21"/>
          <w:szCs w:val="21"/>
        </w:rPr>
        <w:t xml:space="preserve">。这印证本报告“不以综合评分为主指标、而是分项展示并让尾部/求解率把关”的决定(附录 A);也说明尾部分位要取得足够高(对稀有灾难需看 P99)。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6  全部测试汇总(条件 / 内容 / 结果 / 结论)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所有测试均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固定随机种子、可复现</w:t>
      </w:r>
      <w:r>
        <w:rPr>
          <w:rFonts w:ascii="Times New Roman" w:eastAsia="宋体" w:hAnsi="Times New Roman"/>
          <w:sz w:val="21"/>
          <w:szCs w:val="21"/>
        </w:rPr>
        <w:t xml:space="preserve">。下表汇总,图 1–4 给出关键图示。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640"/>
        <w:gridCol w:w="2440"/>
        <w:gridCol w:w="2620"/>
        <w:gridCol w:w="1900"/>
      </w:tblGrid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条件 / 内容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关键结果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为何大小/方向/稳定要分开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构造 A(无偏 σ30%)与 B(偏 −15% σ10%)两个 η 估计器,N=4 万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A:RRMSE 30.1%/方向 −0.3%;B:RRMSE 18.0%/方向 −15.0%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混合指标 RRMSE 判 B 更优却藏住致命偏倚 → 必须分项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T1b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为何主指标用中位非均值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向 A 注入 2% 离谱解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MdAPE 20.3→20.8%;均值|e| 24→30.5%;RRMSE 30→59%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中位对异常解稳健,均值族不稳健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T1c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为何要尾部分位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80% σ5% + 20% σ60% 混合估计器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MdAPE 4.3%/RelIQR 8.6%,但 [P5,P95]=[−41%,+40%]、P95|e| 69%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中位+IQR 看不见右尾 → 必加 [P5,P95]/P95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为何相对/对数,不用原尺度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各 10% 相对误差,切换小时↔千小时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β 占比 0.0006%↔86%;相对空间恒 ~33/33/33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原尺度 MSE 随单位改变含义 → 用相对/对数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T3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 γ 用 /η 归一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γ=100、σ=50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除以 γ:[P5,P95]=[−81%,+82%]、2.1% 堆在 −100%;除以 η:[−8%,+8%]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γ 可能为 0 且相对误差病态 → 用 η 归一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T4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为何需要应用视角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固定边际 RMSE,变误差相关 ρ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x_0.99 RRMSE:14.8% / 21.3% / 26.9%(ρ=−0.8/0/+0.8)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逐参数指标相同而寿命误差近翻倍 → 应用视角不可省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T5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为何多个 R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(β,η,γ) 各 +10% 看 x_R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+10%β:R0.999→11% vs R0.5→1.2%;+10%η:R0.5→9% vs R0.999→3.9%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不同 R 由不同参数主导 → 需多 R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T6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真实 MLE 全貌:尾部+数据支撑+方向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profile-MLE,β2.5/η1000/γ100,n=20/50/100,各 2000 次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n=50:η MdAPE 13.7%、有效率 100%;x_R MdAPE 4.4%→49.7%、P95|e| 13%→144%、高 R 方向 +27.7%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尾部远差于中位且系统高估寿命;深尾是外推 → 克制报高 R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T7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损失:为何 log 参数 MSE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同特征/结构/初始化/优化器,仅换损失;另算梯度幅度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梯度 η:β=450(raw) vs 0.002(log);训练 raw{β9.6,η5.7}/log{β8.7,η7.0}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量纲不变+同空间是真正理由;Adam 下 raw 非崩溃而是权衡(纠正旧表)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为何尾部能在“打平”时分胜负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A 高斯 vs B 紧核+重尾,调到 MdAPE 相等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MdAPE/方向/RelIQR 全打平;P95|e| 29% vs 45%、P99|e| 39% vs 96%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尾部是排序的必需项,不只是补充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整套指标随 n 的一致性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真实 MLE,n=20→320,各 1000 次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MdAPE 24→4%、P95|e| 143→12% 单调降,有效率→100%;RRMSE 小样本被放大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指标通过“越多越准”一致性;MdAPE 比 RRMSE 更平滑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相同 MdAPE 也有不同命中率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C 高斯 vs D 混合,调到 MdAPE 相等,τ=10%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MdAPE 同 8%,但命中率 60.2% vs 55.5%、尾部 23% vs 58%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命中率是与 MdAPE 正交的工程轴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为何方向必须带符号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β +10% vs −10%,|MdAPE| 同为 10%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x_R 误差全正(+1.2~+11%)vs 全负(−1.4~−11%),幅度同符号反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纯幅度无法分辨危险/保守 → 须报带符号方向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为何不用综合评分作主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X(中心好/10% 灾难)vs Y(中等/尾好),加权综合分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综合分判 X 优(0.042&lt;0.097),但 X P95|e| 54%、P99|e| 131%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综合分掩盖尾部风险 → 分项展示,尾部把关</w:t>
            </w:r>
          </w:p>
        </w:tc>
      </w:tr>
    </w:tbl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7  落地清单(拿来即用)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参数视角:</w:t>
      </w:r>
      <w:r>
        <w:rPr>
          <w:rFonts w:ascii="Times New Roman" w:eastAsia="宋体" w:hAnsi="Times New Roman"/>
          <w:sz w:val="21"/>
          <w:szCs w:val="21"/>
        </w:rPr>
        <w:t xml:space="preserve">主 MdAPE(β、η 各一;γ 用 MdAE/η);方向 中位带符号误差;稳定 [P25,P75](RelIQR);尾部 [P5,P95] 与 P95;门槛 有效估计率。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工程应用视角:</w:t>
      </w:r>
      <w:r>
        <w:rPr>
          <w:rFonts w:ascii="Times New Roman" w:eastAsia="宋体" w:hAnsi="Times New Roman"/>
          <w:sz w:val="21"/>
          <w:szCs w:val="21"/>
        </w:rPr>
        <w:t xml:space="preserve">对 R∈{0.50, 0.90, 0.95, 0.99, 0.999} 各报上述同一套,且只报样本量撑得起的分位;高 R 重点看 P95 与方向(警惕系统高估寿命)。可选:有容差 τ 时加报命中率。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训练损失:</w:t>
      </w:r>
      <w:r>
        <w:rPr>
          <w:rFonts w:ascii="Times New Roman" w:eastAsia="宋体" w:hAnsi="Times New Roman"/>
          <w:sz w:val="21"/>
          <w:szCs w:val="21"/>
        </w:rPr>
        <w:t xml:space="preserve">基础 log-参数 MSE;需兼顾工程寿命时用 λ·L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param</w:t>
      </w:r>
      <w:r>
        <w:rPr>
          <w:rFonts w:ascii="Times New Roman" w:eastAsia="宋体" w:hAnsi="Times New Roman"/>
          <w:sz w:val="21"/>
          <w:szCs w:val="21"/>
        </w:rPr>
        <w:t xml:space="preserve">+(1−λ)·Σ w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(ln </w:t>
      </w:r>
      <w:r>
        <w:rPr>
          <w:rFonts w:ascii="Times New Roman" w:eastAsia="宋体" w:hAnsi="Times New Roman"/>
          <w:sz w:val="21"/>
          <w:szCs w:val="21"/>
        </w:rPr>
        <w:t xml:space="preserve">x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−ln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)²(λ 默认 0.5)。原始/删失样本可加 NLL。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全局辅助:</w:t>
      </w:r>
      <w:r>
        <w:rPr>
          <w:rFonts w:ascii="Times New Roman" w:eastAsia="宋体" w:hAnsi="Times New Roman"/>
          <w:sz w:val="21"/>
          <w:szCs w:val="21"/>
        </w:rPr>
        <w:t xml:space="preserve">随附 RRMSE 与经典 偏差²–方差–MSE(相对空间),供文献对话与理论对照。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适用范围:</w:t>
      </w:r>
      <w:r>
        <w:rPr>
          <w:rFonts w:ascii="Times New Roman" w:eastAsia="宋体" w:hAnsi="Times New Roman"/>
          <w:sz w:val="21"/>
          <w:szCs w:val="21"/>
        </w:rPr>
        <w:t xml:space="preserve">以上准确性度量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只在真值已知</w:t>
      </w:r>
      <w:r>
        <w:rPr>
          <w:rFonts w:ascii="Times New Roman" w:eastAsia="宋体" w:hAnsi="Times New Roman"/>
          <w:sz w:val="21"/>
          <w:szCs w:val="21"/>
        </w:rPr>
        <w:t xml:space="preserve">(蒙特卡洛 / 仿真训练)时使用,且仿真设定须匹配目标场景;真实数据仅评拟合优度。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附录 A  可选脚手架:综合评分与裁决规则(默认不纳入主流程)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为兼顾“保留原文档中值得参考的设计”,此处保留综合评分与多层裁决规则备查,但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默认不作主指标</w:t>
      </w:r>
      <w:r>
        <w:rPr>
          <w:rFonts w:ascii="Times New Roman" w:eastAsia="宋体" w:hAnsi="Times New Roman"/>
          <w:sz w:val="21"/>
          <w:szCs w:val="21"/>
        </w:rPr>
        <w:t xml:space="preserve">,原因有二:其一,它与“简单又好用”的目标相悖;其二,把多个分项加权成一个标量,会让分项问题互相掩盖(T1 已表明混合指标如何藏住系统偏倚)。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如确需单一汇总分用于排序,建议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仅在已通过稳定性/求解率/尾部门槛的方法之间</w:t>
      </w:r>
      <w:r>
        <w:rPr>
          <w:rFonts w:ascii="Times New Roman" w:eastAsia="宋体" w:hAnsi="Times New Roman"/>
          <w:sz w:val="21"/>
          <w:szCs w:val="21"/>
        </w:rPr>
        <w:t xml:space="preserve">,用主指标 MdAPE 的简单聚合(如对各参数、各 R 的 MdAPE 取最大或加权平均)进行,且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始终与分项指标并列展示、不替代之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888888"/>
        <w:sz w:val="16"/>
        <w:szCs w:val="16"/>
      </w:rPr>
      <w:t xml:space="preserve">第 </w:t>
    </w:r>
    <w:r>
      <w:rPr>
        <w:rFonts w:ascii="Times New Roman" w:eastAsia="宋体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Times New Roman" w:eastAsia="宋体" w:hAnsi="Times New Roman"/>
        <w:color w:val="888888"/>
        <w:sz w:val="16"/>
        <w:szCs w:val="16"/>
      </w:rPr>
      <w:t xml:space="preserve">三参数 Weibull 参数估计准确性评价指标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eastAsia="黑体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eastAsia="黑体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50"/>
      <w:outlineLvl w:val="2"/>
    </w:pPr>
    <w:rPr>
      <w:rFonts w:ascii="Arial" w:eastAsia="黑体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173db128284b704d4ba6fb9bf186046fc70468.png"/><Relationship Id="rId10" Type="http://schemas.openxmlformats.org/officeDocument/2006/relationships/image" Target="media/9137568cbc201c44eb6eb0524a7785c65b7beac2.png"/><Relationship Id="rId11" Type="http://schemas.openxmlformats.org/officeDocument/2006/relationships/image" Target="media/265936567811d97787c1ee4e38cf13263e853a6b.png"/><Relationship Id="rId12" Type="http://schemas.openxmlformats.org/officeDocument/2006/relationships/image" Target="media/423d12b5219f1f1e4313c4cd27a394cf375b8dab.png"/><Relationship Id="rId13" Type="http://schemas.openxmlformats.org/officeDocument/2006/relationships/image" Target="media/bae33340fa12be9115a01be62cc7ca3b8fda8a26.png"/><Relationship Id="rId14" Type="http://schemas.openxmlformats.org/officeDocument/2006/relationships/image" Target="media/df8b5aee6eb38294c1fa472587c3f6da11b19b2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三参数 Weibull 参数估计准确性评价指标:统一方案与实证论证</dc:title>
  <dc:creator>Claude</dc:creator>
  <cp:lastModifiedBy>Un-named</cp:lastModifiedBy>
  <cp:revision>1</cp:revision>
  <dcterms:created xsi:type="dcterms:W3CDTF">2026-06-01T06:25:40.581Z</dcterms:created>
  <dcterms:modified xsi:type="dcterms:W3CDTF">2026-06-01T06:25:40.590Z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