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B5E50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1. 制定标准化规范</w:t>
      </w:r>
    </w:p>
    <w:p w14:paraId="4FCA5DB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首先，要确定标准，</w:t>
      </w:r>
      <w:r>
        <w:rPr>
          <w:rFonts w:hint="eastAsia" w:ascii="微软雅黑" w:hAnsi="微软雅黑" w:eastAsia="微软雅黑" w:cs="微软雅黑"/>
          <w:sz w:val="24"/>
          <w:szCs w:val="32"/>
        </w:rPr>
        <w:t>选定标准波长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的</w:t>
      </w:r>
      <w:r>
        <w:rPr>
          <w:rFonts w:hint="eastAsia" w:ascii="微软雅黑" w:hAnsi="微软雅黑" w:eastAsia="微软雅黑" w:cs="微软雅黑"/>
          <w:sz w:val="24"/>
          <w:szCs w:val="32"/>
        </w:rPr>
        <w:t>范围和固定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的</w:t>
      </w:r>
      <w:r>
        <w:rPr>
          <w:rFonts w:hint="eastAsia" w:ascii="微软雅黑" w:hAnsi="微软雅黑" w:eastAsia="微软雅黑" w:cs="微软雅黑"/>
          <w:sz w:val="24"/>
          <w:szCs w:val="32"/>
        </w:rPr>
        <w:t>分辨率。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然后利用</w:t>
      </w:r>
      <w:r>
        <w:rPr>
          <w:rFonts w:hint="eastAsia" w:ascii="微软雅黑" w:hAnsi="微软雅黑" w:eastAsia="微软雅黑" w:cs="微软雅黑"/>
          <w:sz w:val="24"/>
          <w:szCs w:val="32"/>
        </w:rPr>
        <w:t>算法将数据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放</w:t>
      </w:r>
      <w:r>
        <w:rPr>
          <w:rFonts w:hint="eastAsia" w:ascii="微软雅黑" w:hAnsi="微软雅黑" w:eastAsia="微软雅黑" w:cs="微软雅黑"/>
          <w:sz w:val="24"/>
          <w:szCs w:val="32"/>
        </w:rPr>
        <w:t>到这个统一的网格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中</w:t>
      </w:r>
      <w:r>
        <w:rPr>
          <w:rFonts w:hint="eastAsia" w:ascii="微软雅黑" w:hAnsi="微软雅黑" w:eastAsia="微软雅黑" w:cs="微软雅黑"/>
          <w:sz w:val="24"/>
          <w:szCs w:val="32"/>
        </w:rPr>
        <w:t>。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再利用归一化方法来</w:t>
      </w:r>
      <w:r>
        <w:rPr>
          <w:rFonts w:hint="eastAsia" w:ascii="微软雅黑" w:hAnsi="微软雅黑" w:eastAsia="微软雅黑" w:cs="微软雅黑"/>
          <w:sz w:val="24"/>
          <w:szCs w:val="32"/>
        </w:rPr>
        <w:t>消除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误差干扰，保证</w:t>
      </w:r>
      <w:r>
        <w:rPr>
          <w:rFonts w:hint="eastAsia" w:ascii="微软雅黑" w:hAnsi="微软雅黑" w:eastAsia="微软雅黑" w:cs="微软雅黑"/>
          <w:sz w:val="24"/>
          <w:szCs w:val="32"/>
        </w:rPr>
        <w:t>所有谱图都在同一量级上比较。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同时还要</w:t>
      </w:r>
      <w:r>
        <w:rPr>
          <w:rFonts w:hint="eastAsia" w:ascii="微软雅黑" w:hAnsi="微软雅黑" w:eastAsia="微软雅黑" w:cs="微软雅黑"/>
          <w:sz w:val="24"/>
          <w:szCs w:val="32"/>
        </w:rPr>
        <w:t>设计一套元数据字段，记录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要</w:t>
      </w:r>
      <w:r>
        <w:rPr>
          <w:rFonts w:hint="eastAsia" w:ascii="微软雅黑" w:hAnsi="微软雅黑" w:eastAsia="微软雅黑" w:cs="微软雅黑"/>
          <w:sz w:val="24"/>
          <w:szCs w:val="32"/>
        </w:rPr>
        <w:t>包含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有关材料的具体信息，方便后续检索和分析</w:t>
      </w:r>
      <w:r>
        <w:rPr>
          <w:rFonts w:hint="eastAsia" w:ascii="微软雅黑" w:hAnsi="微软雅黑" w:eastAsia="微软雅黑" w:cs="微软雅黑"/>
          <w:sz w:val="24"/>
          <w:szCs w:val="32"/>
        </w:rPr>
        <w:t>。</w:t>
      </w:r>
    </w:p>
    <w:p w14:paraId="3D3A6DA7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2. 构建处理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流程</w:t>
      </w:r>
      <w:bookmarkStart w:id="0" w:name="_GoBack"/>
      <w:bookmarkEnd w:id="0"/>
    </w:p>
    <w:p w14:paraId="7B0CD2D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color w:val="FF0000"/>
          <w:sz w:val="24"/>
          <w:szCs w:val="32"/>
        </w:rPr>
        <w:t>针对老化谱图图片，</w:t>
      </w:r>
      <w:r>
        <w:rPr>
          <w:rFonts w:hint="eastAsia" w:ascii="微软雅黑" w:hAnsi="微软雅黑" w:eastAsia="微软雅黑" w:cs="微软雅黑"/>
          <w:color w:val="FF0000"/>
          <w:sz w:val="24"/>
          <w:szCs w:val="32"/>
          <w:lang w:val="en-US" w:eastAsia="zh-CN"/>
        </w:rPr>
        <w:t>通过对照</w:t>
      </w:r>
      <w:r>
        <w:rPr>
          <w:rFonts w:hint="eastAsia" w:ascii="微软雅黑" w:hAnsi="微软雅黑" w:eastAsia="微软雅黑" w:cs="微软雅黑"/>
          <w:color w:val="FF0000"/>
          <w:sz w:val="24"/>
          <w:szCs w:val="32"/>
        </w:rPr>
        <w:t>标准映射表</w:t>
      </w:r>
      <w:r>
        <w:rPr>
          <w:rFonts w:hint="eastAsia" w:ascii="微软雅黑" w:hAnsi="微软雅黑" w:eastAsia="微软雅黑" w:cs="微软雅黑"/>
          <w:color w:val="FF0000"/>
          <w:sz w:val="24"/>
          <w:szCs w:val="32"/>
          <w:lang w:val="en-US" w:eastAsia="zh-CN"/>
        </w:rPr>
        <w:t>和使用</w:t>
      </w:r>
      <w:r>
        <w:rPr>
          <w:rFonts w:hint="eastAsia" w:ascii="微软雅黑" w:hAnsi="微软雅黑" w:eastAsia="微软雅黑" w:cs="微软雅黑"/>
          <w:color w:val="FF0000"/>
          <w:sz w:val="24"/>
          <w:szCs w:val="32"/>
        </w:rPr>
        <w:t>WebPlotDigitize在线工具的半自动化提取方案</w:t>
      </w:r>
      <w:r>
        <w:rPr>
          <w:rFonts w:hint="eastAsia" w:ascii="微软雅黑" w:hAnsi="微软雅黑" w:eastAsia="微软雅黑" w:cs="微软雅黑"/>
          <w:color w:val="FF0000"/>
          <w:sz w:val="24"/>
          <w:szCs w:val="32"/>
          <w:lang w:eastAsia="zh-CN"/>
        </w:rPr>
        <w:t>。</w:t>
      </w:r>
      <w:r>
        <w:rPr>
          <w:rFonts w:hint="eastAsia" w:ascii="微软雅黑" w:hAnsi="微软雅黑" w:eastAsia="微软雅黑" w:cs="微软雅黑"/>
          <w:color w:val="FF0000"/>
          <w:sz w:val="24"/>
          <w:szCs w:val="32"/>
        </w:rPr>
        <w:t>先建立材料类型与外部数据库坐标标准的</w:t>
      </w:r>
      <w:r>
        <w:rPr>
          <w:rFonts w:hint="eastAsia" w:ascii="微软雅黑" w:hAnsi="微软雅黑" w:eastAsia="微软雅黑" w:cs="微软雅黑"/>
          <w:color w:val="FF0000"/>
          <w:sz w:val="24"/>
          <w:szCs w:val="32"/>
          <w:lang w:val="en-US" w:eastAsia="zh-CN"/>
        </w:rPr>
        <w:t>对应</w:t>
      </w:r>
      <w:r>
        <w:rPr>
          <w:rFonts w:hint="eastAsia" w:ascii="微软雅黑" w:hAnsi="微软雅黑" w:eastAsia="微软雅黑" w:cs="微软雅黑"/>
          <w:color w:val="FF0000"/>
          <w:sz w:val="24"/>
          <w:szCs w:val="32"/>
        </w:rPr>
        <w:t>关系</w:t>
      </w:r>
      <w:r>
        <w:rPr>
          <w:rFonts w:hint="eastAsia" w:ascii="微软雅黑" w:hAnsi="微软雅黑" w:eastAsia="微软雅黑" w:cs="微软雅黑"/>
          <w:color w:val="FF0000"/>
          <w:sz w:val="24"/>
          <w:szCs w:val="32"/>
          <w:lang w:eastAsia="zh-CN"/>
        </w:rPr>
        <w:t>，</w:t>
      </w:r>
      <w:r>
        <w:rPr>
          <w:rFonts w:hint="eastAsia" w:ascii="微软雅黑" w:hAnsi="微软雅黑" w:eastAsia="微软雅黑" w:cs="微软雅黑"/>
          <w:color w:val="FF0000"/>
          <w:sz w:val="24"/>
          <w:szCs w:val="32"/>
        </w:rPr>
        <w:t>处理时依据映射表校准坐标轴，利用工具复用参数</w:t>
      </w:r>
      <w:r>
        <w:rPr>
          <w:rFonts w:hint="eastAsia" w:ascii="微软雅黑" w:hAnsi="微软雅黑" w:eastAsia="微软雅黑" w:cs="微软雅黑"/>
          <w:color w:val="FF0000"/>
          <w:sz w:val="24"/>
          <w:szCs w:val="32"/>
          <w:lang w:val="en-US" w:eastAsia="zh-CN"/>
        </w:rPr>
        <w:t>的功能</w:t>
      </w:r>
      <w:r>
        <w:rPr>
          <w:rFonts w:hint="eastAsia" w:ascii="微软雅黑" w:hAnsi="微软雅黑" w:eastAsia="微软雅黑" w:cs="微软雅黑"/>
          <w:color w:val="FF0000"/>
          <w:sz w:val="24"/>
          <w:szCs w:val="32"/>
        </w:rPr>
        <w:t>，批量提取特征峰波长与强度数据</w:t>
      </w:r>
      <w:r>
        <w:rPr>
          <w:rFonts w:hint="eastAsia" w:ascii="微软雅黑" w:hAnsi="微软雅黑" w:eastAsia="微软雅黑" w:cs="微软雅黑"/>
          <w:color w:val="FF0000"/>
          <w:sz w:val="24"/>
          <w:szCs w:val="32"/>
          <w:lang w:eastAsia="zh-CN"/>
        </w:rPr>
        <w:t>。</w:t>
      </w:r>
      <w:r>
        <w:rPr>
          <w:rFonts w:hint="eastAsia" w:ascii="微软雅黑" w:hAnsi="微软雅黑" w:eastAsia="微软雅黑" w:cs="微软雅黑"/>
          <w:color w:val="FF0000"/>
          <w:sz w:val="24"/>
          <w:szCs w:val="32"/>
        </w:rPr>
        <w:t>最终输出CSV文件，预计百张图谱可在10小时内完成转化</w:t>
      </w:r>
      <w:r>
        <w:rPr>
          <w:rFonts w:hint="eastAsia" w:ascii="微软雅黑" w:hAnsi="微软雅黑" w:eastAsia="微软雅黑" w:cs="微软雅黑"/>
          <w:color w:val="FF0000"/>
          <w:sz w:val="24"/>
          <w:szCs w:val="32"/>
          <w:lang w:eastAsia="zh-CN"/>
        </w:rPr>
        <w:t>。</w:t>
      </w:r>
      <w:r>
        <w:rPr>
          <w:rFonts w:hint="eastAsia" w:ascii="微软雅黑" w:hAnsi="微软雅黑" w:eastAsia="微软雅黑" w:cs="微软雅黑"/>
          <w:sz w:val="24"/>
          <w:szCs w:val="32"/>
        </w:rPr>
        <w:t>使用Python、Numpy、Scipy等工具编写自动化脚本，建立兼容多格式光谱文件的解析接口，自动提取波长与强度数组。在数据清洗阶段，嵌入动态峰值识别及阈值过滤机制：首先读取数据库中的平滑系数与噪音阈值配置，应用滤波算法去除高频毛刺并校正基线倾斜</w:t>
      </w:r>
      <w:r>
        <w:rPr>
          <w:rFonts w:hint="eastAsia" w:ascii="微软雅黑" w:hAnsi="微软雅黑" w:eastAsia="微软雅黑" w:cs="微软雅黑"/>
          <w:sz w:val="24"/>
          <w:szCs w:val="32"/>
          <w:lang w:eastAsia="zh-CN"/>
        </w:rPr>
        <w:t>。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再</w:t>
      </w:r>
      <w:r>
        <w:rPr>
          <w:rFonts w:hint="eastAsia" w:ascii="微软雅黑" w:hAnsi="微软雅黑" w:eastAsia="微软雅黑" w:cs="微软雅黑"/>
          <w:sz w:val="24"/>
          <w:szCs w:val="32"/>
        </w:rPr>
        <w:t>依据突出度与最小强度阈值，自动剔除无效波动，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更好定位</w:t>
      </w:r>
      <w:r>
        <w:rPr>
          <w:rFonts w:hint="eastAsia" w:ascii="微软雅黑" w:hAnsi="微软雅黑" w:eastAsia="微软雅黑" w:cs="微软雅黑"/>
          <w:sz w:val="24"/>
          <w:szCs w:val="32"/>
        </w:rPr>
        <w:t>有效特征峰的位置与高度。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同时</w:t>
      </w:r>
      <w:r>
        <w:rPr>
          <w:rFonts w:hint="eastAsia" w:ascii="微软雅黑" w:hAnsi="微软雅黑" w:eastAsia="微软雅黑" w:cs="微软雅黑"/>
          <w:sz w:val="24"/>
          <w:szCs w:val="32"/>
        </w:rPr>
        <w:t>针对长序列数据，将经过去噪</w:t>
      </w:r>
      <w:r>
        <w:rPr>
          <w:rFonts w:hint="eastAsia" w:ascii="微软雅黑" w:hAnsi="微软雅黑" w:eastAsia="微软雅黑" w:cs="微软雅黑"/>
          <w:sz w:val="24"/>
          <w:szCs w:val="32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32"/>
        </w:rPr>
        <w:t>校正</w:t>
      </w: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和</w:t>
      </w:r>
      <w:r>
        <w:rPr>
          <w:rFonts w:hint="eastAsia" w:ascii="微软雅黑" w:hAnsi="微软雅黑" w:eastAsia="微软雅黑" w:cs="微软雅黑"/>
          <w:sz w:val="24"/>
          <w:szCs w:val="32"/>
        </w:rPr>
        <w:t>峰值提取后的高质量光谱数组序列化为二进制流存储。该流程不仅大幅压缩了数据库体积，更确保了输入比对环节的数据纯净度与特征准确性，为后续相似度计算提供可靠基准。</w:t>
      </w:r>
    </w:p>
    <w:p w14:paraId="1DC02DE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kern w:val="0"/>
          <w:sz w:val="28"/>
          <w:szCs w:val="28"/>
          <w:lang w:val="en-US" w:eastAsia="zh-CN" w:bidi="ar"/>
        </w:rPr>
        <w:t>3. 引入峰值识别及阈值机制</w:t>
      </w:r>
    </w:p>
    <w:p w14:paraId="2C2DF50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建立动态阈值配置表与标准特征峰指纹库，将最小强度、突出度等判断标准存入数据库而非硬编码。在处理流程中，先依据配置参数对数据进行平滑去噪与有效峰提取，再执行整体形状相似度与关键主峰匹配的双重验证逻辑。通过核对数据是否命中数据库中预设的主峰位置及容差范围，实现对干扰的精准过滤与物质特征的确认。</w:t>
      </w:r>
    </w:p>
    <w:p w14:paraId="0155F1CE">
      <w:pPr>
        <w:pStyle w:val="2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sz w:val="28"/>
          <w:szCs w:val="28"/>
        </w:rPr>
        <w:t>. 设计部署SQLite 架构</w:t>
      </w:r>
    </w:p>
    <w:p w14:paraId="3070B084">
      <w:pPr>
        <w:pStyle w:val="3"/>
        <w:keepNext w:val="0"/>
        <w:keepLines w:val="0"/>
        <w:widowControl/>
        <w:suppressLineNumbers w:val="0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轻量级的sqlite可以帮助更好拷贝数据和跑通代码。同时，利用</w:t>
      </w:r>
      <w:r>
        <w:rPr>
          <w:rFonts w:hint="eastAsia" w:ascii="微软雅黑" w:hAnsi="微软雅黑" w:eastAsia="微软雅黑" w:cs="微软雅黑"/>
          <w:sz w:val="24"/>
          <w:szCs w:val="24"/>
        </w:rPr>
        <w:t>双表结构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</w:rPr>
        <w:t>设计一个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包含材料字典和光谱表的</w:t>
      </w:r>
      <w:r>
        <w:rPr>
          <w:rFonts w:hint="eastAsia" w:ascii="微软雅黑" w:hAnsi="微软雅黑" w:eastAsia="微软雅黑" w:cs="微软雅黑"/>
          <w:sz w:val="24"/>
          <w:szCs w:val="24"/>
        </w:rPr>
        <w:t>关系型数据库，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分别记录材料的特点和特征图谱。建立完数据库后，先将图片转化成数据文件，就可以利用简单的sql语言进行查询。查询时，代码会调用numpy计算余弦相似度，再numpy.argsort进行降序排序，最后输出。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93E88"/>
    <w:rsid w:val="26461A1E"/>
    <w:rsid w:val="4C234F71"/>
    <w:rsid w:val="52EB2B51"/>
    <w:rsid w:val="5E486A6A"/>
    <w:rsid w:val="5EAB1DA1"/>
    <w:rsid w:val="671B738F"/>
    <w:rsid w:val="75563888"/>
    <w:rsid w:val="75C3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681</Words>
  <Characters>726</Characters>
  <Lines>0</Lines>
  <Paragraphs>0</Paragraphs>
  <TotalTime>48</TotalTime>
  <ScaleCrop>false</ScaleCrop>
  <LinksUpToDate>false</LinksUpToDate>
  <CharactersWithSpaces>731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2026-03-21T13:08:00Z</dcterms:created>
  <dc:creator>ouyan</dc:creator>
  <cp:lastModifiedBy>欧阳</cp:lastModifiedBy>
  <dcterms:modified xsi:type="dcterms:W3CDTF">2026-03-22T12:48:00Z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eyJoZGlkIjoiZDhmNmQ0MDUwZjEwZWNiNmMyNzQ2NzJlNDgwMmMwZGIiLCJ1c2VySWQiOiI0NDE3ODA3NzQifQ==</vt:lpwstr>
  </property>
  <property fmtid="{D5CDD505-2E9C-101B-9397-08002B2CF9AE}" pid="4" name="ICV">
    <vt:lpwstr>8BECF2671F0E412F9516FC31308072CC_12</vt:lpwstr>
  </property>
</Properties>
</file>