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0" w:line="240" w:lineRule="auto"/>
        <w:rPr>
          <w:rFonts w:ascii="Arial" w:cs="Arial" w:eastAsia="Arial" w:hAnsi="Arial"/>
          <w:color w:val="333333"/>
          <w:sz w:val="20"/>
          <w:szCs w:val="20"/>
        </w:rPr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240" w:line="240" w:lineRule="auto"/>
        <w:rPr>
          <w:rFonts w:ascii="Arial" w:cs="Arial" w:eastAsia="Arial" w:hAnsi="Arial"/>
          <w:color w:val="333333"/>
          <w:sz w:val="20"/>
          <w:szCs w:val="20"/>
        </w:rPr>
      </w:pPr>
      <w:r>
        <w:rPr>
          <w:rFonts w:ascii="Tahoma" w:cs="Tahoma" w:eastAsia="Tahoma" w:hAnsi="Tahoma"/>
          <w:b w:val="1"/>
          <w:bCs w:val="1"/>
          <w:color w:val="333333"/>
          <w:sz w:val="21"/>
          <w:szCs w:val="21"/>
          <w:rtl w:val="0"/>
        </w:rPr>
        <w:t xml:space="preserve">INFORMAÇÕES DA CONTRATADA | NEX COWORKING</w:t>
      </w:r>
      <w:r>
        <w:rPr>
          <w:rFonts w:ascii="Tahoma" w:cs="Tahoma" w:eastAsia="Tahoma" w:hAnsi="Tahoma"/>
          <w:color w:val="333333"/>
          <w:sz w:val="17"/>
          <w:szCs w:val="17"/>
          <w:rtl w:val="0"/>
        </w:rPr>
        <w:br w:type="textWrapping"/>
        <w:t xml:space="preserve"> </w:t>
        <w:br w:type="textWrapping"/>
      </w:r>
      <w:r>
        <w:rPr>
          <w:rFonts w:ascii="Arial" w:cs="Arial" w:eastAsia="Arial" w:hAnsi="Arial"/>
          <w:b w:val="1"/>
          <w:bCs w:val="1"/>
          <w:color w:val="333333"/>
          <w:sz w:val="18"/>
          <w:szCs w:val="18"/>
          <w:rtl w:val="0"/>
        </w:rPr>
        <w:t xml:space="preserve">COLETIVO BATEL - ESPAÇO DE COWORKING LTDA</w:t>
      </w:r>
      <w:r>
        <w:rPr>
          <w:rFonts w:ascii="Arial" w:cs="Arial" w:eastAsia="Arial" w:hAnsi="Arial"/>
          <w:color w:val="333333"/>
          <w:sz w:val="18"/>
          <w:szCs w:val="18"/>
          <w:rtl w:val="0"/>
        </w:rPr>
        <w:br w:type="textWrapping"/>
      </w:r>
      <w:r>
        <w:rPr>
          <w:rFonts w:ascii="Tahoma" w:cs="Tahoma" w:eastAsia="Tahoma" w:hAnsi="Tahoma"/>
          <w:color w:val="333333"/>
          <w:sz w:val="17"/>
          <w:szCs w:val="17"/>
          <w:rtl w:val="0"/>
        </w:rPr>
        <w:t xml:space="preserve">CNPJ: 13.431.642/0001-97</w:t>
      </w:r>
      <w:r>
        <w:rPr>
          <w:rFonts w:ascii="Arial" w:cs="Arial" w:eastAsia="Arial" w:hAnsi="Arial"/>
          <w:color w:val="333333"/>
          <w:sz w:val="18"/>
          <w:szCs w:val="18"/>
          <w:rtl w:val="0"/>
        </w:rPr>
        <w:br w:type="textWrapping"/>
        <w:t xml:space="preserve">Rua Francisco Rocha 198, Batel - Curitiba/ Paraná</w:t>
      </w:r>
      <w:r>
        <w:rPr>
          <w:rFonts w:ascii="Tahoma" w:cs="Tahoma" w:eastAsia="Tahoma" w:hAnsi="Tahoma"/>
          <w:color w:val="333333"/>
          <w:sz w:val="17"/>
          <w:szCs w:val="17"/>
          <w:rtl w:val="0"/>
        </w:rPr>
        <w:t xml:space="preserve">.</w:t>
        <w:br w:type="textWrapping"/>
        <w:t xml:space="preserve">CEP 80.420-130</w:t>
      </w:r>
      <w:r>
        <w:rPr>
          <w:rFonts w:ascii="Arial" w:cs="Arial" w:eastAsia="Arial" w:hAnsi="Arial"/>
          <w:color w:val="333333"/>
          <w:sz w:val="18"/>
          <w:szCs w:val="18"/>
          <w:rtl w:val="0"/>
        </w:rPr>
        <w:br w:type="textWrapping"/>
      </w:r>
      <w:r>
        <w:rPr>
          <w:rFonts w:ascii="Tahoma" w:cs="Tahoma" w:eastAsia="Tahoma" w:hAnsi="Tahoma"/>
          <w:color w:val="333333"/>
          <w:sz w:val="17"/>
          <w:szCs w:val="17"/>
          <w:rtl w:val="0"/>
        </w:rPr>
        <w:t xml:space="preserve">41 3122-8800</w:t>
      </w:r>
      <w:r>
        <w:rPr>
          <w:rFonts w:ascii="Arial" w:cs="Arial" w:eastAsia="Arial" w:hAnsi="Arial"/>
          <w:color w:val="333333"/>
          <w:sz w:val="18"/>
          <w:szCs w:val="18"/>
          <w:rtl w:val="0"/>
        </w:rPr>
        <w:br w:type="textWrapping"/>
      </w:r>
      <w:r>
        <w:rPr>
          <w:rFonts w:ascii="Tahoma" w:cs="Tahoma" w:eastAsia="Tahoma" w:hAnsi="Tahoma"/>
          <w:color w:val="333333"/>
          <w:sz w:val="17"/>
          <w:szCs w:val="17"/>
          <w:rtl w:val="0"/>
        </w:rPr>
        <w:t xml:space="preserve">comercial@nex.work</w:t>
      </w:r>
      <w:r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ahoma" w:cs="Tahoma" w:eastAsia="Tahoma" w:hAnsi="Tahoma"/>
          <w:color w:val="333333"/>
          <w:sz w:val="17"/>
          <w:szCs w:val="17"/>
          <w:highlight w:val="white"/>
        </w:rPr>
      </w:pPr>
      <w:r>
        <w:rPr>
          <w:rFonts w:ascii="Tahoma" w:cs="Tahoma" w:eastAsia="Tahoma" w:hAnsi="Tahoma"/>
          <w:b w:val="1"/>
          <w:bCs w:val="1"/>
          <w:color w:val="333333"/>
          <w:sz w:val="21"/>
          <w:szCs w:val="21"/>
          <w:highlight w:val="white"/>
          <w:rtl w:val="0"/>
        </w:rPr>
        <w:t xml:space="preserve">INFORMAÇÕES DA CONTRATANTE | COWORKER</w:t>
      </w:r>
      <w:r>
        <w:rPr>
          <w:rFonts w:ascii="Tahoma" w:cs="Tahoma" w:eastAsia="Tahoma" w:hAnsi="Tahoma"/>
          <w:color w:val="333333"/>
          <w:sz w:val="17"/>
          <w:szCs w:val="17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ahoma" w:cs="Tahoma" w:eastAsia="Tahoma" w:hAnsi="Tahoma"/>
          <w:color w:val="333333"/>
          <w:sz w:val="17"/>
          <w:szCs w:val="17"/>
          <w:highlight w:val="white"/>
        </w:rPr>
      </w:pPr>
      <w:r>
        <w:rPr>
          <w:rFonts w:ascii="Tahoma" w:cs="Tahoma" w:eastAsia="Tahoma" w:hAnsi="Tahoma"/>
          <w:b w:val="1"/>
          <w:bCs w:val="1"/>
          <w:color w:val="333333"/>
          <w:sz w:val="17"/>
          <w:szCs w:val="17"/>
          <w:highlight w:val="white"/>
          <w:rtl w:val="0"/>
        </w:rPr>
        <w:t xml:space="preserve">{{nome_cliente}}</w:t>
      </w:r>
      <w:r>
        <w:rPr>
          <w:rFonts w:ascii="Tahoma" w:cs="Tahoma" w:eastAsia="Tahoma" w:hAnsi="Tahoma"/>
          <w:color w:val="333333"/>
          <w:sz w:val="17"/>
          <w:szCs w:val="17"/>
          <w:highlight w:val="white"/>
          <w:rtl w:val="0"/>
        </w:rPr>
        <w:br w:type="textWrapping"/>
        <w:t xml:space="preserve">CNPJ: {{cpf_cnpj}}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color w:val="333333"/>
          <w:sz w:val="18"/>
          <w:szCs w:val="18"/>
        </w:rPr>
      </w:pPr>
      <w:r>
        <w:rPr>
          <w:rFonts w:ascii="Arial" w:cs="Arial" w:eastAsia="Arial" w:hAnsi="Arial"/>
          <w:color w:val="333333"/>
          <w:sz w:val="18"/>
          <w:szCs w:val="18"/>
          <w:rtl w:val="0"/>
        </w:rPr>
        <w:t xml:space="preserve">{{endereco_cliente}}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Arial" w:cs="Arial" w:eastAsia="Arial" w:hAnsi="Arial"/>
          <w:color w:val="333333"/>
          <w:sz w:val="18"/>
          <w:szCs w:val="18"/>
        </w:rPr>
      </w:pPr>
      <w:r>
        <w:rPr>
          <w:rFonts w:ascii="Arial" w:cs="Arial" w:eastAsia="Arial" w:hAnsi="Arial"/>
          <w:color w:val="333333"/>
          <w:sz w:val="18"/>
          <w:szCs w:val="18"/>
          <w:rtl w:val="0"/>
        </w:rPr>
        <w:t xml:space="preserve">CEP {{cep_cliente}}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ahoma" w:cs="Tahoma" w:eastAsia="Tahoma" w:hAnsi="Tahoma"/>
          <w:color w:val="333333"/>
          <w:sz w:val="17"/>
          <w:szCs w:val="17"/>
          <w:highlight w:val="white"/>
        </w:rPr>
      </w:pPr>
      <w:hyperlink r:id="rId7">
        <w:r>
          <w:rPr>
            <w:rFonts w:ascii="Tahoma" w:cs="Tahoma" w:eastAsia="Tahoma" w:hAnsi="Tahoma"/>
            <w:color w:val="1155cc"/>
            <w:sz w:val="17"/>
            <w:szCs w:val="17"/>
            <w:highlight w:val="white"/>
            <w:u w:val="single"/>
            <w:rtl w:val="0"/>
          </w:rPr>
          <w:t xml:space="preserve">{{email_cliente}}</w:t>
        </w:r>
      </w:hyperlink>
      <w:r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ahoma" w:cs="Tahoma" w:eastAsia="Tahoma" w:hAnsi="Tahoma"/>
          <w:color w:val="333333"/>
          <w:sz w:val="17"/>
          <w:szCs w:val="17"/>
          <w:highlight w:val="white"/>
        </w:rPr>
      </w:pPr>
      <w:r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ahoma" w:cs="Tahoma" w:eastAsia="Tahoma" w:hAnsi="Tahoma"/>
          <w:color w:val="333333"/>
          <w:sz w:val="17"/>
          <w:szCs w:val="17"/>
          <w:highlight w:val="white"/>
        </w:rPr>
      </w:pPr>
      <w:r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Tahoma" w:cs="Tahoma" w:eastAsia="Tahoma" w:hAnsi="Tahoma"/>
          <w:color w:val="333333"/>
          <w:sz w:val="17"/>
          <w:szCs w:val="17"/>
          <w:highlight w:val="white"/>
        </w:rPr>
      </w:pPr>
      <w:r>
        <w:rPr>
          <w:rFonts w:ascii="Tahoma" w:cs="Tahoma" w:eastAsia="Tahoma" w:hAnsi="Tahoma"/>
          <w:b w:val="1"/>
          <w:bCs w:val="1"/>
          <w:color w:val="333333"/>
          <w:sz w:val="21"/>
          <w:szCs w:val="21"/>
          <w:highlight w:val="white"/>
          <w:rtl w:val="0"/>
        </w:rPr>
        <w:t xml:space="preserve">OBJETO DO CONTRATO</w:t>
      </w:r>
      <w:r>
        <w:rPr>
          <w:rFonts w:ascii="Tahoma" w:cs="Tahoma" w:eastAsia="Tahoma" w:hAnsi="Tahoma"/>
          <w:color w:val="333333"/>
          <w:sz w:val="17"/>
          <w:szCs w:val="17"/>
          <w:highlight w:val="white"/>
          <w:rtl w:val="0"/>
        </w:rPr>
        <w:br w:type="textWrapping"/>
        <w:br w:type="textWrapping"/>
      </w:r>
      <w:r>
        <w:rPr>
          <w:rFonts w:ascii="Tahoma" w:cs="Tahoma" w:eastAsia="Tahoma" w:hAnsi="Tahoma"/>
          <w:b w:val="1"/>
          <w:bCs w:val="1"/>
          <w:color w:val="333333"/>
          <w:sz w:val="17"/>
          <w:szCs w:val="17"/>
          <w:highlight w:val="white"/>
          <w:rtl w:val="0"/>
        </w:rPr>
        <w:t xml:space="preserve">Plano contratado: </w:t>
      </w:r>
      <w:r>
        <w:rPr>
          <w:rFonts w:ascii="Arial" w:cs="Arial" w:eastAsia="Arial" w:hAnsi="Arial"/>
          <w:color w:val="333333"/>
          <w:sz w:val="18"/>
          <w:szCs w:val="18"/>
          <w:highlight w:val="white"/>
          <w:rtl w:val="0"/>
        </w:rPr>
        <w:t xml:space="preserve">Plano de Escritório Virtual.</w:t>
      </w:r>
      <w:r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Tahoma" w:cs="Tahoma" w:eastAsia="Tahoma" w:hAnsi="Tahoma"/>
          <w:color w:val="333333"/>
          <w:sz w:val="17"/>
          <w:szCs w:val="17"/>
          <w:highlight w:val="white"/>
        </w:rPr>
      </w:pPr>
      <w:r>
        <w:rPr>
          <w:rFonts w:ascii="Tahoma" w:cs="Tahoma" w:eastAsia="Tahoma" w:hAnsi="Tahoma"/>
          <w:b w:val="1"/>
          <w:bCs w:val="1"/>
          <w:color w:val="333333"/>
          <w:sz w:val="17"/>
          <w:szCs w:val="17"/>
          <w:highlight w:val="white"/>
          <w:rtl w:val="0"/>
        </w:rPr>
        <w:t xml:space="preserve">Opção: </w:t>
      </w:r>
      <w:r>
        <w:rPr>
          <w:rFonts w:ascii="Tahoma" w:cs="Tahoma" w:eastAsia="Tahoma" w:hAnsi="Tahoma"/>
          <w:color w:val="333333"/>
          <w:sz w:val="17"/>
          <w:szCs w:val="17"/>
          <w:highlight w:val="white"/>
          <w:rtl w:val="0"/>
        </w:rPr>
        <w:t xml:space="preserve">{{opcao}}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Tahoma" w:cs="Tahoma" w:eastAsia="Tahoma" w:hAnsi="Tahoma"/>
          <w:color w:val="333333"/>
          <w:sz w:val="17"/>
          <w:szCs w:val="17"/>
          <w:highlight w:val="white"/>
        </w:rPr>
      </w:pPr>
      <w:r>
        <w:rPr>
          <w:rFonts w:ascii="Tahoma" w:cs="Tahoma" w:eastAsia="Tahoma" w:hAnsi="Tahoma"/>
          <w:b w:val="1"/>
          <w:bCs w:val="1"/>
          <w:color w:val="333333"/>
          <w:sz w:val="17"/>
          <w:szCs w:val="17"/>
          <w:highlight w:val="white"/>
          <w:rtl w:val="0"/>
        </w:rPr>
        <w:t xml:space="preserve">Modalidade de pagamento:</w:t>
      </w:r>
      <w:r>
        <w:rPr>
          <w:rFonts w:ascii="Tahoma" w:cs="Tahoma" w:eastAsia="Tahoma" w:hAnsi="Tahoma"/>
          <w:color w:val="333333"/>
          <w:sz w:val="17"/>
          <w:szCs w:val="17"/>
          <w:highlight w:val="white"/>
          <w:rtl w:val="0"/>
        </w:rPr>
        <w:t xml:space="preserve"> {{modalidade_pagamento}}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Arial" w:cs="Arial" w:eastAsia="Arial" w:hAnsi="Arial"/>
          <w:color w:val="333333"/>
          <w:sz w:val="20"/>
          <w:szCs w:val="20"/>
        </w:rPr>
      </w:pPr>
      <w:r>
        <w:rPr>
          <w:rFonts w:ascii="Tahoma" w:cs="Tahoma" w:eastAsia="Tahoma" w:hAnsi="Tahoma"/>
          <w:b w:val="1"/>
          <w:bCs w:val="1"/>
          <w:color w:val="333333"/>
          <w:sz w:val="17"/>
          <w:szCs w:val="17"/>
          <w:highlight w:val="white"/>
          <w:rtl w:val="0"/>
        </w:rPr>
        <w:t xml:space="preserve">Domicílio Fiscal contratado:</w:t>
      </w:r>
      <w:r>
        <w:rPr>
          <w:rFonts w:ascii="Tahoma" w:cs="Tahoma" w:eastAsia="Tahoma" w:hAnsi="Tahoma"/>
          <w:color w:val="333333"/>
          <w:sz w:val="17"/>
          <w:szCs w:val="17"/>
          <w:highlight w:val="white"/>
          <w:rtl w:val="0"/>
        </w:rPr>
        <w:t xml:space="preserve"> {{domicilio_fiscal}} </w:t>
        <w:br w:type="textWrapping"/>
      </w:r>
      <w:r>
        <w:rPr>
          <w:rFonts w:ascii="Tahoma" w:cs="Tahoma" w:eastAsia="Tahoma" w:hAnsi="Tahoma"/>
          <w:b w:val="1"/>
          <w:bCs w:val="1"/>
          <w:color w:val="333333"/>
          <w:sz w:val="17"/>
          <w:szCs w:val="17"/>
          <w:highlight w:val="white"/>
          <w:rtl w:val="0"/>
        </w:rPr>
        <w:t xml:space="preserve">Início da vigência: </w:t>
      </w:r>
      <w:r>
        <w:rPr>
          <w:rFonts w:ascii="Tahoma" w:cs="Tahoma" w:eastAsia="Tahoma" w:hAnsi="Tahoma"/>
          <w:color w:val="333333"/>
          <w:sz w:val="17"/>
          <w:szCs w:val="17"/>
          <w:highlight w:val="white"/>
          <w:rtl w:val="0"/>
        </w:rPr>
        <w:t xml:space="preserve">{{data_inicio}}</w:t>
        <w:br w:type="textWrapping"/>
      </w:r>
      <w:r>
        <w:rPr>
          <w:rFonts w:ascii="Tahoma" w:cs="Tahoma" w:eastAsia="Tahoma" w:hAnsi="Tahoma"/>
          <w:b w:val="1"/>
          <w:bCs w:val="1"/>
          <w:color w:val="333333"/>
          <w:sz w:val="17"/>
          <w:szCs w:val="17"/>
          <w:highlight w:val="white"/>
          <w:rtl w:val="0"/>
        </w:rPr>
        <w:t xml:space="preserve">Término da vigência: </w:t>
      </w:r>
      <w:r>
        <w:rPr>
          <w:rFonts w:ascii="Tahoma" w:cs="Tahoma" w:eastAsia="Tahoma" w:hAnsi="Tahoma"/>
          <w:color w:val="333333"/>
          <w:sz w:val="17"/>
          <w:szCs w:val="17"/>
          <w:highlight w:val="white"/>
          <w:rtl w:val="0"/>
        </w:rPr>
        <w:t xml:space="preserve">{{data_fim}}</w:t>
      </w:r>
      <w:r>
        <w:rPr>
          <w:rFonts w:ascii="Arial" w:cs="Arial" w:eastAsia="Arial" w:hAnsi="Arial"/>
          <w:color w:val="333333"/>
          <w:sz w:val="20"/>
          <w:szCs w:val="20"/>
          <w:rtl w:val="0"/>
        </w:rPr>
        <w:br w:type="textWrapping"/>
      </w:r>
      <w:r>
        <w:rPr>
          <w:rFonts w:ascii="Tahoma" w:cs="Tahoma" w:eastAsia="Tahoma" w:hAnsi="Tahoma"/>
          <w:b w:val="1"/>
          <w:bCs w:val="1"/>
          <w:color w:val="333333"/>
          <w:sz w:val="17"/>
          <w:szCs w:val="17"/>
          <w:highlight w:val="white"/>
          <w:rtl w:val="0"/>
        </w:rPr>
        <w:t xml:space="preserve">Renovação: </w:t>
      </w:r>
      <w:r>
        <w:rPr>
          <w:rFonts w:ascii="Tahoma" w:cs="Tahoma" w:eastAsia="Tahoma" w:hAnsi="Tahoma"/>
          <w:color w:val="333333"/>
          <w:sz w:val="17"/>
          <w:szCs w:val="17"/>
          <w:highlight w:val="white"/>
          <w:rtl w:val="0"/>
        </w:rPr>
        <w:t xml:space="preserve">Em formato automático no dia do término da vigência acima referida. </w:t>
      </w:r>
      <w:r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Arial" w:cs="Arial" w:eastAsia="Arial" w:hAnsi="Arial"/>
          <w:color w:val="333333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rPr>
          <w:rFonts w:ascii="Tahoma" w:cs="Tahoma" w:eastAsia="Tahoma" w:hAnsi="Tahoma"/>
          <w:color w:val="333333"/>
          <w:sz w:val="17"/>
          <w:szCs w:val="17"/>
          <w:highlight w:val="white"/>
        </w:rPr>
      </w:pPr>
      <w:r>
        <w:rPr>
          <w:rFonts w:ascii="Tahoma" w:cs="Tahoma" w:eastAsia="Tahoma" w:hAnsi="Tahoma"/>
          <w:b w:val="1"/>
          <w:bCs w:val="1"/>
          <w:color w:val="333333"/>
          <w:sz w:val="21"/>
          <w:szCs w:val="21"/>
          <w:highlight w:val="white"/>
          <w:rtl w:val="0"/>
        </w:rPr>
        <w:t xml:space="preserve">VALORES</w:t>
      </w:r>
      <w:r>
        <w:rPr>
          <w:rFonts w:ascii="Tahoma" w:cs="Tahoma" w:eastAsia="Tahoma" w:hAnsi="Tahoma"/>
          <w:b w:val="1"/>
          <w:bCs w:val="1"/>
          <w:color w:val="333333"/>
          <w:sz w:val="17"/>
          <w:szCs w:val="17"/>
          <w:highlight w:val="white"/>
          <w:rtl w:val="0"/>
        </w:rPr>
        <w:br w:type="textWrapping"/>
      </w:r>
      <w:r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rPr>
          <w:rFonts w:ascii="Tahoma" w:cs="Tahoma" w:eastAsia="Tahoma" w:hAnsi="Tahoma"/>
          <w:color w:val="333333"/>
          <w:sz w:val="17"/>
          <w:szCs w:val="17"/>
          <w:highlight w:val="white"/>
        </w:rPr>
      </w:pPr>
      <w:r>
        <w:rPr>
          <w:rFonts w:ascii="Tahoma" w:cs="Tahoma" w:eastAsia="Tahoma" w:hAnsi="Tahoma"/>
          <w:b w:val="1"/>
          <w:bCs w:val="1"/>
          <w:color w:val="333333"/>
          <w:sz w:val="17"/>
          <w:szCs w:val="17"/>
          <w:highlight w:val="white"/>
          <w:rtl w:val="0"/>
        </w:rPr>
        <w:t xml:space="preserve">Valor Base do Serviço contratado: </w:t>
      </w:r>
      <w:r>
        <w:rPr>
          <w:rFonts w:ascii="Tahoma" w:cs="Tahoma" w:eastAsia="Tahoma" w:hAnsi="Tahoma"/>
          <w:color w:val="333333"/>
          <w:sz w:val="17"/>
          <w:szCs w:val="17"/>
          <w:highlight w:val="white"/>
          <w:rtl w:val="0"/>
        </w:rPr>
        <w:t xml:space="preserve">{{valor_base}} / {{periodicidade}}</w:t>
      </w:r>
    </w:p>
    <w:p w:rsidR="00000000" w:rsidDel="00000000" w:rsidP="00000000" w:rsidRDefault="00000000" w:rsidRPr="00000000" w14:paraId="00000014">
      <w:pPr>
        <w:spacing w:after="0" w:line="360" w:lineRule="auto"/>
        <w:rPr>
          <w:rFonts w:ascii="Tahoma" w:cs="Tahoma" w:eastAsia="Tahoma" w:hAnsi="Tahoma"/>
          <w:color w:val="333333"/>
          <w:sz w:val="17"/>
          <w:szCs w:val="17"/>
          <w:highlight w:val="white"/>
        </w:rPr>
      </w:pPr>
      <w:r>
        <w:rPr>
          <w:rFonts w:ascii="Tahoma" w:cs="Tahoma" w:eastAsia="Tahoma" w:hAnsi="Tahoma"/>
          <w:b w:val="1"/>
          <w:bCs w:val="1"/>
          <w:color w:val="333333"/>
          <w:sz w:val="17"/>
          <w:szCs w:val="17"/>
          <w:highlight w:val="white"/>
          <w:rtl w:val="0"/>
        </w:rPr>
        <w:t xml:space="preserve">Valor de Adesão com Desconto: </w:t>
      </w:r>
      <w:r>
        <w:rPr>
          <w:rFonts w:ascii="Tahoma" w:cs="Tahoma" w:eastAsia="Tahoma" w:hAnsi="Tahoma"/>
          <w:color w:val="333333"/>
          <w:sz w:val="17"/>
          <w:szCs w:val="17"/>
          <w:highlight w:val="white"/>
          <w:rtl w:val="0"/>
        </w:rPr>
        <w:t xml:space="preserve">{{valor_adesao}}  </w:t>
      </w:r>
    </w:p>
    <w:p w:rsidR="00000000" w:rsidDel="00000000" w:rsidP="00000000" w:rsidRDefault="00000000" w:rsidRPr="00000000" w14:paraId="00000015">
      <w:pPr>
        <w:spacing w:after="0" w:line="360" w:lineRule="auto"/>
        <w:rPr>
          <w:rFonts w:ascii="Tahoma" w:cs="Tahoma" w:eastAsia="Tahoma" w:hAnsi="Tahoma"/>
          <w:color w:val="333333"/>
          <w:sz w:val="17"/>
          <w:szCs w:val="17"/>
          <w:highlight w:val="white"/>
        </w:rPr>
      </w:pPr>
      <w:r>
        <w:rPr>
          <w:rFonts w:ascii="Tahoma" w:cs="Tahoma" w:eastAsia="Tahoma" w:hAnsi="Tahoma"/>
          <w:b w:val="1"/>
          <w:bCs w:val="1"/>
          <w:color w:val="333333"/>
          <w:sz w:val="17"/>
          <w:szCs w:val="17"/>
          <w:highlight w:val="white"/>
          <w:rtl w:val="0"/>
        </w:rPr>
        <w:t xml:space="preserve">Renovação</w:t>
      </w:r>
      <w:r>
        <w:rPr>
          <w:rFonts w:ascii="Tahoma" w:cs="Tahoma" w:eastAsia="Tahoma" w:hAnsi="Tahoma"/>
          <w:color w:val="333333"/>
          <w:sz w:val="17"/>
          <w:szCs w:val="17"/>
          <w:highlight w:val="white"/>
          <w:rtl w:val="0"/>
        </w:rPr>
        <w:t xml:space="preserve">{{renovacao_texto}} </w:t>
        <w:br w:type="textWrapping"/>
      </w:r>
    </w:p>
    <w:p w:rsidR="00000000" w:rsidDel="00000000" w:rsidP="00000000" w:rsidRDefault="00000000" w14:paraId="00000099">
      <w:pPr>
        <w:spacing w:after="0"/>
      </w:pPr>
      <w:r>
        <w:rPr>
          <w:rFonts w:ascii="Tahoma" w:cs="Tahoma" w:eastAsia="Tahoma" w:hAnsi="Tahoma"/>
          <w:color w:val="333333"/>
          <w:sz w:val="17"/>
          <w:szCs w:val="17"/>
          <w:rtl w:val="0"/>
        </w:rPr>
        <w:t xml:space="preserve">Desconto OAB: 20% sobre o valor de tabela vigente, de acordo com a parceria CAAPR/OABPR – condição válida enquanto a parceria estiver vigente.</w:t>
      </w:r>
    </w:p>
    <w:p w:rsidR="00000000" w:rsidDel="00000000" w:rsidP="00000000" w:rsidRDefault="00000000" w:rsidRPr="00000000" w14:paraId="00000016">
      <w:pPr>
        <w:spacing w:after="0" w:line="360" w:lineRule="auto"/>
        <w:rPr>
          <w:rFonts w:ascii="Proxima Nova" w:cs="Proxima Nova" w:eastAsia="Proxima Nova" w:hAnsi="Proxima Nova"/>
          <w:b w:val="1"/>
          <w:bCs w:val="1"/>
          <w:sz w:val="20"/>
          <w:szCs w:val="20"/>
        </w:rPr>
      </w:pPr>
      <w:r>
        <w:rPr>
          <w:rFonts w:ascii="Proxima Nova" w:cs="Proxima Nova" w:eastAsia="Proxima Nova" w:hAnsi="Proxima Nova"/>
          <w:sz w:val="20"/>
          <w:szCs w:val="20"/>
          <w:rtl w:val="0"/>
        </w:rPr>
        <w:t xml:space="preserve">Resolvem celebrar o presente termo.</w:t>
      </w:r>
      <w:r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ind w:firstLine="708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90" w:right="0" w:hanging="39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OBJETO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9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Pelo presente contrato, o CLIENTE declara que leu, aceita e não oferece qualquer oposição aos termos de contratação do presente </w:t>
      </w: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Plano Escritório Virtual - Nex Connect, na modalidade de Endereço </w:t>
      </w:r>
      <w:r>
        <w:rPr>
          <w:rFonts w:ascii="Proxima Nova" w:cs="Proxima Nova" w:eastAsia="Proxima Nova" w:hAnsi="Proxima Nova"/>
          <w:b w:val="1"/>
          <w:bCs w:val="1"/>
          <w:sz w:val="20"/>
          <w:szCs w:val="20"/>
          <w:rtl w:val="0"/>
        </w:rPr>
        <w:t xml:space="preserve">Fiscal.</w:t>
      </w:r>
      <w:r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presente contrato é celebrado em ambiente virtual, mediante acesso do CLIENTE ao </w:t>
      </w:r>
      <w:r>
        <w:rPr>
          <w:rFonts w:ascii="Proxima Nova" w:cs="Proxima Nova" w:eastAsia="Proxima Nova" w:hAnsi="Proxima Nov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site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da NEX COWORKING (https://nex.work/), no qual foi necessário o fornecimento de informações cadastrais do CLIENTE, a opção do plano desejado, bem como a leitura e aceitação prévia dos termos da presente contratação.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Plano Escritório Virtual - Nex Connect</w:t>
      </w:r>
      <w:r>
        <w:rPr>
          <w:rFonts w:ascii="Proxima Nova" w:cs="Proxima Nova" w:eastAsia="Proxima Nova" w:hAnsi="Proxima Nov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permite ao CLIENTE optar por uma das seguintes modalidades: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Endereço Comercial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: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Consiste em utilizar o endereço da NEX COWORKING para fins comerciais, ou seja, divulgação para clientes e terceiros em geral, tais como em cartões de visitas, site e/ou demais locais em que possa haver a divulgação do serviço prestado pelo CLIENTE.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Endereço Fiscal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O serviço de Endereço Fiscal permite ao 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1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CLIENTE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utilizar o endereço NEX de duas formas: </w:t>
      </w:r>
      <w:r>
        <w:rPr>
          <w:rFonts w:ascii="Proxima Nova" w:cs="Proxima Nova" w:eastAsia="Proxima Nova" w:hAnsi="Proxima Nov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(i)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para fins oficiais e fiscais, pelo registro no contrato social, alvará, licenças em geral e Cadastro Nacional de Pessoas Jurídicas (CNPJ) do CLIENTE; bem como </w:t>
      </w:r>
      <w:r>
        <w:rPr>
          <w:rFonts w:ascii="Proxima Nova" w:cs="Proxima Nova" w:eastAsia="Proxima Nova" w:hAnsi="Proxima Nov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(ii)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para fins comerciais, em materiais de apresentação, tais como cartões profissionais, websites, folders etc.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43" w:right="0" w:hanging="567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endereço a ser utilizado para ambas as modalidades é 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“</w:t>
      </w:r>
      <w:r>
        <w:rPr>
          <w:rFonts w:ascii="Proxima Nova" w:cs="Proxima Nova" w:eastAsia="Proxima Nova" w:hAnsi="Proxima Nov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Rua Francisco Rocha, 198, Bairro Batel, Curitiba, Paraná, CEP 80.420-130, sempre acompanhado do número de Caixa Postal a ser informado pelo NEX após a confirmação desse cadastro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”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Independente da modalidade escolhida pelo CLIENTE, faz parte do objeto deste contrato o serviço de </w:t>
      </w: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Gestão de Correspondências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conforme disposto:</w:t>
      </w:r>
      <w:r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rFonts w:ascii="Proxima Nova" w:cs="Proxima Nova" w:eastAsia="Proxima Nova" w:hAnsi="Proxima Nova"/>
          <w:b w:val="1"/>
          <w:bCs w:val="1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NEX COWORKING permite que seu endereço, especificado na cláusula 1.3 deste contrato, seja utilizado em cadastros em geral, para a constituição de destinatário postal de determinados tipos de correspondência e encomendas.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108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NEX COWORKING notificará o CLIENTE, por meio do endereço eletrônico (email) informado no momento da contratação deste plano, em até 01 (um) dia útil após o recebimento da correspondência e/ou encomenda.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108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correspondências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deverão ter formato máximo A4 (21cm x 29,7cm), com a devida identificação do CLIENTE como destinatário.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108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CLIENTE deverá retirar sua </w:t>
      </w: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correspondência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num prazo máximo de </w:t>
      </w: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15 dias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corridos após o envio da notificação. Após esse prazo, fica a NEX COWORKING autorizada a descartar a respectiva correspondência.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108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NEX COWORKING receberá até </w:t>
      </w: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 correspondências mensais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em nome do CLIENTE, sem nenhum custo adicional. As correspondências que excederem esse limite serão cobradas à parte, por unidade, de acordo com a tabela de preços vigente e disponível no endereço http://nex.work.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108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encomendas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poderão ter outros formatos, incluindo caixas de até 100cm x 100cm x 100cm, com a devida identificação do CLIENTE como destinatário.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108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NEX COWORKING receberá até </w:t>
      </w: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03 encomendas mensais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em nome do CLIENTE, sem nenhum custo adicional. As encomendas que excederem esse limite serão cobradas à parte, por unidade, de acordo com a tabela de preços vigente e disponível no endereço http://nex.work.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108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caso de recebimento de </w:t>
      </w: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encomenda</w:t>
      </w: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prazo máximo para retirada pelo CLIENTE será de </w:t>
      </w: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05 dias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corridos após o envio da notificação. Após esse prazo, fica a NEX COWORKING autorizada a descartar a respectiva encomenda. </w:t>
      </w: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108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NEX COWORKING receberá as correspondências e/ou encomendas do CLIENTE apenas de segunda à sexta-feira, exceto feriados, durante o horário de funcionamento da unidade, conforme informado no seus site (</w:t>
      </w:r>
      <w:hyperlink r:id="rId8">
        <w:r>
          <w:rPr>
            <w:rFonts w:ascii="Proxima Nova" w:cs="Proxima Nova" w:eastAsia="Proxima Nova" w:hAnsi="Proxima Nova"/>
            <w:b w:val="0"/>
            <w:bCs w:val="0"/>
            <w:i w:val="0"/>
            <w:iCs w:val="0"/>
            <w:smallCaps w:val="0"/>
            <w:strike w:val="0"/>
            <w:color w:val="0563c1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http://nex.work</w:t>
        </w:r>
      </w:hyperlink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108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CLIENTE poderá retirar as suas correspondências e/ou encomendas, dentro do prazo máximo estabelecido em cada caso, sempre de segunda à sexta-feira, durante o horário de funcionamento da NEX COWORKING, conforme informado no seus site (</w:t>
      </w:r>
      <w:hyperlink r:id="rId9">
        <w:r>
          <w:rPr>
            <w:rFonts w:ascii="Proxima Nova" w:cs="Proxima Nova" w:eastAsia="Proxima Nova" w:hAnsi="Proxima Nova"/>
            <w:b w:val="0"/>
            <w:bCs w:val="0"/>
            <w:i w:val="0"/>
            <w:iCs w:val="0"/>
            <w:smallCaps w:val="0"/>
            <w:strike w:val="0"/>
            <w:color w:val="0563c1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http://nex.work</w:t>
        </w:r>
      </w:hyperlink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).   </w:t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Independente da modalidade de contratação, o CLIENTE poderá ainda:</w:t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Reservar e utilizar, de forma avulsa, salas de reunião, estações de trabalho ou escritórios privativos, de acordo com as regras de uso e conforme disponibilidade de agenda. O CLIENTE terá 30% de desconto sobre a tabela de preços vigente, disponível para consulta na Área do Cliente no momento do agendamento.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Participar de eventos gratuitos exclusivos realizados pela NEX COWORKING e destinados preferencialmente a seus clientes e parceiros.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Obter descontos na inscrição de quaisquer eventos pagos realizados pela NEX COWORKING.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Obter descontos e outros benefícios eventuais oferecidos por parceiros da NEX COWORKING a todos os seus clientes.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Não está compreendido no Plano Escritório Virtual - Nex Connect</w:t>
      </w:r>
      <w:r>
        <w:rPr>
          <w:rFonts w:ascii="Proxima Nova" w:cs="Proxima Nova" w:eastAsia="Proxima Nova" w:hAnsi="Proxima Nov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utilização, pelo CLIENTE, do espaço físico da NEX COWORKING, ou seja, dos estúdios privativos e mesas de trabalho, salas de reunião, deck, auditório e demais áreas comuns.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Caso o CLIENTE deseje utilizar estes serviços, deverá adquirir diárias avulsas, ou realizar a respectiva contratação de uso de tais espaços (com os devidos descontos que possui na condição de CLIENTE), ou ainda contratar outro plano que contemple estes usos e/ou serviços.</w:t>
      </w:r>
    </w:p>
    <w:p w:rsidR="00000000" w:rsidDel="00000000" w:rsidP="00000000" w:rsidRDefault="00000000" w:rsidRPr="00000000" w14:paraId="00000049">
      <w:pPr>
        <w:spacing w:after="0" w:line="36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90" w:right="0" w:hanging="39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PAGAMENTO E DURAÇÃO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9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709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valor devido pelo CLIENTE pela contratação do Plano Escritório Virtual - Nex Connect será aquele constante na Tabela de Valores vigente da NEX COWORKING, disponível no site (</w:t>
      </w:r>
      <w:hyperlink r:id="rId10">
        <w:r>
          <w:rPr>
            <w:rFonts w:ascii="Proxima Nova" w:cs="Proxima Nova" w:eastAsia="Proxima Nova" w:hAnsi="Proxima Nova"/>
            <w:b w:val="0"/>
            <w:bCs w:val="0"/>
            <w:i w:val="0"/>
            <w:iCs w:val="0"/>
            <w:smallCaps w:val="0"/>
            <w:strike w:val="0"/>
            <w:color w:val="0563c1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https://nex.work/</w:t>
        </w:r>
      </w:hyperlink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709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periodicidade do pagamento poderá ser mensal ou semestral, de acordo com a escolha do CLIENTE no momento da contratação plano.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CLIENTE que optar pela periodicidade de </w:t>
      </w: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pagamento mensal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deverá efetuar o pagamento exclusivamente por meio de </w:t>
      </w: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cartão de crédito</w:t>
      </w: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titularidade do CLIENTE.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CLIENTE que optar pela periodicidade de </w:t>
      </w: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pagamento semestral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deverá efetuar o pagamento semestral único por meio de </w:t>
      </w: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boleto bancário ou cartão de crédito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 titularidade do CLIENTE.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709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CLIENTE que efetuar o cadastramento para adesão e selecionar a modalidade pretendida terá o prazo de até 3 (três) dias corridos para efetuar o pagamento da primeira mensalidade ou semestralidade, sob pena de cancelamento automático de seu cadastro pela NEX COWORKING.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709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presente contrato vigerá por prazo indeterminado e com renovação automática com início a partir da aceitação e pagamento pelo </w:t>
      </w: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CLIENTE, ficando desde já autorizada a NEX COWORKING a proceder o lançamento do débito mensal ou semestral dos valores devidos pelo CLIENTE nos termos do seu cadastro e do presente contrato.</w:t>
      </w:r>
      <w:r>
        <w:rPr>
          <w:rtl w:val="0"/>
        </w:rPr>
      </w:r>
    </w:p>
    <w:p w:rsidR="00000000" w:rsidDel="00000000" w:rsidP="00000000" w:rsidRDefault="00000000" w:rsidRPr="00000000" w14:paraId="00000057">
      <w:pPr>
        <w:spacing w:after="0" w:line="360" w:lineRule="auto"/>
        <w:ind w:left="390" w:firstLine="0"/>
        <w:jc w:val="both"/>
        <w:rPr>
          <w:rFonts w:ascii="Proxima Nova" w:cs="Proxima Nova" w:eastAsia="Proxima Nova" w:hAnsi="Proxima Nova"/>
          <w:b w:val="1"/>
          <w:bCs w:val="1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90" w:right="0" w:hanging="390"/>
        <w:jc w:val="both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INADIMPLEMENTO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90" w:right="0" w:firstLine="0"/>
        <w:jc w:val="both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Sendo constatado problemas no cartão de crédito cadastrado, atraso no pagamento ou qualquer inadimplemento contratual, o CLIENTE será imediatamente notificado para que regularize a situação em até 3 (três) dias úteis, cadastrando um novo cartão de crédito ou pagando o montante devido.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 caso de atraso no pagamento, incidirá ao débito correção monetária calculada pelo INPC-IBGE (Índice Nacional de Preços ao Consumidor), juros de mora de 1% (um por cento) ao mês, proporcionais aos dias inadimplidos, e multa de 2% (dois por cento) sobre o débito, sem prejuízo da perda de eventual benefício ou desconto concedido pela NEX COWORKING.</w:t>
      </w:r>
    </w:p>
    <w:p w:rsidR="00000000" w:rsidDel="00000000" w:rsidP="00000000" w:rsidRDefault="00000000" w:rsidRPr="00000000" w14:paraId="0000005D">
      <w:pPr>
        <w:spacing w:after="0" w:line="36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Caso a situação mencionada na cláusula 3.1 não seja regularizada em até 03 (três) dias úteis, a NEX COWORKING poderá suspender imediatamente os serviços e rescindir o presente contrato.</w:t>
      </w:r>
    </w:p>
    <w:p w:rsidR="00000000" w:rsidDel="00000000" w:rsidP="00000000" w:rsidRDefault="00000000" w:rsidRPr="00000000" w14:paraId="0000005F">
      <w:pPr>
        <w:spacing w:after="0" w:line="36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90" w:right="0" w:hanging="39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DAS DISPOSIÇÕES SOBRE O USO DO ENDEREÇO FISCAL: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9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 o CLIENTE que optar pela contratação da modalidade ENDEREÇO FISCAL, no molde da cláusula 1.2 deste termo, e após o cadastro, aceite dos termos e compensação do primeiro pagamento, a NEX COWORKING enviará ao e-mail cadastrado as informações do imóvel necessárias para fins de domicílio fiscal, incluindo a indicação fiscal, fotos da fachada e comprovante de endereço.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utilização do endereço disponibilizado pela NEX COWORKING como domicílio fiscal está condicionada à autorização por parte dos órgãos públicos para este fim. Para tanto, o CLIENTE compromete-se a: </w:t>
      </w:r>
      <w:r>
        <w:rPr>
          <w:rFonts w:ascii="Proxima Nova" w:cs="Proxima Nova" w:eastAsia="Proxima Nova" w:hAnsi="Proxima Nov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(a)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obter junto às autoridades públicas federais, estaduais, distrital e municipais, às suas expensas, os registros e inscrições legais ou regularmente necessárias para o exercício de suas atividades no endereço disponibilizado pelo NEX COWORKING; e </w:t>
      </w:r>
      <w:r>
        <w:rPr>
          <w:rFonts w:ascii="Proxima Nova" w:cs="Proxima Nova" w:eastAsia="Proxima Nova" w:hAnsi="Proxima Nov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(b)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cumprir todas as obrigações e regulamentos que forem pertinentes, sejam elas de natureza fiscal ou não.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NEX COWORKING não se responsabiliza pela não aprovação do Endereço Fiscal por parte dos órgãos e/ou registros públicos, ficando isenta de qualquer responsabilidade ou dever de reparação em caso de negativa ou cancelamento da autorização para utilização do {{opcao}}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Havendo a negativa ou cancelamento da autorização para utilização do Endereço Fiscal, o CLIENTE é responsável pelo pagamento das mensalidades correspondentes ao período compreendido entre a contratação deste plano e a solicitação de encerramento do contrato.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Nos casos em que a empresa do CLIENTE estiver em processo de constituição, o CLIENTE poderá efetuar a contratação como Pessoa Física e solicitar a alteração do polo contratante por meio do e-mail </w:t>
      </w:r>
      <w:hyperlink r:id="rId11">
        <w:r>
          <w:rPr>
            <w:rFonts w:ascii="Proxima Nova" w:cs="Proxima Nova" w:eastAsia="Proxima Nova" w:hAnsi="Proxima Nova"/>
            <w:b w:val="0"/>
            <w:bCs w:val="0"/>
            <w:i w:val="0"/>
            <w:iCs w:val="0"/>
            <w:smallCaps w:val="0"/>
            <w:strike w:val="0"/>
            <w:color w:val="0563c1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connect@nex.work</w:t>
        </w:r>
      </w:hyperlink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juntamente com o envio de cópia eletrônica do Contrato Social devidamente registrado.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 o Endereço Fiscal for utilizado para alteração de endereço no Contrato Social de empresa já constituída, o CLIENTE deverá entregar cópia da respectiva Alteração do Contrato Social da Empresa, no prazo máximo de 15 (quinze) dias contados a partir do deferimento do pedido na Junta Comercial competente.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 hipótese do CLIENTE não entregar os atos societários devidamente registrados na Junta Comercial, ou descumprir qualquer disposição contratual, a NEX COWORKING poderá resilir unilateralmente o contrato.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É vedada a utilização das informações disponibilizadas pela NEX COWORKING como domicílio fiscal de mais de uma empresa pelo mesmo CLIENTE.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Caso o CLIENTE precise do serviço de Escritório Virtual com Endereço Fiscal para mais de uma empresa, deverá contratar um plano para cada empresa.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Caso o CLIENTE utilize as informações de Endereço da NEX COWORKING para mais de uma empresa, ficará sujeito ao pagamento de multa equivalente a 06 (seis) vezes o valor da mensalidade do Plano Escritório Virtual – Nex Connect, na modalidade Endereço Fiscal para cada mês de uso indevido.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É vedada a utilização do domicílio fiscal contratado para empresa de atividade comercial (ou qualquer outra que necessite de inscrição estadual), industrial e empresas que necessitem de habilitação no sistema RADAR da Receita Federal.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hanging="36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O CLIENTE optante pela modalidade Endereço Fiscal declara ter ciência que o objeto deste contrato é a mera cessão do endereço da NEX COWORKING para fins de domicílio fiscal ao CLIENTE, e que, sendo assim, a NEX COWORKING está isenta de qualquer responsabilidade trabalhista, fiscal ou criminal contraída pelo CLIENTE antes, durante ou após a vigência do presente contrato.</w:t>
      </w:r>
    </w:p>
    <w:p w:rsidR="00000000" w:rsidDel="00000000" w:rsidP="00000000" w:rsidRDefault="00000000" w:rsidRPr="00000000" w14:paraId="0000007A">
      <w:pPr>
        <w:spacing w:after="0" w:line="36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90" w:right="0" w:hanging="39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RESCISÃO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9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CLIENTE poderá rescindir este contrato imotivadamente mediante solicitação via e-mail para </w:t>
      </w:r>
      <w:hyperlink r:id="rId12">
        <w:r>
          <w:rPr>
            <w:rFonts w:ascii="Proxima Nova" w:cs="Proxima Nova" w:eastAsia="Proxima Nova" w:hAnsi="Proxima Nova"/>
            <w:b w:val="0"/>
            <w:bCs w:val="0"/>
            <w:i w:val="0"/>
            <w:iCs w:val="0"/>
            <w:smallCaps w:val="0"/>
            <w:strike w:val="0"/>
            <w:color w:val="0563c1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connect@nex.work</w:t>
        </w:r>
      </w:hyperlink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Após o recebimento do e-mail com a solicitação de rescisão, e desde que atendidos os critérios estabelecidos nas cláusulas 5.2, 5.3 E 5.4, a NEX COWORKING tem até 10 (dez) úteis para efetuar o cancelamento e a suspensão das mensalidades futuras.</w:t>
      </w:r>
    </w:p>
    <w:p w:rsidR="00000000" w:rsidDel="00000000" w:rsidP="00000000" w:rsidRDefault="00000000" w:rsidRPr="00000000" w14:paraId="00000080">
      <w:pPr>
        <w:spacing w:after="0" w:line="36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 caso de rescisão a NEX COWORKING não efetuará nenhum tipo de estorno ou reembolso, total ou parcial, de valores já pagos pelo CLIENTE.</w:t>
      </w:r>
    </w:p>
    <w:p w:rsidR="00000000" w:rsidDel="00000000" w:rsidP="00000000" w:rsidRDefault="00000000" w:rsidRPr="00000000" w14:paraId="00000082">
      <w:pPr>
        <w:spacing w:after="0" w:line="36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Caso o CLIENTE possua serviços avulsos utilizados e ainda não pagos, deverá efetuar o pagamento referente a esses serviços antes da rescisão contratual.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caso dos optantes pela modalidade de Endereço Comercial, o encerramento do contrato se dará por meio da simples solicitação de rescisão por e-mail.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caso dos optantes pela modalidade de Endereço Fiscal, o CLIENTE deverá enviar juntamente com a solicitação de rescisão, os seguintes documentos: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Cópia autenticada ou documento com a chancela eletrônica deferindo a solicitação de alteração de endereço ou baixa da empresa perante a Junta Comercial (ato alterador) e também perante a Prefeitura Municipal.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CLIENTE deverá observar atentamente os prazos de procedimentos administrativos de mudança de domicílio fiscal antes de eventual rescisão do presente instrumento, estando o CLIENTE ciente de que a NEX COWORKING não suspenderá a cobrança de mensalidades em razão da delonga na substituição do domicílio fiscal ou no processo de encerramento da empresa.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caso de inadimplência, resilição, distrato, descumprimento das disposições contratuais que impliquem cobrança de valores, NEX COWORKING está expressamente autorizada a emitir títulos de crédito em desfavor do CLIENTE, inclusive protestá-los e realizar sua inscrição em cadastros de restrição de crédito, sem prejuízo das medidas judiciais cabíveis.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presente termo contratual também é título executivo hábil para execução específica de obrigação de fazer.</w:t>
      </w:r>
    </w:p>
    <w:p w:rsidR="00000000" w:rsidDel="00000000" w:rsidP="00000000" w:rsidRDefault="00000000" w:rsidRPr="00000000" w14:paraId="00000090">
      <w:pPr>
        <w:spacing w:after="0" w:line="36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709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Por se tratar de disponibilização do Endereço próprio para fins comerciais e/ou fiscais, a NEX COWORKING reserva o direito de rescindir unilateralmente o presente contrato a qualquer tempo, mediante notificação prévia de 60 (sessenta) dias, sem que o CLIENTE faça jus a qualquer tipo de indenização.</w:t>
      </w:r>
    </w:p>
    <w:p w:rsidR="00000000" w:rsidDel="00000000" w:rsidP="00000000" w:rsidRDefault="00000000" w:rsidRPr="00000000" w14:paraId="00000092">
      <w:pPr>
        <w:spacing w:after="0" w:line="36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709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sz w:val="20"/>
          <w:szCs w:val="20"/>
          <w:rtl w:val="0"/>
        </w:rPr>
        <w:t xml:space="preserve">Caso o CLIENTE, comprovadamente, deixe de cumprir qualquer das formalidades acima, a NEX COWORKING poderá denunciar à Receita Federal o uso indevido de seu domicílio fiscal, o que poderá gerar a inaptidão da empresa, além da responsabilização pessoal dos sócios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709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sz w:val="20"/>
          <w:szCs w:val="20"/>
          <w:rtl w:val="0"/>
        </w:rPr>
        <w:t xml:space="preserve">A NEX COWORKING se reserva o direito de rescindir imediatamente o presente contrato caso seja devidamente comprovado a utilização do seu endereço, pelo CLIENTE, para fins ilícitos, imorais ou para atividades que afetem negativamente a sua imagem e reputação comercial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709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 hipótese de cancelamento do serviço, término ou suspensão do plano contratado, ou rescisão contratual, por qualquer motivo que seja, o CLIENTE deverá atualizar no prazo de até 30 (trinta) dias corridos contados da data do encerramento do vínculo com a NEX COWORKING, seus cadastros perante terceiros, substituindo o uso do endereço NEX em quaisquer instituições, públicas ou privadas.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709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NEX COWORKING não terá qualquer responsabilidade de recebimento e/ou guarda de correspondências do CLIENTE após a data de rescisão contratual, por qualquer motivo que seja.</w:t>
      </w:r>
    </w:p>
    <w:p w:rsidR="00000000" w:rsidDel="00000000" w:rsidP="00000000" w:rsidRDefault="00000000" w:rsidRPr="00000000" w14:paraId="0000009A">
      <w:pPr>
        <w:spacing w:after="0" w:line="36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90" w:right="0" w:hanging="390"/>
        <w:jc w:val="both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 CONTA DE USUÁRIO E USO DAS FERRAMENTAS NA PLATAFORMA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90" w:right="0" w:firstLine="0"/>
        <w:jc w:val="both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Área do Cliente NEX estará à disposição do CLIENTE 24 (vinte e quatro) horas por dia, 7 (sete) dias por semana, com exceção de manutenções regulares, que serão informadas mediante comunicado.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ato da contratação, o CLIENTE deverá informar endereço de e-mail válido ao qual será enviado </w:t>
      </w:r>
      <w:r>
        <w:rPr>
          <w:rFonts w:ascii="Proxima Nova" w:cs="Proxima Nova" w:eastAsia="Proxima Nova" w:hAnsi="Proxima Nov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login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 senha para acesso à Área do Cliente NEX.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login e senha que dão acesso à conta do usuário são de uso pessoal e intransferível, razão pela qual a NEX COWORKING não se responsabiliza por eventual manipulação não autorizada dessas informações por terceiros, e devendo, portanto, o CLIENTE tomar todas as medidas necessárias para manter em sigilo as referidas informações. </w:t>
      </w:r>
    </w:p>
    <w:p w:rsidR="00000000" w:rsidDel="00000000" w:rsidP="00000000" w:rsidRDefault="00000000" w:rsidRPr="00000000" w14:paraId="000000A2">
      <w:pPr>
        <w:spacing w:after="0" w:line="36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CLIENTE compromete-se a notificar a NEX COWORKING imediatamente, a respeito de qualquer uso não autorizado de sua conta, bem como o acesso não autorizado por terceiros à mesma.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CLIENTE será o único responsável pelas operações efetuadas em sua conta, uma vez que o acesso à mesma só será possível mediante a aposição da senha, cujo conhecimento é exclusivo do CLIENTE.</w:t>
      </w:r>
    </w:p>
    <w:p w:rsidR="00000000" w:rsidDel="00000000" w:rsidP="00000000" w:rsidRDefault="00000000" w:rsidRPr="00000000" w14:paraId="000000A6">
      <w:pPr>
        <w:spacing w:after="0" w:line="36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CLIENTE, ao preencher os formulários cadastrais fornecidos e enviados à NEX COWORKING, declara que todas as informações são precisas, verdadeiras e completas, responsabilizando-se por quaisquer inconsistências.</w:t>
      </w:r>
    </w:p>
    <w:p w:rsidR="00000000" w:rsidDel="00000000" w:rsidP="00000000" w:rsidRDefault="00000000" w:rsidRPr="00000000" w14:paraId="000000A8">
      <w:pPr>
        <w:spacing w:after="0" w:line="36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São partes integrantes e indissociáveis deste contrato os formulários para cadastramento do CLIENTE, fornecidas pela NEX COWORKING na sua página na internet.</w:t>
      </w:r>
    </w:p>
    <w:p w:rsidR="00000000" w:rsidDel="00000000" w:rsidP="00000000" w:rsidRDefault="00000000" w:rsidRPr="00000000" w14:paraId="000000AA">
      <w:pPr>
        <w:spacing w:after="0" w:line="36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CLIENTE responsabiliza-se civil e criminalmente pela veracidade e exatidão das informações fornecidas ao NEX COWORKING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90" w:right="0" w:hanging="39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DEMAIS DISPOSIÇÕES </w:t>
      </w:r>
      <w:r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9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CLIENTE deverá manter seu cadastro (telefone, endereço de e-mail e endereço residencial) sempre atualizados nos sistemas da NEX COWORKING para que possa ser cientificado do recebimento de correspondências e/ou notificações no Endereço Fiscal, quando for o caso. Todas as notificações enviadas ao endereço informado serão consideradas válidas e eficazes.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NEX COWORKING não se responsabiliza pelo extravio de eventuais correspondências e/ou encomendas, salvo em casos em que ficar comprovada a sua culpa.</w:t>
      </w:r>
    </w:p>
    <w:p w:rsidR="00000000" w:rsidDel="00000000" w:rsidP="00000000" w:rsidRDefault="00000000" w:rsidRPr="00000000" w14:paraId="000000B2">
      <w:pPr>
        <w:spacing w:after="0" w:line="36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NEX COWORKING não assume qualquer responsabilidade pelo recebimento de citações e/ou notificações judiciais e extrajudiciais em nome do CLIENTE no endereço postal.</w:t>
      </w:r>
    </w:p>
    <w:p w:rsidR="00000000" w:rsidDel="00000000" w:rsidP="00000000" w:rsidRDefault="00000000" w:rsidRPr="00000000" w14:paraId="000000B4">
      <w:pPr>
        <w:spacing w:after="0" w:line="36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CLIENTE não poderá ceder os direitos e obrigações do presente contrato, sob nenhuma hipótese.</w:t>
      </w:r>
    </w:p>
    <w:p w:rsidR="00000000" w:rsidDel="00000000" w:rsidP="00000000" w:rsidRDefault="00000000" w:rsidRPr="00000000" w14:paraId="000000B6">
      <w:pPr>
        <w:spacing w:after="0" w:line="36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Fonts w:ascii="Proxima Nova" w:cs="Proxima Nova" w:eastAsia="Proxima Nova" w:hAnsi="Proxima Nova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eventual tolerância pelo NEX COWORKING relativamente ao descumprimento de qualquer das obrigações do CLIENTE não será considerada novação (substituição, criação ou alteração de direitos ou obrigação) ou renúncia a qualquer direito, constituindo mera liberalidade.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9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90" w:right="0" w:hanging="39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FORO</w:t>
      </w:r>
      <w:r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9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Fica eleito o Foro Central da Comarca da Região Metropolitana de Curitiba, Estado do Paraná, como o competente para dirimir quaisquer dúvidas ou litígios decorrentes deste Contrato, renunciando a qualquer outro, por mais privilegiado que o seja.</w:t>
      </w:r>
    </w:p>
    <w:p w:rsidR="00000000" w:rsidDel="00000000" w:rsidP="00000000" w:rsidRDefault="00000000" w:rsidRPr="00000000" w14:paraId="000000BC">
      <w:pPr>
        <w:spacing w:after="0" w:line="36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BD">
      <w:pPr>
        <w:spacing w:after="0" w:line="36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BE">
      <w:pPr>
        <w:spacing w:after="0" w:line="36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BF">
      <w:pPr>
        <w:spacing w:after="0" w:line="36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C0">
      <w:pPr>
        <w:spacing w:after="0" w:line="36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C1">
      <w:pPr>
        <w:spacing w:after="0" w:line="360" w:lineRule="auto"/>
        <w:jc w:val="center"/>
        <w:rPr>
          <w:rFonts w:ascii="Proxima Nova" w:cs="Proxima Nova" w:eastAsia="Proxima Nova" w:hAnsi="Proxima Nova"/>
          <w:sz w:val="20"/>
          <w:szCs w:val="20"/>
        </w:rPr>
      </w:pPr>
      <w:r>
        <w:rPr>
          <w:rFonts w:ascii="Proxima Nova" w:cs="Proxima Nova" w:eastAsia="Proxima Nova" w:hAnsi="Proxima Nova"/>
          <w:sz w:val="20"/>
          <w:szCs w:val="20"/>
          <w:rtl w:val="0"/>
        </w:rPr>
        <w:t xml:space="preserve">{{data_assinatura}}</w:t>
      </w:r>
    </w:p>
    <w:p w:rsidR="00000000" w:rsidDel="00000000" w:rsidP="00000000" w:rsidRDefault="00000000" w:rsidRPr="00000000" w14:paraId="000000C2">
      <w:pPr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sectPr>
      <w:headerReference r:id="rId13" w:type="default"/>
      <w:pgSz w:h="16838" w:w="11906" w:orient="portrait"/>
      <w:pgMar w:bottom="1440" w:top="144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ambri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1"/>
        <w:bCs w:val="1"/>
        <w:i w:val="0"/>
        <w:iCs w:val="0"/>
        <w:smallCaps w:val="1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2311400</wp:posOffset>
          </wp:positionH>
          <wp:positionV relativeFrom="margin">
            <wp:posOffset>-1954495</wp:posOffset>
          </wp:positionV>
          <wp:extent cx="1540510" cy="711200"/>
          <wp:effectExtent b="0" l="0" r="0" t="0"/>
          <wp:wrapSquare wrapText="bothSides" distB="0" distT="0" distL="114300" distR="114300"/>
          <wp:docPr descr="Uma imagem contendo Forma  Descrição gerada automaticamente" id="1" name="image1.png"/>
          <a:graphic>
            <a:graphicData uri="http://schemas.openxmlformats.org/drawingml/2006/picture">
              <pic:pic>
                <pic:nvPicPr>
                  <pic:cNvPr descr="Uma imagem contendo Forma  Descrição gerada automaticament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40510" cy="7112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1"/>
        <w:bCs w:val="1"/>
        <w:i w:val="0"/>
        <w:iCs w:val="0"/>
        <w:smallCaps w:val="1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1"/>
        <w:bCs w:val="1"/>
        <w:i w:val="0"/>
        <w:iCs w:val="0"/>
        <w:smallCaps w:val="1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1"/>
        <w:bCs w:val="1"/>
        <w:i w:val="0"/>
        <w:iCs w:val="0"/>
        <w:smallCaps w:val="1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1"/>
        <w:bCs w:val="1"/>
        <w:i w:val="0"/>
        <w:iCs w:val="0"/>
        <w:smallCaps w:val="1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TERMOS E CONDIÇÕES</w:t>
    </w:r>
  </w:p>
  <w:p w:rsidR="00000000" w:rsidDel="00000000" w:rsidP="00000000" w:rsidRDefault="00000000" w:rsidRPr="00000000" w14:paraId="000000C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1"/>
        <w:bCs w:val="1"/>
        <w:i w:val="0"/>
        <w:iCs w:val="0"/>
        <w:smallCaps w:val="1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1"/>
        <w:bCs w:val="1"/>
        <w:i w:val="0"/>
        <w:iCs w:val="0"/>
        <w:smallCaps w:val="1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1"/>
        <w:bCs w:val="1"/>
        <w:i w:val="0"/>
        <w:iCs w:val="0"/>
        <w:smallCaps w:val="1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ACEITE AO PLANO ESCRITÓRIO VIRTUAL - NEX CONNECT</w:t>
    </w:r>
  </w:p>
  <w:p w:rsidR="00000000" w:rsidDel="00000000" w:rsidP="00000000" w:rsidRDefault="00000000" w:rsidRPr="00000000" w14:paraId="000000C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5"/>
      <w:numFmt w:val="decimal"/>
      <w:lvlText w:val="%1"/>
      <w:lvlJc w:val="left"/>
      <w:pPr>
        <w:ind w:left="360" w:hanging="360"/>
      </w:pPr>
      <w:rPr/>
    </w:lvl>
    <w:lvl w:ilvl="1">
      <w:start w:val="5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440" w:hanging="144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90" w:hanging="390"/>
      </w:pPr>
      <w:rPr>
        <w:b w:val="1"/>
        <w:bCs w:val="1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b w:val="1"/>
        <w:bCs w:val="1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b w:val="1"/>
        <w:bCs w:val="1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b w:val="1"/>
        <w:bCs w:val="1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b w:val="1"/>
        <w:bCs w:val="1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b w:val="1"/>
        <w:bCs w:val="1"/>
      </w:rPr>
    </w:lvl>
  </w:abstractNum>
  <w:abstractNum w:abstractNumId="3">
    <w:lvl w:ilvl="0">
      <w:start w:val="2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4">
    <w:lvl w:ilvl="0">
      <w:start w:val="4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?><Relationships xmlns="http://schemas.openxmlformats.org/package/2006/relationships"><Relationship Id="rId11" Type="http://schemas.openxmlformats.org/officeDocument/2006/relationships/hyperlink" Target="mailto:connect@nex.work" TargetMode="External"/><Relationship Id="rId10" Type="http://schemas.openxmlformats.org/officeDocument/2006/relationships/hyperlink" Target="https://nex.work/" TargetMode="External"/><Relationship Id="rId13" Type="http://schemas.openxmlformats.org/officeDocument/2006/relationships/header" Target="header1.xml"/><Relationship Id="rId12" Type="http://schemas.openxmlformats.org/officeDocument/2006/relationships/hyperlink" Target="mailto:connect@nex.wor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nex.work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martins.julio@gmail.com" TargetMode="External"/><Relationship Id="rId8" Type="http://schemas.openxmlformats.org/officeDocument/2006/relationships/hyperlink" Target="http://nex.work" TargetMode="Externa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QzGWoRe8j8GJbrNhuX96UXhX1A==">CgMxLjA4AHIhMVdvb2R2TmNyTmY1U0xPa2dHU3AwZVg1aGJ3cWlLZDdD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