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spacing w:after="0" w:line="240" w:lineRule="auto"/>
        <w:rPr>
          <w:rFonts w:ascii="Arial" w:cs="Arial" w:eastAsia="Arial" w:hAnsi="Arial"/>
        </w:rPr>
      </w:pPr>
      <w:r>
        <w:rPr>
          <w:rtl w:val="0"/>
        </w:rPr>
      </w:r>
    </w:p>
    <w:p w:rsidR="00000000" w:rsidDel="00000000" w:rsidP="00000000" w:rsidRDefault="00000000" w:rsidRPr="00000000" w14:paraId="00000002">
      <w:pPr>
        <w:shd w:fill="ffffff" w:val="clear"/>
        <w:spacing w:after="0" w:line="240" w:lineRule="auto"/>
        <w:rPr>
          <w:rFonts w:ascii="Arial" w:cs="Arial" w:eastAsia="Arial" w:hAnsi="Arial"/>
          <w:color w:val="333333"/>
          <w:sz w:val="20"/>
          <w:szCs w:val="20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03">
      <w:pPr>
        <w:shd w:fill="ffffff" w:val="clear"/>
        <w:spacing w:after="0" w:line="240" w:lineRule="auto"/>
        <w:rPr>
          <w:rFonts w:ascii="Tahoma" w:cs="Tahoma" w:eastAsia="Tahoma" w:hAnsi="Tahoma"/>
          <w:color w:val="333333"/>
          <w:sz w:val="17"/>
          <w:szCs w:val="17"/>
        </w:rPr>
      </w:pPr>
      <w:r>
        <w:rPr>
          <w:rFonts w:ascii="Tahoma" w:cs="Tahoma" w:eastAsia="Tahoma" w:hAnsi="Tahoma"/>
          <w:b w:val="1"/>
          <w:bCs w:val="1"/>
          <w:color w:val="333333"/>
          <w:sz w:val="21"/>
          <w:szCs w:val="21"/>
          <w:rtl w:val="0"/>
        </w:rPr>
        <w:t xml:space="preserve">INFORMAÇÕES DA CONTRATADA | NEX COWORKING</w:t>
      </w:r>
      <w:r>
        <w:rPr>
          <w:rFonts w:ascii="Tahoma" w:cs="Tahoma" w:eastAsia="Tahoma" w:hAnsi="Tahoma"/>
          <w:color w:val="333333"/>
          <w:sz w:val="17"/>
          <w:szCs w:val="17"/>
          <w:rtl w:val="0"/>
        </w:rPr>
        <w:br w:type="textWrapping"/>
        <w:t xml:space="preserve"> </w:t>
        <w:br w:type="textWrapping"/>
      </w:r>
      <w:r>
        <w:rPr>
          <w:rFonts w:ascii="Arial" w:cs="Arial" w:eastAsia="Arial" w:hAnsi="Arial"/>
          <w:b w:val="1"/>
          <w:bCs w:val="1"/>
          <w:color w:val="333333"/>
          <w:sz w:val="18"/>
          <w:szCs w:val="18"/>
          <w:rtl w:val="0"/>
        </w:rPr>
        <w:t xml:space="preserve">COLETIVO BATEL - ESPAÇO DE COWORKING LTDA</w:t>
      </w:r>
      <w:r>
        <w:rPr>
          <w:rFonts w:ascii="Arial" w:cs="Arial" w:eastAsia="Arial" w:hAnsi="Arial"/>
          <w:color w:val="333333"/>
          <w:sz w:val="18"/>
          <w:szCs w:val="18"/>
          <w:rtl w:val="0"/>
        </w:rPr>
        <w:br w:type="textWrapping"/>
      </w:r>
      <w:r>
        <w:rPr>
          <w:rFonts w:ascii="Tahoma" w:cs="Tahoma" w:eastAsia="Tahoma" w:hAnsi="Tahoma"/>
          <w:color w:val="333333"/>
          <w:sz w:val="17"/>
          <w:szCs w:val="17"/>
          <w:rtl w:val="0"/>
        </w:rPr>
        <w:t xml:space="preserve">CNPJ: 13.431.642/0001-97</w:t>
      </w:r>
      <w:r>
        <w:rPr>
          <w:rFonts w:ascii="Arial" w:cs="Arial" w:eastAsia="Arial" w:hAnsi="Arial"/>
          <w:color w:val="333333"/>
          <w:sz w:val="18"/>
          <w:szCs w:val="18"/>
          <w:rtl w:val="0"/>
        </w:rPr>
        <w:br w:type="textWrapping"/>
      </w:r>
      <w:r>
        <w:rPr>
          <w:rFonts w:ascii="Tahoma" w:cs="Tahoma" w:eastAsia="Tahoma" w:hAnsi="Tahoma"/>
          <w:color w:val="333333"/>
          <w:sz w:val="17"/>
          <w:szCs w:val="17"/>
          <w:rtl w:val="0"/>
        </w:rPr>
        <w:t xml:space="preserve">{{unidade_endereco}} </w:t>
      </w:r>
    </w:p>
    <w:p w:rsidR="00000000" w:rsidDel="00000000" w:rsidP="00000000" w:rsidRDefault="00000000" w:rsidRPr="00000000" w14:paraId="00000004">
      <w:pPr>
        <w:shd w:fill="ffffff" w:val="clear"/>
        <w:spacing w:after="0" w:line="240" w:lineRule="auto"/>
        <w:rPr>
          <w:rFonts w:ascii="Tahoma" w:cs="Tahoma" w:eastAsia="Tahoma" w:hAnsi="Tahoma"/>
          <w:color w:val="333333"/>
          <w:sz w:val="17"/>
          <w:szCs w:val="17"/>
        </w:rPr>
      </w:pPr>
      <w:r>
        <w:rPr>
          <w:rFonts w:ascii="Tahoma" w:cs="Tahoma" w:eastAsia="Tahoma" w:hAnsi="Tahoma"/>
          <w:color w:val="333333"/>
          <w:sz w:val="17"/>
          <w:szCs w:val="17"/>
          <w:rtl w:val="0"/>
        </w:rPr>
        <w:t xml:space="preserve">Curitiba – Paraná </w:t>
      </w:r>
    </w:p>
    <w:p w:rsidR="00000000" w:rsidDel="00000000" w:rsidP="00000000" w:rsidRDefault="00000000" w:rsidRPr="00000000" w14:paraId="00000005">
      <w:pPr>
        <w:shd w:fill="ffffff" w:val="clear"/>
        <w:spacing w:after="0" w:line="240" w:lineRule="auto"/>
        <w:rPr>
          <w:rFonts w:ascii="Arial" w:cs="Arial" w:eastAsia="Arial" w:hAnsi="Arial"/>
          <w:color w:val="333333"/>
          <w:sz w:val="20"/>
          <w:szCs w:val="20"/>
        </w:rPr>
      </w:pPr>
      <w:r>
        <w:rPr>
          <w:rFonts w:ascii="Tahoma" w:cs="Tahoma" w:eastAsia="Tahoma" w:hAnsi="Tahoma"/>
          <w:color w:val="333333"/>
          <w:sz w:val="17"/>
          <w:szCs w:val="17"/>
          <w:rtl w:val="0"/>
        </w:rPr>
        <w:t xml:space="preserve">CEP {{unidade_cep}} </w:t>
      </w:r>
      <w:r>
        <w:rPr>
          <w:rFonts w:ascii="Arial" w:cs="Arial" w:eastAsia="Arial" w:hAnsi="Arial"/>
          <w:color w:val="333333"/>
          <w:sz w:val="18"/>
          <w:szCs w:val="18"/>
          <w:rtl w:val="0"/>
        </w:rPr>
        <w:br w:type="textWrapping"/>
      </w:r>
      <w:r>
        <w:rPr>
          <w:rFonts w:ascii="Tahoma" w:cs="Tahoma" w:eastAsia="Tahoma" w:hAnsi="Tahoma"/>
          <w:color w:val="333333"/>
          <w:sz w:val="17"/>
          <w:szCs w:val="17"/>
          <w:rtl w:val="0"/>
        </w:rPr>
        <w:t xml:space="preserve">{{unidade_telefone}}</w:t>
      </w:r>
      <w:r>
        <w:rPr>
          <w:rFonts w:ascii="Arial" w:cs="Arial" w:eastAsia="Arial" w:hAnsi="Arial"/>
          <w:color w:val="333333"/>
          <w:sz w:val="18"/>
          <w:szCs w:val="18"/>
          <w:rtl w:val="0"/>
        </w:rPr>
        <w:br w:type="textWrapping"/>
      </w:r>
      <w:r>
        <w:rPr>
          <w:rFonts w:ascii="Tahoma" w:cs="Tahoma" w:eastAsia="Tahoma" w:hAnsi="Tahoma"/>
          <w:color w:val="333333"/>
          <w:sz w:val="17"/>
          <w:szCs w:val="17"/>
          <w:rtl w:val="0"/>
        </w:rPr>
        <w:t xml:space="preserve">{{unidade_email}}</w:t>
      </w:r>
      <w:r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rPr>
          <w:rFonts w:ascii="Tahoma" w:cs="Tahoma" w:eastAsia="Tahoma" w:hAnsi="Tahoma"/>
          <w:color w:val="333333"/>
          <w:sz w:val="17"/>
          <w:szCs w:val="17"/>
          <w:highlight w:val="white"/>
        </w:rPr>
      </w:pPr>
      <w:r>
        <w:rPr>
          <w:rFonts w:ascii="Tahoma" w:cs="Tahoma" w:eastAsia="Tahoma" w:hAnsi="Tahoma"/>
          <w:b w:val="1"/>
          <w:bCs w:val="1"/>
          <w:color w:val="333333"/>
          <w:sz w:val="21"/>
          <w:szCs w:val="21"/>
          <w:highlight w:val="white"/>
          <w:rtl w:val="0"/>
        </w:rPr>
        <w:t xml:space="preserve">INFORMAÇÕES DA CONTRATANTE | COWORKER</w:t>
      </w:r>
      <w:r>
        <w:rPr>
          <w:rFonts w:ascii="Tahoma" w:cs="Tahoma" w:eastAsia="Tahoma" w:hAnsi="Tahoma"/>
          <w:color w:val="333333"/>
          <w:sz w:val="17"/>
          <w:szCs w:val="17"/>
          <w:highlight w:val="white"/>
          <w:rtl w:val="0"/>
        </w:rPr>
        <w:br w:type="textWrapping"/>
        <w:br w:type="textWrapping"/>
      </w:r>
      <w:r>
        <w:rPr>
          <w:rFonts w:ascii="Tahoma" w:cs="Tahoma" w:eastAsia="Tahoma" w:hAnsi="Tahoma"/>
          <w:b w:val="1"/>
          <w:bCs w:val="1"/>
          <w:color w:val="333333"/>
          <w:sz w:val="17"/>
          <w:szCs w:val="17"/>
          <w:highlight w:val="white"/>
          <w:rtl w:val="0"/>
        </w:rPr>
        <w:t xml:space="preserve">{{nome_cliente}}</w:t>
      </w:r>
      <w:r>
        <w:rPr>
          <w:rFonts w:ascii="Tahoma" w:cs="Tahoma" w:eastAsia="Tahoma" w:hAnsi="Tahoma"/>
          <w:color w:val="333333"/>
          <w:sz w:val="17"/>
          <w:szCs w:val="17"/>
          <w:highlight w:val="white"/>
          <w:rtl w:val="0"/>
        </w:rPr>
        <w:br w:type="textWrapping"/>
        <w:t xml:space="preserve">CNPJ: {{cpf_cnpj}}</w:t>
      </w:r>
    </w:p>
    <w:p w:rsidR="00000000" w:rsidDel="00000000" w:rsidP="00000000" w:rsidRDefault="00000000" w:rsidRPr="00000000" w14:paraId="00000008">
      <w:pPr>
        <w:spacing w:after="0" w:line="240" w:lineRule="auto"/>
        <w:rPr>
          <w:rFonts w:ascii="Tahoma" w:cs="Tahoma" w:eastAsia="Tahoma" w:hAnsi="Tahoma"/>
          <w:color w:val="333333"/>
          <w:sz w:val="17"/>
          <w:szCs w:val="17"/>
          <w:highlight w:val="white"/>
        </w:rPr>
      </w:pPr>
      <w:r>
        <w:rPr>
          <w:rFonts w:ascii="Tahoma" w:cs="Tahoma" w:eastAsia="Tahoma" w:hAnsi="Tahoma"/>
          <w:color w:val="333333"/>
          <w:sz w:val="17"/>
          <w:szCs w:val="17"/>
          <w:rtl w:val="0"/>
        </w:rPr>
        <w:t xml:space="preserve">{{endereco_cliente}}</w:t>
        <w:br w:type="textWrapping"/>
        <w:t xml:space="preserve">CEP {{cep_cliente}}</w:t>
      </w:r>
      <w:r>
        <w:rPr>
          <w:rFonts w:ascii="Tahoma" w:cs="Tahoma" w:eastAsia="Tahoma" w:hAnsi="Tahoma"/>
          <w:color w:val="333333"/>
          <w:sz w:val="17"/>
          <w:szCs w:val="17"/>
          <w:highlight w:val="white"/>
          <w:rtl w:val="0"/>
        </w:rPr>
        <w:br w:type="textWrapping"/>
      </w:r>
      <w:hyperlink r:id="rId7">
        <w:r>
          <w:rPr>
            <w:rFonts w:ascii="Tahoma" w:cs="Tahoma" w:eastAsia="Tahoma" w:hAnsi="Tahoma"/>
            <w:color w:val="1155cc"/>
            <w:sz w:val="17"/>
            <w:szCs w:val="17"/>
            <w:highlight w:val="white"/>
            <w:u w:val="single"/>
            <w:rtl w:val="0"/>
          </w:rPr>
          <w:t xml:space="preserve">{{email_cliente}}</w:t>
        </w:r>
      </w:hyperlink>
      <w:r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rPr>
          <w:rFonts w:ascii="Tahoma" w:cs="Tahoma" w:eastAsia="Tahoma" w:hAnsi="Tahoma"/>
          <w:color w:val="333333"/>
          <w:sz w:val="17"/>
          <w:szCs w:val="17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rPr>
          <w:rFonts w:ascii="Tahoma" w:cs="Tahoma" w:eastAsia="Tahoma" w:hAnsi="Tahoma"/>
          <w:color w:val="333333"/>
          <w:sz w:val="17"/>
          <w:szCs w:val="17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rPr>
          <w:rFonts w:ascii="Tahoma" w:cs="Tahoma" w:eastAsia="Tahoma" w:hAnsi="Tahoma"/>
          <w:color w:val="333333"/>
          <w:sz w:val="17"/>
          <w:szCs w:val="17"/>
          <w:highlight w:val="white"/>
        </w:rPr>
      </w:pPr>
      <w:r>
        <w:rPr>
          <w:rFonts w:ascii="Tahoma" w:cs="Tahoma" w:eastAsia="Tahoma" w:hAnsi="Tahoma"/>
          <w:b w:val="1"/>
          <w:bCs w:val="1"/>
          <w:color w:val="333333"/>
          <w:sz w:val="21"/>
          <w:szCs w:val="21"/>
          <w:highlight w:val="white"/>
          <w:rtl w:val="0"/>
        </w:rPr>
        <w:t xml:space="preserve">OBJETO DO CONTRATO</w:t>
      </w:r>
      <w:r>
        <w:rPr>
          <w:rFonts w:ascii="Tahoma" w:cs="Tahoma" w:eastAsia="Tahoma" w:hAnsi="Tahoma"/>
          <w:color w:val="333333"/>
          <w:sz w:val="17"/>
          <w:szCs w:val="17"/>
          <w:highlight w:val="white"/>
          <w:rtl w:val="0"/>
        </w:rPr>
        <w:br w:type="textWrapping"/>
        <w:br w:type="textWrapping"/>
      </w:r>
      <w:r>
        <w:rPr>
          <w:rFonts w:ascii="Tahoma" w:cs="Tahoma" w:eastAsia="Tahoma" w:hAnsi="Tahoma"/>
          <w:b w:val="1"/>
          <w:bCs w:val="1"/>
          <w:color w:val="333333"/>
          <w:sz w:val="17"/>
          <w:szCs w:val="17"/>
          <w:highlight w:val="white"/>
          <w:rtl w:val="0"/>
        </w:rPr>
        <w:t xml:space="preserve">Plano contratado: </w:t>
      </w:r>
      <w:r>
        <w:rPr>
          <w:rFonts w:ascii="Arial" w:cs="Arial" w:eastAsia="Arial" w:hAnsi="Arial"/>
          <w:color w:val="333333"/>
          <w:sz w:val="18"/>
          <w:szCs w:val="18"/>
          <w:shd w:fill="f9f9f9" w:val="clear"/>
          <w:rtl w:val="0"/>
        </w:rPr>
        <w:t xml:space="preserve">Plano de Escritório Virtual. </w:t>
      </w:r>
      <w:r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rPr>
          <w:rFonts w:ascii="Tahoma" w:cs="Tahoma" w:eastAsia="Tahoma" w:hAnsi="Tahoma"/>
          <w:color w:val="333333"/>
          <w:sz w:val="17"/>
          <w:szCs w:val="17"/>
          <w:highlight w:val="white"/>
        </w:rPr>
      </w:pPr>
      <w:r>
        <w:rPr>
          <w:rFonts w:ascii="Tahoma" w:cs="Tahoma" w:eastAsia="Tahoma" w:hAnsi="Tahoma"/>
          <w:b w:val="1"/>
          <w:bCs w:val="1"/>
          <w:color w:val="333333"/>
          <w:sz w:val="17"/>
          <w:szCs w:val="17"/>
          <w:highlight w:val="white"/>
          <w:rtl w:val="0"/>
        </w:rPr>
        <w:t xml:space="preserve">Opção: </w:t>
      </w:r>
      <w:r>
        <w:rPr>
          <w:rFonts w:ascii="Tahoma" w:cs="Tahoma" w:eastAsia="Tahoma" w:hAnsi="Tahoma"/>
          <w:color w:val="333333"/>
          <w:sz w:val="17"/>
          <w:szCs w:val="17"/>
          <w:highlight w:val="white"/>
          <w:rtl w:val="0"/>
        </w:rPr>
        <w:t xml:space="preserve">{{opcao}}</w:t>
      </w:r>
    </w:p>
    <w:p w:rsidR="00000000" w:rsidDel="00000000" w:rsidP="00000000" w:rsidRDefault="00000000" w:rsidRPr="00000000" w14:paraId="0000000E">
      <w:pPr>
        <w:spacing w:after="0" w:line="240" w:lineRule="auto"/>
        <w:rPr>
          <w:rFonts w:ascii="Tahoma" w:cs="Tahoma" w:eastAsia="Tahoma" w:hAnsi="Tahoma"/>
          <w:color w:val="333333"/>
          <w:sz w:val="17"/>
          <w:szCs w:val="17"/>
          <w:highlight w:val="white"/>
        </w:rPr>
      </w:pPr>
      <w:r>
        <w:rPr>
          <w:rFonts w:ascii="Tahoma" w:cs="Tahoma" w:eastAsia="Tahoma" w:hAnsi="Tahoma"/>
          <w:b w:val="1"/>
          <w:bCs w:val="1"/>
          <w:color w:val="333333"/>
          <w:sz w:val="17"/>
          <w:szCs w:val="17"/>
          <w:highlight w:val="white"/>
          <w:rtl w:val="0"/>
        </w:rPr>
        <w:t xml:space="preserve">Modalidade de pagamento:</w:t>
      </w:r>
      <w:r>
        <w:rPr>
          <w:rFonts w:ascii="Tahoma" w:cs="Tahoma" w:eastAsia="Tahoma" w:hAnsi="Tahoma"/>
          <w:color w:val="333333"/>
          <w:sz w:val="17"/>
          <w:szCs w:val="17"/>
          <w:highlight w:val="white"/>
          <w:rtl w:val="0"/>
        </w:rPr>
        <w:t xml:space="preserve"> {{modalidade_pagamento}}</w:t>
      </w:r>
    </w:p>
    <w:p w:rsidR="00000000" w:rsidDel="00000000" w:rsidP="00000000" w:rsidRDefault="00000000" w:rsidRPr="00000000" w14:paraId="0000000F">
      <w:pPr>
        <w:spacing w:after="0" w:line="240" w:lineRule="auto"/>
        <w:rPr>
          <w:rFonts w:ascii="Arial" w:cs="Arial" w:eastAsia="Arial" w:hAnsi="Arial"/>
          <w:color w:val="333333"/>
          <w:sz w:val="20"/>
          <w:szCs w:val="20"/>
        </w:rPr>
      </w:pPr>
      <w:r>
        <w:rPr>
          <w:rFonts w:ascii="Tahoma" w:cs="Tahoma" w:eastAsia="Tahoma" w:hAnsi="Tahoma"/>
          <w:b w:val="1"/>
          <w:bCs w:val="1"/>
          <w:color w:val="333333"/>
          <w:sz w:val="17"/>
          <w:szCs w:val="17"/>
          <w:highlight w:val="white"/>
          <w:rtl w:val="0"/>
        </w:rPr>
        <w:t xml:space="preserve">Domicílio Fiscal contratado: </w:t>
      </w:r>
      <w:r>
        <w:rPr>
          <w:rFonts w:ascii="Tahoma" w:cs="Tahoma" w:eastAsia="Tahoma" w:hAnsi="Tahoma"/>
          <w:color w:val="333333"/>
          <w:sz w:val="17"/>
          <w:szCs w:val="17"/>
          <w:highlight w:val="white"/>
          <w:rtl w:val="0"/>
        </w:rPr>
        <w:t xml:space="preserve">{{domicilio_fiscal}} </w:t>
        <w:br w:type="textWrapping"/>
      </w:r>
      <w:r>
        <w:rPr>
          <w:rFonts w:ascii="Tahoma" w:cs="Tahoma" w:eastAsia="Tahoma" w:hAnsi="Tahoma"/>
          <w:b w:val="1"/>
          <w:bCs w:val="1"/>
          <w:color w:val="333333"/>
          <w:sz w:val="17"/>
          <w:szCs w:val="17"/>
          <w:highlight w:val="white"/>
          <w:rtl w:val="0"/>
        </w:rPr>
        <w:t xml:space="preserve">Início da vigência: </w:t>
      </w:r>
      <w:r>
        <w:rPr>
          <w:rFonts w:ascii="Tahoma" w:cs="Tahoma" w:eastAsia="Tahoma" w:hAnsi="Tahoma"/>
          <w:color w:val="333333"/>
          <w:sz w:val="17"/>
          <w:szCs w:val="17"/>
          <w:highlight w:val="white"/>
          <w:rtl w:val="0"/>
        </w:rPr>
        <w:t xml:space="preserve">{{data_inicio}}</w:t>
        <w:br w:type="textWrapping"/>
      </w:r>
      <w:r>
        <w:rPr>
          <w:rFonts w:ascii="Tahoma" w:cs="Tahoma" w:eastAsia="Tahoma" w:hAnsi="Tahoma"/>
          <w:b w:val="1"/>
          <w:bCs w:val="1"/>
          <w:color w:val="333333"/>
          <w:sz w:val="17"/>
          <w:szCs w:val="17"/>
          <w:highlight w:val="white"/>
          <w:rtl w:val="0"/>
        </w:rPr>
        <w:t xml:space="preserve">Término da vigência: </w:t>
      </w:r>
      <w:r>
        <w:rPr>
          <w:rFonts w:ascii="Tahoma" w:cs="Tahoma" w:eastAsia="Tahoma" w:hAnsi="Tahoma"/>
          <w:color w:val="333333"/>
          <w:sz w:val="17"/>
          <w:szCs w:val="17"/>
          <w:highlight w:val="white"/>
          <w:rtl w:val="0"/>
        </w:rPr>
        <w:t xml:space="preserve">{{data_fim}}</w:t>
      </w:r>
      <w:r>
        <w:rPr>
          <w:rFonts w:ascii="Arial" w:cs="Arial" w:eastAsia="Arial" w:hAnsi="Arial"/>
          <w:color w:val="333333"/>
          <w:sz w:val="20"/>
          <w:szCs w:val="20"/>
          <w:rtl w:val="0"/>
        </w:rPr>
        <w:br w:type="textWrapping"/>
      </w:r>
      <w:r>
        <w:rPr>
          <w:rFonts w:ascii="Tahoma" w:cs="Tahoma" w:eastAsia="Tahoma" w:hAnsi="Tahoma"/>
          <w:b w:val="1"/>
          <w:bCs w:val="1"/>
          <w:color w:val="333333"/>
          <w:sz w:val="17"/>
          <w:szCs w:val="17"/>
          <w:highlight w:val="white"/>
          <w:rtl w:val="0"/>
        </w:rPr>
        <w:t xml:space="preserve">Renovação: </w:t>
      </w:r>
      <w:r>
        <w:rPr>
          <w:rFonts w:ascii="Tahoma" w:cs="Tahoma" w:eastAsia="Tahoma" w:hAnsi="Tahoma"/>
          <w:color w:val="333333"/>
          <w:sz w:val="17"/>
          <w:szCs w:val="17"/>
          <w:highlight w:val="white"/>
          <w:rtl w:val="0"/>
        </w:rPr>
        <w:t xml:space="preserve">em formato automático no dia do término da vigência acima referida. </w:t>
      </w:r>
      <w:r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rFonts w:ascii="Arial" w:cs="Arial" w:eastAsia="Arial" w:hAnsi="Arial"/>
          <w:color w:val="333333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12">
      <w:pPr>
        <w:spacing w:after="0" w:line="360" w:lineRule="auto"/>
        <w:rPr>
          <w:rFonts w:ascii="Tahoma" w:cs="Tahoma" w:eastAsia="Tahoma" w:hAnsi="Tahoma"/>
          <w:color w:val="333333"/>
          <w:sz w:val="17"/>
          <w:szCs w:val="17"/>
          <w:highlight w:val="white"/>
        </w:rPr>
      </w:pPr>
      <w:r>
        <w:rPr>
          <w:rFonts w:ascii="Tahoma" w:cs="Tahoma" w:eastAsia="Tahoma" w:hAnsi="Tahoma"/>
          <w:b w:val="1"/>
          <w:bCs w:val="1"/>
          <w:color w:val="333333"/>
          <w:sz w:val="21"/>
          <w:szCs w:val="21"/>
          <w:highlight w:val="white"/>
          <w:rtl w:val="0"/>
        </w:rPr>
        <w:t xml:space="preserve">VALORES</w:t>
      </w:r>
      <w:r>
        <w:rPr>
          <w:rFonts w:ascii="Tahoma" w:cs="Tahoma" w:eastAsia="Tahoma" w:hAnsi="Tahoma"/>
          <w:b w:val="1"/>
          <w:bCs w:val="1"/>
          <w:color w:val="333333"/>
          <w:sz w:val="17"/>
          <w:szCs w:val="17"/>
          <w:highlight w:val="white"/>
          <w:rtl w:val="0"/>
        </w:rPr>
        <w:br w:type="textWrapping"/>
      </w:r>
      <w:r>
        <w:rPr>
          <w:rtl w:val="0"/>
        </w:rPr>
      </w:r>
    </w:p>
    <w:p w:rsidR="00000000" w:rsidDel="00000000" w:rsidP="00000000" w:rsidRDefault="00000000" w:rsidRPr="00000000" w14:paraId="00000013">
      <w:pPr>
        <w:spacing w:after="0" w:line="360" w:lineRule="auto"/>
        <w:rPr>
          <w:rFonts w:ascii="Tahoma" w:cs="Tahoma" w:eastAsia="Tahoma" w:hAnsi="Tahoma"/>
          <w:color w:val="333333"/>
          <w:sz w:val="17"/>
          <w:szCs w:val="17"/>
          <w:highlight w:val="white"/>
        </w:rPr>
      </w:pPr>
      <w:r>
        <w:rPr>
          <w:rFonts w:ascii="Tahoma" w:cs="Tahoma" w:eastAsia="Tahoma" w:hAnsi="Tahoma"/>
          <w:b w:val="1"/>
          <w:bCs w:val="1"/>
          <w:color w:val="333333"/>
          <w:sz w:val="17"/>
          <w:szCs w:val="17"/>
          <w:highlight w:val="white"/>
          <w:rtl w:val="0"/>
        </w:rPr>
        <w:t xml:space="preserve">Valor Base do Serviço contratado: </w:t>
      </w:r>
      <w:r>
        <w:rPr>
          <w:rFonts w:ascii="Tahoma" w:cs="Tahoma" w:eastAsia="Tahoma" w:hAnsi="Tahoma"/>
          <w:color w:val="333333"/>
          <w:sz w:val="17"/>
          <w:szCs w:val="17"/>
          <w:highlight w:val="white"/>
          <w:rtl w:val="0"/>
        </w:rPr>
        <w:t xml:space="preserve">{{valor_base}} </w:t>
      </w:r>
    </w:p>
    <w:p w:rsidR="00000000" w:rsidDel="00000000" w:rsidP="00000000" w:rsidRDefault="00000000" w:rsidRPr="00000000" w14:paraId="00000014">
      <w:pPr>
        <w:spacing w:after="0" w:line="360" w:lineRule="auto"/>
        <w:rPr>
          <w:rFonts w:ascii="Tahoma" w:cs="Tahoma" w:eastAsia="Tahoma" w:hAnsi="Tahoma"/>
          <w:color w:val="333333"/>
          <w:sz w:val="17"/>
          <w:szCs w:val="17"/>
          <w:highlight w:val="white"/>
        </w:rPr>
      </w:pPr>
      <w:r>
        <w:rPr>
          <w:rFonts w:ascii="Tahoma" w:cs="Tahoma" w:eastAsia="Tahoma" w:hAnsi="Tahoma"/>
          <w:b w:val="1"/>
          <w:bCs w:val="1"/>
          <w:color w:val="333333"/>
          <w:sz w:val="17"/>
          <w:szCs w:val="17"/>
          <w:highlight w:val="white"/>
          <w:rtl w:val="0"/>
        </w:rPr>
        <w:t xml:space="preserve">Valor de Adesão com Desconto: </w:t>
      </w:r>
      <w:r>
        <w:rPr>
          <w:rFonts w:ascii="Tahoma" w:cs="Tahoma" w:eastAsia="Tahoma" w:hAnsi="Tahoma"/>
          <w:color w:val="333333"/>
          <w:sz w:val="17"/>
          <w:szCs w:val="17"/>
          <w:highlight w:val="white"/>
          <w:rtl w:val="0"/>
        </w:rPr>
        <w:t xml:space="preserve">{{valor_adesao}}  </w:t>
      </w:r>
    </w:p>
    <w:p w:rsidR="00000000" w:rsidDel="00000000" w:rsidP="00000000" w:rsidRDefault="00000000" w:rsidRPr="00000000" w14:paraId="00000015">
      <w:pPr>
        <w:spacing w:after="0" w:line="360" w:lineRule="auto"/>
        <w:rPr>
          <w:rFonts w:ascii="Tahoma" w:cs="Tahoma" w:eastAsia="Tahoma" w:hAnsi="Tahoma"/>
          <w:b w:val="1"/>
          <w:bCs w:val="1"/>
          <w:color w:val="333333"/>
          <w:sz w:val="17"/>
          <w:szCs w:val="17"/>
          <w:highlight w:val="white"/>
        </w:rPr>
      </w:pPr>
      <w:r>
        <w:rPr>
          <w:rFonts w:ascii="Tahoma" w:cs="Tahoma" w:eastAsia="Tahoma" w:hAnsi="Tahoma"/>
          <w:b w:val="1"/>
          <w:bCs w:val="1"/>
          <w:color w:val="333333"/>
          <w:sz w:val="17"/>
          <w:szCs w:val="17"/>
          <w:highlight w:val="white"/>
          <w:rtl w:val="0"/>
        </w:rPr>
        <w:t xml:space="preserve">Renovação: </w:t>
      </w:r>
      <w:r>
        <w:rPr>
          <w:rFonts w:ascii="Tahoma" w:cs="Tahoma" w:eastAsia="Tahoma" w:hAnsi="Tahoma"/>
          <w:color w:val="333333"/>
          <w:sz w:val="17"/>
          <w:szCs w:val="17"/>
          <w:highlight w:val="white"/>
          <w:rtl w:val="0"/>
        </w:rPr>
        <w:t xml:space="preserve">{{renovacao_texto}} </w:t>
      </w:r>
      <w:r>
        <w:rPr>
          <w:rtl w:val="0"/>
        </w:rPr>
      </w:r>
    </w:p>
    <w:p w:rsidR="00000000" w:rsidDel="00000000" w:rsidP="00000000" w:rsidRDefault="00000000" w:rsidRPr="00000000" w14:paraId="00000016">
      <w:pPr>
        <w:spacing w:after="0" w:line="360" w:lineRule="auto"/>
        <w:rPr>
          <w:rFonts w:ascii="Proxima Nova" w:cs="Proxima Nova" w:eastAsia="Proxima Nova" w:hAnsi="Proxima Nova"/>
          <w:b w:val="1"/>
          <w:bCs w:val="1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17">
      <w:pPr>
        <w:spacing w:after="0" w:line="360" w:lineRule="auto"/>
        <w:ind w:firstLine="708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hanging="390"/>
        <w:jc w:val="left"/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OBJETO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firstLine="0"/>
        <w:jc w:val="left"/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Pelo presente contrato, o CLIENTE declara que leu, aceita e não oferece qualquer oposição aos termos de contratação do presente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Plano Escritório Virtual - Nex Connect, na modalidade de Endereço </w:t>
      </w:r>
      <w:r>
        <w:rPr>
          <w:rFonts w:ascii="Proxima Nova" w:cs="Proxima Nova" w:eastAsia="Proxima Nova" w:hAnsi="Proxima Nova"/>
          <w:b w:val="1"/>
          <w:bCs w:val="1"/>
          <w:sz w:val="20"/>
          <w:szCs w:val="20"/>
          <w:rtl w:val="0"/>
        </w:rPr>
        <w:t xml:space="preserve">Comercial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presente contrato é celebrado em ambiente virtual, mediante acesso do CLIENTE ao </w:t>
      </w:r>
      <w:r>
        <w:rPr>
          <w:rFonts w:ascii="Proxima Nova" w:cs="Proxima Nova" w:eastAsia="Proxima Nova" w:hAnsi="Proxima Nova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site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da NEX COWORKING (https://nex.work/), no qual foi necessário o fornecimento de informações cadastrais do CLIENTE, a opção do plano desejado, bem como a leitura e aceitação prévia dos termos da presente contratação.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Plano Escritório Virtual - Nex Connect</w:t>
      </w:r>
      <w:r>
        <w:rPr>
          <w:rFonts w:ascii="Proxima Nova" w:cs="Proxima Nova" w:eastAsia="Proxima Nova" w:hAnsi="Proxima Nova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permite ao CLIENTE optar por uma das seguintes modalidades: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Endereço Comercial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: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Consiste em utilizar o endereço da NEX COWORKING para fins comerciais, ou seja, divulgação para clientes e terceiros em geral, tais como em cartões de visitas, site e/ou demais locais em que possa haver a divulgação do serviço prestado pelo CLIENTE.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Endereço Fiscal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O serviço de Endereço Fiscal permite ao 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1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CLIENTE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utilizar o endereço NEX de duas formas: </w:t>
      </w:r>
      <w:r>
        <w:rPr>
          <w:rFonts w:ascii="Proxima Nova" w:cs="Proxima Nova" w:eastAsia="Proxima Nova" w:hAnsi="Proxima Nova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(i)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para fins oficiais e fiscais, pelo registro no contrato social, alvará, licenças em geral e Cadastro Nacional de Pessoas Jurídicas (CNPJ) do CLIENTE; bem como </w:t>
      </w:r>
      <w:r>
        <w:rPr>
          <w:rFonts w:ascii="Proxima Nova" w:cs="Proxima Nova" w:eastAsia="Proxima Nova" w:hAnsi="Proxima Nova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(ii)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para fins comerciais, em materiais de apresentação, tais como cartões profissionais, websites, folders etc.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843" w:right="0" w:hanging="567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endereço a ser utilizado para ambas as modalidades é 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“</w:t>
      </w:r>
      <w:r>
        <w:rPr>
          <w:rFonts w:ascii="Proxima Nova" w:cs="Proxima Nova" w:eastAsia="Proxima Nova" w:hAnsi="Proxima Nova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Rua Francisco Rocha, 198, Bairro Batel, Curitiba, Paraná, CEP 80.420-130, sempre acompanhado do número de Caixa Postal a ser informado pelo NEX após a confirmação desse cadastro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”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Independente da modalidade escolhida pelo CLIENTE, faz parte do objeto deste contrato o serviço de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Gestão de Correspondências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conforme disposto:</w:t>
      </w:r>
      <w:r>
        <w:rPr>
          <w:rtl w:val="0"/>
        </w:rPr>
      </w:r>
    </w:p>
    <w:p w:rsidR="00000000" w:rsidDel="00000000" w:rsidP="00000000" w:rsidRDefault="00000000" w:rsidRPr="00000000" w14:paraId="00000027">
      <w:pPr>
        <w:spacing w:after="0" w:line="360" w:lineRule="auto"/>
        <w:jc w:val="both"/>
        <w:rPr>
          <w:rFonts w:ascii="Proxima Nova" w:cs="Proxima Nova" w:eastAsia="Proxima Nova" w:hAnsi="Proxima Nova"/>
          <w:b w:val="1"/>
          <w:bCs w:val="1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NEX COWORKING permite que seu endereço, especificado na cláusula 1.3 deste contrato, seja utilizado em cadastros em geral, para a constituição de destinatário postal de determinados tipos de correspondência e encomendas.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3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108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NEX COWORKING notificará o CLIENTE, por meio do endereço eletrônico (email) informado no momento da contratação deste plano, em até 01 (um) dia útil após o recebimento da correspondência e/ou encomenda.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3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108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As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correspondências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deverão ter formato máximo A4 (21cm x 29,7cm), com a devida identificação do CLIENTE como destinatário.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3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108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CLIENTE deverá retirar sua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correspondência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num prazo máximo de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15 dias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corridos após o envio da notificação. Após esse prazo, fica a NEX COWORKING autorizada a descartar a respectiva correspondência.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3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108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NEX COWORKING receberá até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10 correspondências mensais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em nome do CLIENTE, sem nenhum custo adicional. As correspondências que excederem esse limite serão cobradas à parte, por unidade, de acordo com a tabela de preços vigente e disponível no endereço http://nex.work.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3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108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As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encomendas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poderão ter outros formatos, incluindo caixas de até 100cm x 100cm x 100cm, com a devida identificação do CLIENTE como destinatário.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3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108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NEX COWORKING receberá até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03 encomendas mensais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em nome do CLIENTE, sem nenhum custo adicional. As encomendas que excederem esse limite serão cobradas à parte, por unidade, de acordo com a tabela de preços vigente e disponível no endereço http://nex.work.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3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108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No caso de recebimento de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encomenda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prazo máximo para retirada pelo CLIENTE será de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05 dias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corridos após o envio da notificação. Após esse prazo, fica a NEX COWORKING autorizada a descartar a respectiva encomenda.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 </w:t>
      </w:r>
      <w:r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3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108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NEX COWORKING receberá as correspondências e/ou encomendas do CLIENTE apenas de segunda à sexta-feira, exceto feriados, durante o horário de funcionamento da unidade, conforme informado no seus site (</w:t>
      </w:r>
      <w:hyperlink r:id="rId8">
        <w:r>
          <w:rPr>
            <w:rFonts w:ascii="Proxima Nova" w:cs="Proxima Nova" w:eastAsia="Proxima Nova" w:hAnsi="Proxima Nova"/>
            <w:b w:val="0"/>
            <w:bCs w:val="0"/>
            <w:i w:val="0"/>
            <w:iCs w:val="0"/>
            <w:smallCaps w:val="0"/>
            <w:strike w:val="0"/>
            <w:color w:val="0563c1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http://nex.work</w:t>
        </w:r>
      </w:hyperlink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3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108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CLIENTE poderá retirar as suas correspondências e/ou encomendas, dentro do prazo máximo estabelecido em cada caso, sempre de segunda à sexta-feira, durante o horário de funcionamento da NEX COWORKING, conforme informado no seus site (</w:t>
      </w:r>
      <w:hyperlink r:id="rId9">
        <w:r>
          <w:rPr>
            <w:rFonts w:ascii="Proxima Nova" w:cs="Proxima Nova" w:eastAsia="Proxima Nova" w:hAnsi="Proxima Nova"/>
            <w:b w:val="0"/>
            <w:bCs w:val="0"/>
            <w:i w:val="0"/>
            <w:iCs w:val="0"/>
            <w:smallCaps w:val="0"/>
            <w:strike w:val="0"/>
            <w:color w:val="0563c1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http://nex.work</w:t>
        </w:r>
      </w:hyperlink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).   </w:t>
      </w:r>
    </w:p>
    <w:p w:rsidR="00000000" w:rsidDel="00000000" w:rsidP="00000000" w:rsidRDefault="00000000" w:rsidRPr="00000000" w14:paraId="0000003B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Independente da modalidade de contratação, o CLIENTE poderá ainda:</w:t>
      </w:r>
    </w:p>
    <w:p w:rsidR="00000000" w:rsidDel="00000000" w:rsidP="00000000" w:rsidRDefault="00000000" w:rsidRPr="00000000" w14:paraId="0000003D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Reservar e utilizar, de forma avulsa, salas de reunião, estações de trabalho ou escritórios privativos, de acordo com as regras de uso e conforme disponibilidade de agenda. O CLIENTE terá 30% de desconto sobre a tabela de preços vigente, disponível para consulta na Área do Cliente no momento do agendamento.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Participar de eventos gratuitos exclusivos realizados pela NEX COWORKING e destinados preferencialmente a seus clientes e parceiros.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Obter descontos na inscrição de quaisquer eventos pagos realizados pela NEX COWORKING.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Obter descontos e outros benefícios eventuais oferecidos por parceiros da NEX COWORKING a todos os seus clientes.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Não está compreendido no Plano Escritório Virtual - Nex Connect</w:t>
      </w:r>
      <w:r>
        <w:rPr>
          <w:rFonts w:ascii="Proxima Nova" w:cs="Proxima Nova" w:eastAsia="Proxima Nova" w:hAnsi="Proxima Nova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utilização, pelo CLIENTE, do espaço físico da NEX COWORKING, ou seja, dos estúdios privativos e mesas de trabalho, salas de reunião, deck, auditório e demais áreas comuns. 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Caso o CLIENTE deseje utilizar estes serviços, deverá adquirir diárias avulsas, ou realizar a respectiva contratação de uso de tais espaços (com os devidos descontos que possui na condição de CLIENTE), ou ainda contratar outro plano que contemple estes usos e/ou serviços.</w:t>
      </w:r>
    </w:p>
    <w:p w:rsidR="00000000" w:rsidDel="00000000" w:rsidP="00000000" w:rsidRDefault="00000000" w:rsidRPr="00000000" w14:paraId="00000049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hanging="390"/>
        <w:jc w:val="left"/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PAGAMENTO E DURAÇÃO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firstLine="0"/>
        <w:jc w:val="left"/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hanging="709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valor devido pelo CLIENTE pela contratação do Plano Escritório Virtual - Nex Connect será aquele constante na Tabela de Valores vigente da NEX COWORKING, disponível no site (</w:t>
      </w:r>
      <w:hyperlink r:id="rId10">
        <w:r>
          <w:rPr>
            <w:rFonts w:ascii="Proxima Nova" w:cs="Proxima Nova" w:eastAsia="Proxima Nova" w:hAnsi="Proxima Nova"/>
            <w:b w:val="0"/>
            <w:bCs w:val="0"/>
            <w:i w:val="0"/>
            <w:iCs w:val="0"/>
            <w:smallCaps w:val="0"/>
            <w:strike w:val="0"/>
            <w:color w:val="0563c1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https://nex.work/</w:t>
        </w:r>
      </w:hyperlink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hanging="709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periodicidade do pagamento poderá ser mensal ou semestral, de acordo com a escolha do CLIENTE no momento da contratação plano. 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CLIENTE que optar pela periodicidade de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pagamento mensal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deverá efetuar o pagamento exclusivamente por meio de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cartão de crédito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 titularidade do CLIENTE.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CLIENTE que optar pela periodicidade de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pagamento semestral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deverá efetuar o pagamento semestral único por meio de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boleto bancário ou cartão de crédito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titularidade do CLIENTE. 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hanging="709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CLIENTE que efetuar o cadastramento para adesão e selecionar a modalidade pretendida terá o prazo de até 3 (três) dias corridos para efetuar o pagamento da primeira mensalidade ou semestralidade, sob pena de cancelamento automático de seu cadastro pela NEX COWORKING.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hanging="709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presente contrato vigerá por prazo indeterminado e com renovação automática com início a partir da aceitação e pagamento pelo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CLIENTE, ficando desde já autorizada a NEX COWORKING a proceder o lançamento do débito mensal ou semestral dos valores devidos pelo CLIENTE nos termos do seu cadastro e do presente contrato.</w:t>
      </w:r>
      <w:r>
        <w:rPr>
          <w:rtl w:val="0"/>
        </w:rPr>
      </w:r>
    </w:p>
    <w:p w:rsidR="00000000" w:rsidDel="00000000" w:rsidP="00000000" w:rsidRDefault="00000000" w:rsidRPr="00000000" w14:paraId="00000057">
      <w:pPr>
        <w:spacing w:after="0" w:line="360" w:lineRule="auto"/>
        <w:ind w:left="390" w:firstLine="0"/>
        <w:jc w:val="both"/>
        <w:rPr>
          <w:rFonts w:ascii="Proxima Nova" w:cs="Proxima Nova" w:eastAsia="Proxima Nova" w:hAnsi="Proxima Nova"/>
          <w:b w:val="1"/>
          <w:bCs w:val="1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hanging="390"/>
        <w:jc w:val="both"/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INADIMPLEMENTO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firstLine="0"/>
        <w:jc w:val="both"/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Sendo constatado problemas no cartão de crédito cadastrado, atraso no pagamento ou qualquer inadimplemento contratual, o CLIENTE será imediatamente notificado para que regularize a situação em até 3 (três) dias úteis, cadastrando um novo cartão de crédito ou pagando o montante devido. 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Em caso de atraso no pagamento, incidirá ao débito correção monetária calculada pelo INPC-IBGE (Índice Nacional de Preços ao Consumidor), juros de mora de 1% (um por cento) ao mês, proporcionais aos dias inadimplidos, e multa de 2% (dois por cento) sobre o débito, sem prejuízo da perda de eventual benefício ou desconto concedido pela NEX COWORKING.</w:t>
      </w:r>
    </w:p>
    <w:p w:rsidR="00000000" w:rsidDel="00000000" w:rsidP="00000000" w:rsidRDefault="00000000" w:rsidRPr="00000000" w14:paraId="0000005D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Caso a situação mencionada na cláusula 3.1 não seja regularizada em até 03 (três) dias úteis, a NEX COWORKING poderá suspender imediatamente os serviços e rescindir o presente contrato.</w:t>
      </w:r>
    </w:p>
    <w:p w:rsidR="00000000" w:rsidDel="00000000" w:rsidP="00000000" w:rsidRDefault="00000000" w:rsidRPr="00000000" w14:paraId="0000005F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hanging="390"/>
        <w:jc w:val="left"/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DAS DISPOSIÇÕES SOBRE O USO DO ENDEREÇO FISCAL: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firstLine="0"/>
        <w:jc w:val="left"/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Para o CLIENTE que optar pela contratação da modalidade ENDEREÇO FISCAL, no molde da cláusula 1.2 deste termo, e após o cadastro, aceite dos termos e compensação do primeiro pagamento, a NEX COWORKING enviará ao e-mail cadastrado as informações do imóvel necessárias para fins de domicílio fiscal, incluindo a indicação fiscal, fotos da fachada e comprovante de endereço.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utilização do endereço disponibilizado pela NEX COWORKING como domicílio fiscal está condicionada à autorização por parte dos órgãos públicos para este fim. Para tanto, o CLIENTE compromete-se a: </w:t>
      </w:r>
      <w:r>
        <w:rPr>
          <w:rFonts w:ascii="Proxima Nova" w:cs="Proxima Nova" w:eastAsia="Proxima Nova" w:hAnsi="Proxima Nova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(a)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obter junto às autoridades públicas federais, estaduais, distrital e municipais, às suas expensas, os registros e inscrições legais ou regularmente necessárias para o exercício de suas atividades no endereço disponibilizado pelo NEX COWORKING; e </w:t>
      </w:r>
      <w:r>
        <w:rPr>
          <w:rFonts w:ascii="Proxima Nova" w:cs="Proxima Nova" w:eastAsia="Proxima Nova" w:hAnsi="Proxima Nova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(b)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cumprir todas as obrigações e regulamentos que forem pertinentes, sejam elas de natureza fiscal ou não.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NEX COWORKING não se responsabiliza pela não aprovação do Endereço Fiscal por parte dos órgãos e/ou registros públicos, ficando isenta de qualquer responsabilidade ou dever de reparação em caso de negativa ou cancelamento da autorização para utilização do Endereço Fiscal.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Havendo a negativa ou cancelamento da autorização para utilização do Endereço Fiscal, o CLIENTE é responsável pelo pagamento das mensalidades correspondentes ao período compreendido entre a contratação deste plano e a solicitação de encerramento do contrato. 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Nos casos em que a empresa do CLIENTE estiver em processo de constituição, o CLIENTE poderá efetuar a contratação como Pessoa Física e solicitar a alteração do polo contratante por meio do e-mail </w:t>
      </w:r>
      <w:hyperlink r:id="rId11">
        <w:r>
          <w:rPr>
            <w:rFonts w:ascii="Proxima Nova" w:cs="Proxima Nova" w:eastAsia="Proxima Nova" w:hAnsi="Proxima Nova"/>
            <w:b w:val="0"/>
            <w:bCs w:val="0"/>
            <w:i w:val="0"/>
            <w:iCs w:val="0"/>
            <w:smallCaps w:val="0"/>
            <w:strike w:val="0"/>
            <w:color w:val="0563c1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connect@nex.work</w:t>
        </w:r>
      </w:hyperlink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juntamente com o envio de cópia eletrônica do Contrato Social devidamente registrado. 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 o Endereço Fiscal for utilizado para alteração de endereço no Contrato Social de empresa já constituída, o CLIENTE deverá entregar cópia da respectiva Alteração do Contrato Social da Empresa, no prazo máximo de 15 (quinze) dias contados a partir do deferimento do pedido na Junta Comercial competente.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Na hipótese do CLIENTE não entregar os atos societários devidamente registrados na Junta Comercial, ou descumprir qualquer disposição contratual, a NEX COWORKING poderá resilir unilateralmente o contrato.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É vedada a utilização das informações disponibilizadas pela NEX COWORKING como domicílio fiscal de mais de uma empresa pelo mesmo CLIENTE.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Caso o CLIENTE precise do serviço de Escritório Virtual com Endereço Fiscal para mais de uma empresa, deverá contratar um plano para cada empresa.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Caso o CLIENTE utilize as informações de Endereço da NEX COWORKING para mais de uma empresa, ficará sujeito ao pagamento de multa equivalente a 06 (seis) vezes o valor da mensalidade do Plano Escritório Virtual – Nex Connect, na modalidade Endereço Fiscal para cada mês de uso indevido. 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É vedada a utilização do domicílio fiscal contratado para empresa de atividade comercial (ou qualquer outra que necessite de inscrição estadual), industrial e empresas que necessitem de habilitação no sistema RADAR da Receita Federal.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360" w:lineRule="auto"/>
        <w:ind w:left="360" w:right="0" w:hanging="36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O CLIENTE optante pela modalidade Endereço Fiscal declara ter ciência que o objeto deste contrato é a mera cessão do endereço da NEX COWORKING para fins de domicílio fiscal ao CLIENTE, e que, sendo assim, a NEX COWORKING está isenta de qualquer responsabilidade trabalhista, fiscal ou criminal contraída pelo CLIENTE antes, durante ou após a vigência do presente contrato.</w:t>
      </w:r>
    </w:p>
    <w:p w:rsidR="00000000" w:rsidDel="00000000" w:rsidP="00000000" w:rsidRDefault="00000000" w:rsidRPr="00000000" w14:paraId="0000007A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hanging="390"/>
        <w:jc w:val="left"/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RESCISÃO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firstLine="0"/>
        <w:jc w:val="left"/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CLIENTE poderá rescindir este contrato imotivadamente mediante solicitação via e-mail para </w:t>
      </w:r>
      <w:hyperlink r:id="rId12">
        <w:r>
          <w:rPr>
            <w:rFonts w:ascii="Proxima Nova" w:cs="Proxima Nova" w:eastAsia="Proxima Nova" w:hAnsi="Proxima Nova"/>
            <w:b w:val="0"/>
            <w:bCs w:val="0"/>
            <w:i w:val="0"/>
            <w:iCs w:val="0"/>
            <w:smallCaps w:val="0"/>
            <w:strike w:val="0"/>
            <w:color w:val="0563c1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connect@nex.work</w:t>
        </w:r>
      </w:hyperlink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Após o recebimento do e-mail com a solicitação de rescisão, e desde que atendidos os critérios estabelecidos nas cláusulas 5.2, 5.3 E 5.4, a NEX COWORKING tem até 10 (dez) úteis para efetuar o cancelamento e a suspensão das mensalidades futuras.</w:t>
      </w:r>
    </w:p>
    <w:p w:rsidR="00000000" w:rsidDel="00000000" w:rsidP="00000000" w:rsidRDefault="00000000" w:rsidRPr="00000000" w14:paraId="00000080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Em caso de rescisão a NEX COWORKING não efetuará nenhum tipo de estorno ou reembolso, total ou parcial, de valores já pagos pelo CLIENTE.</w:t>
      </w:r>
    </w:p>
    <w:p w:rsidR="00000000" w:rsidDel="00000000" w:rsidP="00000000" w:rsidRDefault="00000000" w:rsidRPr="00000000" w14:paraId="00000082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Caso o CLIENTE possua serviços avulsos utilizados e ainda não pagos, deverá efetuar o pagamento referente a esses serviços antes da rescisão contratual.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No caso dos optantes pela modalidade de Endereço Comercial, o encerramento do contrato se dará por meio da simples solicitação de rescisão por e-mail.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No caso dos optantes pela modalidade de Endereço Fiscal, o CLIENTE deverá enviar juntamente com a solicitação de rescisão, os seguintes documentos: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Cópia autenticada ou documento com a chancela eletrônica deferindo a solicitação de alteração de endereço ou baixa da empresa perante a Junta Comercial (ato alterador) e também perante a Prefeitura Municipal. 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CLIENTE deverá observar atentamente os prazos de procedimentos administrativos de mudança de domicílio fiscal antes de eventual rescisão do presente instrumento, estando o CLIENTE ciente de que a NEX COWORKING não suspenderá a cobrança de mensalidades em razão da delonga na substituição do domicílio fiscal ou no processo de encerramento da empresa.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No caso de inadimplência, resilição, distrato, descumprimento das disposições contratuais que impliquem cobrança de valores, NEX COWORKING está expressamente autorizada a emitir títulos de crédito em desfavor do CLIENTE, inclusive protestá-los e realizar sua inscrição em cadastros de restrição de crédito, sem prejuízo das medidas judiciais cabíveis.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presente termo contratual também é título executivo hábil para execução específica de obrigação de fazer.</w:t>
      </w:r>
    </w:p>
    <w:p w:rsidR="00000000" w:rsidDel="00000000" w:rsidP="00000000" w:rsidRDefault="00000000" w:rsidRPr="00000000" w14:paraId="00000090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hanging="709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Por se tratar de disponibilização do Endereço próprio para fins comerciais e/ou fiscais, a NEX COWORKING reserva o direito de rescindir unilateralmente o presente contrato a qualquer tempo, mediante notificação prévia de 60 (sessenta) dias, sem que o CLIENTE faça jus a qualquer tipo de indenização.</w:t>
      </w:r>
    </w:p>
    <w:p w:rsidR="00000000" w:rsidDel="00000000" w:rsidP="00000000" w:rsidRDefault="00000000" w:rsidRPr="00000000" w14:paraId="00000092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hanging="709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Caso o CLIENTE deixe de cumprir qualquer das formalidades acima, a NEX COWORKING poderá denunciar à Receita Federal o uso indevido de seu domicílio fiscal, o que poderá gerar a inaptidão da empresa, além da responsabilização pessoal dos sócios.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hanging="709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NEX COWORKING se reserva o direito de rescindir imediatamente o presente contrato caso verifique a utilização do seu endereço, pelo CLIENTE, para fins ilícitos, imorais ou para atividades que afetem negativamente a sua imagem e reputação comercial.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hanging="709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Na hipótese de cancelamento do serviço, término ou suspensão do plano contratado, ou rescisão contratual, por qualquer motivo que seja, o CLIENTE deverá atualizar no prazo de até 30 (trinta) dias corridos contados da data do encerramento do vínculo com a NEX COWORKING, seus cadastros perante terceiros, substituindo o uso do endereço NEX em quaisquer instituições, públicas ou privadas. 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hanging="709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NEX COWORKING não terá qualquer responsabilidade de recebimento e/ou guarda de correspondências do CLIENTE após a data de rescisão contratual, por qualquer motivo que seja.</w:t>
      </w:r>
    </w:p>
    <w:p w:rsidR="00000000" w:rsidDel="00000000" w:rsidP="00000000" w:rsidRDefault="00000000" w:rsidRPr="00000000" w14:paraId="0000009A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hanging="390"/>
        <w:jc w:val="both"/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DA CONTA DE USUÁRIO E USO DAS FERRAMENTAS NA PLATAFORMA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firstLine="0"/>
        <w:jc w:val="both"/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Área do Cliente NEX estará à disposição do CLIENTE 24 (vinte e quatro) horas por dia, 7 (sete) dias por semana, com exceção de manutenções regulares, que serão informadas mediante comunicado.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No ato da contratação, o CLIENTE deverá informar endereço de e-mail válido ao qual será enviado </w:t>
      </w:r>
      <w:r>
        <w:rPr>
          <w:rFonts w:ascii="Proxima Nova" w:cs="Proxima Nova" w:eastAsia="Proxima Nova" w:hAnsi="Proxima Nova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login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e senha para acesso à Área do Cliente NEX.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login e senha que dão acesso à conta do usuário são de uso pessoal e intransferível, razão pela qual a NEX COWORKING não se responsabiliza por eventual manipulação não autorizada dessas informações por terceiros, e devendo, portanto, o CLIENTE tomar todas as medidas necessárias para manter em sigilo as referidas informações. </w:t>
      </w:r>
    </w:p>
    <w:p w:rsidR="00000000" w:rsidDel="00000000" w:rsidP="00000000" w:rsidRDefault="00000000" w:rsidRPr="00000000" w14:paraId="000000A2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CLIENTE compromete-se a notificar a NEX COWORKING imediatamente, a respeito de qualquer uso não autorizado de sua conta, bem como o acesso não autorizado por terceiros à mesma. 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CLIENTE será o único responsável pelas operações efetuadas em sua conta, uma vez que o acesso à mesma só será possível mediante a aposição da senha, cujo conhecimento é exclusivo do CLIENTE.</w:t>
      </w:r>
    </w:p>
    <w:p w:rsidR="00000000" w:rsidDel="00000000" w:rsidP="00000000" w:rsidRDefault="00000000" w:rsidRPr="00000000" w14:paraId="000000A6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CLIENTE, ao preencher os formulários cadastrais fornecidos e enviados à NEX COWORKING, declara que todas as informações são precisas, verdadeiras e completas, responsabilizando-se por quaisquer inconsistências.</w:t>
      </w:r>
    </w:p>
    <w:p w:rsidR="00000000" w:rsidDel="00000000" w:rsidP="00000000" w:rsidRDefault="00000000" w:rsidRPr="00000000" w14:paraId="000000A8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São partes integrantes e indissociáveis deste contrato os formulários para cadastramento do CLIENTE, fornecidas pela NEX COWORKING na sua página na internet.</w:t>
      </w:r>
    </w:p>
    <w:p w:rsidR="00000000" w:rsidDel="00000000" w:rsidP="00000000" w:rsidRDefault="00000000" w:rsidRPr="00000000" w14:paraId="000000AA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CLIENTE responsabiliza-se civil e criminalmente pela veracidade e exatidão das informações fornecidas ao NEX COWORKING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hanging="39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DEMAIS DISPOSIÇÕES </w:t>
      </w:r>
      <w:r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CLIENTE deverá manter seu cadastro (telefone, endereço de e-mail e endereço residencial) sempre atualizados nos sistemas da NEX COWORKING para que possa ser cientificado do recebimento de correspondências e/ou notificações no Endereço Fiscal, quando for o caso. Todas as notificações enviadas ao endereço informado serão consideradas válidas e eficazes.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NEX COWORKING não se responsabiliza pelo extravio de eventuais correspondências e/ou encomendas, salvo em casos em que ficar comprovada a sua culpa.</w:t>
      </w:r>
    </w:p>
    <w:p w:rsidR="00000000" w:rsidDel="00000000" w:rsidP="00000000" w:rsidRDefault="00000000" w:rsidRPr="00000000" w14:paraId="000000B2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NEX COWORKING não assume qualquer responsabilidade pelo recebimento de citações e/ou notificações judiciais e extrajudiciais em nome do CLIENTE no endereço postal.</w:t>
      </w:r>
    </w:p>
    <w:p w:rsidR="00000000" w:rsidDel="00000000" w:rsidP="00000000" w:rsidRDefault="00000000" w:rsidRPr="00000000" w14:paraId="000000B4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CLIENTE não poderá ceder os direitos e obrigações do presente contrato, sob nenhuma hipótese.</w:t>
      </w:r>
    </w:p>
    <w:p w:rsidR="00000000" w:rsidDel="00000000" w:rsidP="00000000" w:rsidRDefault="00000000" w:rsidRPr="00000000" w14:paraId="000000B6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Fonts w:ascii="Proxima Nova" w:cs="Proxima Nova" w:eastAsia="Proxima Nova" w:hAnsi="Proxima Nova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eventual tolerância pelo NEX COWORKING relativamente ao descumprimento de qualquer das obrigações do CLIENTE não será considerada novação (substituição, criação ou alteração de direitos ou obrigação) ou renúncia a qualquer direito, constituindo mera liberalidade.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hanging="39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FORO</w:t>
      </w:r>
      <w:r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Fica eleito o Foro Central da Comarca da Região Metropolitana de Curitiba, Estado do Paraná, como o competente para dirimir quaisquer dúvidas ou litígios decorrentes deste Contrato, renunciando a qualquer outro, por mais privilegiado que o seja.</w:t>
      </w:r>
    </w:p>
    <w:p w:rsidR="00000000" w:rsidDel="00000000" w:rsidP="00000000" w:rsidRDefault="00000000" w:rsidRPr="00000000" w14:paraId="000000BC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BD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BE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BF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C0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C1">
      <w:pPr>
        <w:jc w:val="center"/>
        <w:rPr>
          <w:rFonts w:ascii="Proxima Nova" w:cs="Proxima Nova" w:eastAsia="Proxima Nova" w:hAnsi="Proxima Nova"/>
          <w:sz w:val="20"/>
          <w:szCs w:val="20"/>
        </w:rPr>
      </w:pPr>
      <w:r>
        <w:rPr>
          <w:rFonts w:ascii="Proxima Nova" w:cs="Proxima Nova" w:eastAsia="Proxima Nova" w:hAnsi="Proxima Nova"/>
          <w:sz w:val="20"/>
          <w:szCs w:val="20"/>
          <w:rtl w:val="0"/>
        </w:rPr>
        <w:t xml:space="preserve">{{data_assinatura}}</w:t>
      </w:r>
    </w:p>
    <w:sectPr>
      <w:headerReference r:id="rId13" w:type="default"/>
      <w:pgSz w:h="16838" w:w="11906" w:orient="portrait"/>
      <w:pgMar w:bottom="1440" w:top="144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  <w:font w:name="Cambria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Tahoma">
    <w:embedRegular w:fontKey="{00000000-0000-0000-0000-000000000000}" r:id="rId5" w:subsetted="0"/>
    <w:embedBold w:fontKey="{00000000-0000-0000-0000-000000000000}" r:id="rId6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1"/>
        <w:bCs w:val="1"/>
        <w:i w:val="0"/>
        <w:iCs w:val="0"/>
        <w:smallCaps w:val="1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1"/>
        <w:bCs w:val="1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2311400</wp:posOffset>
          </wp:positionH>
          <wp:positionV relativeFrom="margin">
            <wp:posOffset>-1954488</wp:posOffset>
          </wp:positionV>
          <wp:extent cx="1540510" cy="711200"/>
          <wp:effectExtent b="0" l="0" r="0" t="0"/>
          <wp:wrapSquare wrapText="bothSides" distB="0" distT="0" distL="114300" distR="114300"/>
          <wp:docPr descr="Uma imagem contendo Forma  Descrição gerada automaticamente" id="1" name="image1.png"/>
          <a:graphic>
            <a:graphicData uri="http://schemas.openxmlformats.org/drawingml/2006/picture">
              <pic:pic>
                <pic:nvPicPr>
                  <pic:cNvPr descr="Uma imagem contendo Forma  Descrição gerada automaticamente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40510" cy="7112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1"/>
        <w:bCs w:val="1"/>
        <w:i w:val="0"/>
        <w:iCs w:val="0"/>
        <w:smallCaps w:val="1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1"/>
        <w:bCs w:val="1"/>
        <w:i w:val="0"/>
        <w:iCs w:val="0"/>
        <w:smallCaps w:val="1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1"/>
        <w:bCs w:val="1"/>
        <w:i w:val="0"/>
        <w:iCs w:val="0"/>
        <w:smallCaps w:val="1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1"/>
        <w:bCs w:val="1"/>
        <w:i w:val="0"/>
        <w:iCs w:val="0"/>
        <w:smallCaps w:val="1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TERMOS E CONDIÇÕES</w:t>
    </w:r>
  </w:p>
  <w:p w:rsidR="00000000" w:rsidDel="00000000" w:rsidP="00000000" w:rsidRDefault="00000000" w:rsidRPr="00000000" w14:paraId="000000C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1"/>
        <w:bCs w:val="1"/>
        <w:i w:val="0"/>
        <w:iCs w:val="0"/>
        <w:smallCaps w:val="1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1"/>
        <w:bCs w:val="1"/>
        <w:i w:val="0"/>
        <w:iCs w:val="0"/>
        <w:smallCaps w:val="1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1"/>
        <w:bCs w:val="1"/>
        <w:i w:val="0"/>
        <w:iCs w:val="0"/>
        <w:smallCaps w:val="1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ACEITE AO PLANO ESCRITÓRIO VIRTUAL - NEX CONNECT</w:t>
    </w:r>
  </w:p>
  <w:p w:rsidR="00000000" w:rsidDel="00000000" w:rsidP="00000000" w:rsidRDefault="00000000" w:rsidRPr="00000000" w14:paraId="000000C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2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360" w:hanging="360"/>
      </w:pPr>
      <w:rPr/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720" w:hanging="720"/>
      </w:pPr>
      <w:rPr/>
    </w:lvl>
    <w:lvl w:ilvl="4">
      <w:start w:val="1"/>
      <w:numFmt w:val="decimal"/>
      <w:lvlText w:val="%1.%2.%3.%4.%5"/>
      <w:lvlJc w:val="left"/>
      <w:pPr>
        <w:ind w:left="1080" w:hanging="1080"/>
      </w:pPr>
      <w:rPr/>
    </w:lvl>
    <w:lvl w:ilvl="5">
      <w:start w:val="1"/>
      <w:numFmt w:val="decimal"/>
      <w:lvlText w:val="%1.%2.%3.%4.%5.%6"/>
      <w:lvlJc w:val="left"/>
      <w:pPr>
        <w:ind w:left="1080" w:hanging="1080"/>
      </w:pPr>
      <w:rPr/>
    </w:lvl>
    <w:lvl w:ilvl="6">
      <w:start w:val="1"/>
      <w:numFmt w:val="decimal"/>
      <w:lvlText w:val="%1.%2.%3.%4.%5.%6.%7"/>
      <w:lvlJc w:val="left"/>
      <w:pPr>
        <w:ind w:left="1440" w:hanging="1440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800" w:hanging="1800"/>
      </w:pPr>
      <w:rPr/>
    </w:lvl>
  </w:abstractNum>
  <w:abstractNum w:abstractNumId="2">
    <w:lvl w:ilvl="0">
      <w:start w:val="4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360" w:hanging="360"/>
      </w:pPr>
      <w:rPr/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720" w:hanging="720"/>
      </w:pPr>
      <w:rPr/>
    </w:lvl>
    <w:lvl w:ilvl="4">
      <w:start w:val="1"/>
      <w:numFmt w:val="decimal"/>
      <w:lvlText w:val="%1.%2.%3.%4.%5"/>
      <w:lvlJc w:val="left"/>
      <w:pPr>
        <w:ind w:left="1080" w:hanging="1080"/>
      </w:pPr>
      <w:rPr/>
    </w:lvl>
    <w:lvl w:ilvl="5">
      <w:start w:val="1"/>
      <w:numFmt w:val="decimal"/>
      <w:lvlText w:val="%1.%2.%3.%4.%5.%6"/>
      <w:lvlJc w:val="left"/>
      <w:pPr>
        <w:ind w:left="1080" w:hanging="1080"/>
      </w:pPr>
      <w:rPr/>
    </w:lvl>
    <w:lvl w:ilvl="6">
      <w:start w:val="1"/>
      <w:numFmt w:val="decimal"/>
      <w:lvlText w:val="%1.%2.%3.%4.%5.%6.%7"/>
      <w:lvlJc w:val="left"/>
      <w:pPr>
        <w:ind w:left="1440" w:hanging="1440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800" w:hanging="1800"/>
      </w:pPr>
      <w:rPr/>
    </w:lvl>
  </w:abstractNum>
  <w:abstractNum w:abstractNumId="3">
    <w:lvl w:ilvl="0">
      <w:start w:val="5"/>
      <w:numFmt w:val="decimal"/>
      <w:lvlText w:val="%1"/>
      <w:lvlJc w:val="left"/>
      <w:pPr>
        <w:ind w:left="360" w:hanging="360"/>
      </w:pPr>
      <w:rPr/>
    </w:lvl>
    <w:lvl w:ilvl="1">
      <w:start w:val="5"/>
      <w:numFmt w:val="decimal"/>
      <w:lvlText w:val="%1.%2"/>
      <w:lvlJc w:val="left"/>
      <w:pPr>
        <w:ind w:left="360" w:hanging="360"/>
      </w:pPr>
      <w:rPr/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720" w:hanging="720"/>
      </w:pPr>
      <w:rPr/>
    </w:lvl>
    <w:lvl w:ilvl="4">
      <w:start w:val="1"/>
      <w:numFmt w:val="decimal"/>
      <w:lvlText w:val="%1.%2.%3.%4.%5"/>
      <w:lvlJc w:val="left"/>
      <w:pPr>
        <w:ind w:left="1080" w:hanging="1080"/>
      </w:pPr>
      <w:rPr/>
    </w:lvl>
    <w:lvl w:ilvl="5">
      <w:start w:val="1"/>
      <w:numFmt w:val="decimal"/>
      <w:lvlText w:val="%1.%2.%3.%4.%5.%6"/>
      <w:lvlJc w:val="left"/>
      <w:pPr>
        <w:ind w:left="1080" w:hanging="1080"/>
      </w:pPr>
      <w:rPr/>
    </w:lvl>
    <w:lvl w:ilvl="6">
      <w:start w:val="1"/>
      <w:numFmt w:val="decimal"/>
      <w:lvlText w:val="%1.%2.%3.%4.%5.%6.%7"/>
      <w:lvlJc w:val="left"/>
      <w:pPr>
        <w:ind w:left="1440" w:hanging="1440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440" w:hanging="144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390" w:hanging="390"/>
      </w:pPr>
      <w:rPr>
        <w:b w:val="1"/>
        <w:bCs w:val="1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b w:val="1"/>
        <w:bCs w:val="1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b w:val="1"/>
        <w:bCs w:val="1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b w:val="1"/>
        <w:bCs w:val="1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b w:val="1"/>
        <w:bCs w:val="1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b w:val="1"/>
        <w:bCs w:val="1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?><Relationships xmlns="http://schemas.openxmlformats.org/package/2006/relationships"><Relationship Id="rId11" Type="http://schemas.openxmlformats.org/officeDocument/2006/relationships/hyperlink" Target="mailto:connect@nex.work" TargetMode="External"/><Relationship Id="rId10" Type="http://schemas.openxmlformats.org/officeDocument/2006/relationships/hyperlink" Target="https://nex.work/" TargetMode="External"/><Relationship Id="rId13" Type="http://schemas.openxmlformats.org/officeDocument/2006/relationships/header" Target="header1.xml"/><Relationship Id="rId12" Type="http://schemas.openxmlformats.org/officeDocument/2006/relationships/hyperlink" Target="mailto:connect@nex.work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nex.work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larissa@milkiewicz.adv.br" TargetMode="External"/><Relationship Id="rId8" Type="http://schemas.openxmlformats.org/officeDocument/2006/relationships/hyperlink" Target="http://nex.work" TargetMode="External"/></Relationships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5" Type="http://schemas.openxmlformats.org/officeDocument/2006/relationships/font" Target="fonts/Tahoma-regular.ttf"/><Relationship Id="rId6" Type="http://schemas.openxmlformats.org/officeDocument/2006/relationships/font" Target="fonts/Tahoma-bold.ttf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zQgli/jkAU/EAFidMthFtXJxCg==">CgMxLjA4AHIhMTE4aFZJX2YyeHp6MFBjYWlvZWRSdU9ZNWctN01hX2JX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