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nexora-endocore"/>
      <w:r>
        <w:t xml:space="preserve">NEXORA — EndoCore</w:t>
      </w:r>
      <w:bookmarkEnd w:id="20"/>
    </w:p>
    <w:p>
      <w:pPr>
        <w:pStyle w:val="Heading2"/>
      </w:pPr>
      <w:bookmarkStart w:id="21" w:name="sistema-de-gobernanza-clínica"/>
      <w:r>
        <w:t xml:space="preserve">Sistema de Gobernanza Clínica</w:t>
      </w:r>
      <w:bookmarkEnd w:id="21"/>
    </w:p>
    <w:p>
      <w:pPr>
        <w:pStyle w:val="FirstParagraph"/>
      </w:pPr>
      <w:r>
        <w:rPr>
          <w:b/>
        </w:rPr>
        <w:t xml:space="preserve">Catálogo formal de las reglas del motor de decisión</w:t>
      </w:r>
    </w:p>
    <w:p>
      <w:pPr>
        <w:pStyle w:val="BodyText"/>
      </w:pPr>
      <w:r>
        <w:t xml:space="preserve">Dr. Israel Ortega — Documento preparado el 16 de agosto de 2026</w:t>
      </w:r>
    </w:p>
    <w:p>
      <w:pPr>
        <w:pStyle w:val="Heading2"/>
      </w:pPr>
      <w:bookmarkStart w:id="22" w:name="propósito-de-este-documento"/>
      <w:r>
        <w:t xml:space="preserve">Propósito de este documento</w:t>
      </w:r>
      <w:bookmarkEnd w:id="22"/>
    </w:p>
    <w:p>
      <w:pPr>
        <w:pStyle w:val="FirstParagraph"/>
      </w:pPr>
      <w:r>
        <w:t xml:space="preserve">Este catálogo nace de una pregunta directa:</w:t>
      </w:r>
      <w:r>
        <w:t xml:space="preserve"> </w:t>
      </w:r>
      <w:r>
        <w:rPr>
          <w:i/>
        </w:rPr>
        <w:t xml:space="preserve">si NEXORA le dice a un médico qué hacer, cada una de esas reglas debería poder responder qué hace, por qué lo hace, de dónde sale, cuándo se revisó por última vez, quién la revisó, qué casos la validan, qué excepciones tiene, qué pasa si faltan datos, y qué pasa si dos guías no están de acuerdo.</w:t>
      </w:r>
    </w:p>
    <w:p>
      <w:pPr>
        <w:pStyle w:val="BodyText"/>
      </w:pPr>
      <w:r>
        <w:t xml:space="preserve">Hasta ahora, esa información existía — está documentada en comentarios extensos dentro del código, con fecha y atribución en la mayoría de los casos — pero vivía dispersa en 20 archivos distintos, en el lenguaje de quien programa, no en el de quien audita. Este documento la extrae, la organiza con un esquema fijo, y la pone en un solo lugar consultable.</w:t>
      </w:r>
    </w:p>
    <w:p>
      <w:pPr>
        <w:pStyle w:val="BodyText"/>
      </w:pPr>
      <w:r>
        <w:t xml:space="preserve">No es un documento de marketing. Donde el código no especifica una fuente, una fecha o una validación, este catálogo lo dice explícitamente en vez de inventarlo. Donde se encontró un comportamiento riesgoso o inconsistente durante la extracción, se documenta con el mismo nivel de detalle que una regla que funciona bien — de hecho, la Parte IV de este documento existe específicamente para reunir esos hallazgos en un solo lugar, porque ese es el punto de todo el ejercicio: convertir el motor de NEXORA en algo auditable, no solo funcional.</w:t>
      </w:r>
    </w:p>
    <w:p>
      <w:pPr>
        <w:pStyle w:val="Heading2"/>
      </w:pPr>
      <w:bookmarkStart w:id="23" w:name="el-esquema-de-10-campos"/>
      <w:r>
        <w:t xml:space="preserve">El esquema de 10 campos</w:t>
      </w:r>
      <w:bookmarkEnd w:id="23"/>
    </w:p>
    <w:p>
      <w:pPr>
        <w:pStyle w:val="FirstParagraph"/>
      </w:pPr>
      <w:r>
        <w:t xml:space="preserve">Cada regla catalogada responde, en este orden:</w:t>
      </w:r>
    </w:p>
    <w:p>
      <w:pPr>
        <w:numPr>
          <w:ilvl w:val="0"/>
          <w:numId w:val="1001"/>
        </w:numPr>
        <w:pStyle w:val="Compact"/>
      </w:pPr>
      <w:r>
        <w:rPr>
          <w:b/>
        </w:rPr>
        <w:t xml:space="preserve">Qué hace</w:t>
      </w:r>
      <w:r>
        <w:t xml:space="preserve"> </w:t>
      </w:r>
      <w:r>
        <w:t xml:space="preserve">— la mecánica exacta de la regla.</w:t>
      </w:r>
    </w:p>
    <w:p>
      <w:pPr>
        <w:numPr>
          <w:ilvl w:val="0"/>
          <w:numId w:val="1001"/>
        </w:numPr>
        <w:pStyle w:val="Compact"/>
      </w:pPr>
      <w:r>
        <w:rPr>
          <w:b/>
        </w:rPr>
        <w:t xml:space="preserve">Por qué</w:t>
      </w:r>
      <w:r>
        <w:t xml:space="preserve"> </w:t>
      </w:r>
      <w:r>
        <w:t xml:space="preserve">— el razonamiento clínico detrás.</w:t>
      </w:r>
    </w:p>
    <w:p>
      <w:pPr>
        <w:numPr>
          <w:ilvl w:val="0"/>
          <w:numId w:val="1001"/>
        </w:numPr>
        <w:pStyle w:val="Compact"/>
      </w:pPr>
      <w:r>
        <w:rPr>
          <w:b/>
        </w:rPr>
        <w:t xml:space="preserve">Fuente</w:t>
      </w:r>
      <w:r>
        <w:t xml:space="preserve"> </w:t>
      </w:r>
      <w:r>
        <w:t xml:space="preserve">— la guía, consenso, paper o fórmula estándar citada.</w:t>
      </w:r>
    </w:p>
    <w:p>
      <w:pPr>
        <w:numPr>
          <w:ilvl w:val="0"/>
          <w:numId w:val="1001"/>
        </w:numPr>
        <w:pStyle w:val="Compact"/>
      </w:pPr>
      <w:r>
        <w:rPr>
          <w:b/>
        </w:rPr>
        <w:t xml:space="preserve">Versión de la fuente</w:t>
      </w:r>
      <w:r>
        <w:t xml:space="preserve"> </w:t>
      </w:r>
      <w:r>
        <w:t xml:space="preserve">— año/edición específica, cuando el código lo especifica.</w:t>
      </w:r>
    </w:p>
    <w:p>
      <w:pPr>
        <w:numPr>
          <w:ilvl w:val="0"/>
          <w:numId w:val="1001"/>
        </w:numPr>
        <w:pStyle w:val="Compact"/>
      </w:pPr>
      <w:r>
        <w:rPr>
          <w:b/>
        </w:rPr>
        <w:t xml:space="preserve">Fecha de revisión</w:t>
      </w:r>
      <w:r>
        <w:t xml:space="preserve"> </w:t>
      </w:r>
      <w:r>
        <w:t xml:space="preserve">— cuándo se auditó o corrigió por última vez, según los comentarios del código.</w:t>
      </w:r>
    </w:p>
    <w:p>
      <w:pPr>
        <w:numPr>
          <w:ilvl w:val="0"/>
          <w:numId w:val="1001"/>
        </w:numPr>
        <w:pStyle w:val="Compact"/>
      </w:pPr>
      <w:r>
        <w:rPr>
          <w:b/>
        </w:rPr>
        <w:t xml:space="preserve">Quién revisó</w:t>
      </w:r>
      <w:r>
        <w:t xml:space="preserve"> </w:t>
      </w:r>
      <w:r>
        <w:t xml:space="preserve">— a quién atribuye el código la decisión o corrección (casi siempre</w:t>
      </w:r>
      <w:r>
        <w:t xml:space="preserve"> </w:t>
      </w:r>
      <w:r>
        <w:t xml:space="preserve">“</w:t>
      </w:r>
      <w:r>
        <w:t xml:space="preserve">Dr. Ortega</w:t>
      </w:r>
      <w:r>
        <w:t xml:space="preserve">”</w:t>
      </w:r>
      <w:r>
        <w:t xml:space="preserve"> </w:t>
      </w:r>
      <w:r>
        <w:t xml:space="preserve">cuando se especifica).</w:t>
      </w:r>
    </w:p>
    <w:p>
      <w:pPr>
        <w:numPr>
          <w:ilvl w:val="0"/>
          <w:numId w:val="1001"/>
        </w:numPr>
        <w:pStyle w:val="Compact"/>
      </w:pPr>
      <w:r>
        <w:rPr>
          <w:b/>
        </w:rPr>
        <w:t xml:space="preserve">Qué casos la validan</w:t>
      </w:r>
      <w:r>
        <w:t xml:space="preserve"> </w:t>
      </w:r>
      <w:r>
        <w:t xml:space="preserve">— qué archivo de prueba (</w:t>
      </w:r>
      <w:r>
        <w:rPr>
          <w:rStyle w:val="VerbatimChar"/>
        </w:rPr>
        <w:t xml:space="preserve">tests/*.test.mjs</w:t>
      </w:r>
      <w:r>
        <w:t xml:space="preserve">) ejercita esta regla, verificado por búsqueda directa, no supuesto.</w:t>
      </w:r>
    </w:p>
    <w:p>
      <w:pPr>
        <w:numPr>
          <w:ilvl w:val="0"/>
          <w:numId w:val="1001"/>
        </w:numPr>
        <w:pStyle w:val="Compact"/>
      </w:pPr>
      <w:r>
        <w:rPr>
          <w:b/>
        </w:rPr>
        <w:t xml:space="preserve">Qué excepciones tiene</w:t>
      </w:r>
      <w:r>
        <w:t xml:space="preserve"> </w:t>
      </w:r>
      <w:r>
        <w:t xml:space="preserve">— condiciones especiales o casos límite ya contemplados.</w:t>
      </w:r>
    </w:p>
    <w:p>
      <w:pPr>
        <w:numPr>
          <w:ilvl w:val="0"/>
          <w:numId w:val="1001"/>
        </w:numPr>
        <w:pStyle w:val="Compact"/>
      </w:pPr>
      <w:r>
        <w:rPr>
          <w:b/>
        </w:rPr>
        <w:t xml:space="preserve">Qué ocurre si faltan datos</w:t>
      </w:r>
      <w:r>
        <w:t xml:space="preserve"> </w:t>
      </w:r>
      <w:r>
        <w:t xml:space="preserve">— el comportamiento REAL del código ante un dato ausente, no el comportamiento deseable.</w:t>
      </w:r>
    </w:p>
    <w:p>
      <w:pPr>
        <w:numPr>
          <w:ilvl w:val="0"/>
          <w:numId w:val="1001"/>
        </w:numPr>
        <w:pStyle w:val="Compact"/>
      </w:pPr>
      <w:r>
        <w:rPr>
          <w:b/>
        </w:rPr>
        <w:t xml:space="preserve">Qué ocurre si dos guías discrepan</w:t>
      </w:r>
      <w:r>
        <w:t xml:space="preserve"> </w:t>
      </w:r>
      <w:r>
        <w:t xml:space="preserve">— si el código documenta explícitamente un conflicto entre fuentes y cómo se resolvió.</w:t>
      </w:r>
    </w:p>
    <w:p>
      <w:pPr>
        <w:pStyle w:val="Heading2"/>
      </w:pPr>
      <w:bookmarkStart w:id="24" w:name="metodología"/>
      <w:r>
        <w:t xml:space="preserve">Metodología</w:t>
      </w:r>
      <w:bookmarkEnd w:id="24"/>
    </w:p>
    <w:p>
      <w:pPr>
        <w:pStyle w:val="FirstParagraph"/>
      </w:pPr>
      <w:r>
        <w:t xml:space="preserve">Cada regla se extrajo leyendo el archivo fuente completo (no fragmentos), usando los comentarios del propio código como fuente primaria de verdad — este proyecto tiene la particularidad de que casi todas las decisiones de diseño quedaron documentadas en el momento en que se tomaron, con fecha y a menudo con la razón exacta de la corrección. El campo 7 (casos que validan) se verificó por búsqueda directa (</w:t>
      </w:r>
      <w:r>
        <w:rPr>
          <w:rStyle w:val="VerbatimChar"/>
        </w:rPr>
        <w:t xml:space="preserve">grep</w:t>
      </w:r>
      <w:r>
        <w:t xml:space="preserve">) del nombre de cada función/regla contra los 7 archivos de prueba (219+ casos clínicos), no por inferencia.</w:t>
      </w:r>
    </w:p>
    <w:p>
      <w:pPr>
        <w:pStyle w:val="BodyText"/>
      </w:pPr>
      <w:r>
        <w:t xml:space="preserve">Ninguna fuente, fecha, validación o comportamiento se inventó para completar un campo. Donde el código no lo especifica, el campo lo dice explícitamente —</w:t>
      </w:r>
      <w:r>
        <w:t xml:space="preserve"> </w:t>
      </w:r>
      <w:r>
        <w:t xml:space="preserve">“</w:t>
      </w:r>
      <w:r>
        <w:t xml:space="preserve">No especificada en el código</w:t>
      </w:r>
      <w:r>
        <w:t xml:space="preserve">”</w:t>
      </w:r>
      <w:r>
        <w:t xml:space="preserve">,</w:t>
      </w:r>
      <w:r>
        <w:t xml:space="preserve"> </w:t>
      </w:r>
      <w:r>
        <w:t xml:space="preserve">“</w:t>
      </w:r>
      <w:r>
        <w:t xml:space="preserve">Sin fecha registrada</w:t>
      </w:r>
      <w:r>
        <w:t xml:space="preserve">”</w:t>
      </w:r>
      <w:r>
        <w:t xml:space="preserve">,</w:t>
      </w:r>
      <w:r>
        <w:t xml:space="preserve"> </w:t>
      </w:r>
      <w:r>
        <w:t xml:space="preserve">“</w:t>
      </w:r>
      <w:r>
        <w:t xml:space="preserve">Sin caso de prueba identificado</w:t>
      </w:r>
      <w:r>
        <w:t xml:space="preserve">”</w:t>
      </w:r>
      <w:r>
        <w:t xml:space="preserve"> </w:t>
      </w:r>
      <w:r>
        <w:t xml:space="preserve">— para que este documento nunca le atribuya al sistema un rigor que no tiene todavía.</w:t>
      </w:r>
    </w:p>
    <w:p>
      <w:pPr>
        <w:pStyle w:val="Heading2"/>
      </w:pPr>
      <w:bookmarkStart w:id="25" w:name="alcance"/>
      <w:r>
        <w:t xml:space="preserve">Alcance</w:t>
      </w:r>
      <w:bookmarkEnd w:id="25"/>
    </w:p>
    <w:p>
      <w:pPr>
        <w:pStyle w:val="FirstParagraph"/>
      </w:pPr>
      <w:r>
        <w:t xml:space="preserve">Este catálogo cubre las</w:t>
      </w:r>
      <w:r>
        <w:t xml:space="preserve"> </w:t>
      </w:r>
      <w:r>
        <w:rPr>
          <w:b/>
        </w:rPr>
        <w:t xml:space="preserve">reglas del motor de decisión</w:t>
      </w:r>
      <w:r>
        <w:t xml:space="preserve">: fórmulas, clasificaciones de riesgo, banderas clínicas, filtros de seguridad por fármaco, los cuatro motores de plan de tratamiento (antidiabético, hipertensión, lípidos, obesidad), las capas de seguridad de dominio (extremos fisiológicos, zonas límite, interacciones, geriátrico, perioperatorio, polifarmacia, psiquiatría, TARV, corticoides/AINE, sick-day), y la dosificación de insulina y tamizaje de complicaciones.</w:t>
      </w:r>
    </w:p>
    <w:p>
      <w:pPr>
        <w:pStyle w:val="BodyText"/>
      </w:pPr>
      <w:r>
        <w:t xml:space="preserve">Las 91 fichas de fármacos de EndoFarma (mecanismo, efectos adversos, contraindicaciones, monitoreo, educación al paciente) ya tienen su propia leyenda de fuentes documentada individualmente en cada ficha y no se duplican aquí regla por regla — lo que sí se cubre son las reglas GENERALES que gobiernan cómo el motor USA esos datos (filtro de seguridad, contraindicación de clase, interacciones). Las funciones de simulación educativa (curvas de glucosa/PA en EndoSimulators) están explícitamente marcadas en el código como modelos ilustrativos, no reglas de decisión, y se excluyen del catálogo por esa misma razón declarada en el código.</w:t>
      </w:r>
    </w:p>
    <w:p>
      <w:pPr>
        <w:pStyle w:val="Heading1"/>
      </w:pPr>
      <w:bookmarkStart w:id="26" w:name="parte-i-motor-central-de-decisión"/>
      <w:r>
        <w:t xml:space="preserve">Parte I — Motor Central de Decisión</w:t>
      </w:r>
      <w:bookmarkEnd w:id="26"/>
    </w:p>
    <w:p>
      <w:pPr>
        <w:pStyle w:val="Heading2"/>
      </w:pPr>
      <w:bookmarkStart w:id="27" w:name="Xd1fa2014fadcc7fc453145cf8fb4218612eba63"/>
      <w:r>
        <w:t xml:space="preserve">Gobernanza Clínica — Motor Central (</w:t>
      </w:r>
      <w:r>
        <w:rPr>
          <w:rStyle w:val="VerbatimChar"/>
        </w:rPr>
        <w:t xml:space="preserve">js/calculations.js</w:t>
      </w:r>
      <w:r>
        <w:t xml:space="preserve">)</w:t>
      </w:r>
      <w:bookmarkEnd w:id="27"/>
    </w:p>
    <w:p>
      <w:pPr>
        <w:pStyle w:val="FirstParagraph"/>
      </w:pPr>
      <w:r>
        <w:rPr>
          <w:b/>
        </w:rPr>
        <w:t xml:space="preserve">Proyecto:</w:t>
      </w:r>
      <w:r>
        <w:t xml:space="preserve"> </w:t>
      </w:r>
      <w:r>
        <w:t xml:space="preserve">NEXORA — EndoCore (dashboard clínico de endocrinología, Dr. Ortega)</w:t>
      </w:r>
      <w:r>
        <w:t xml:space="preserve"> </w:t>
      </w:r>
      <w:r>
        <w:rPr>
          <w:b/>
        </w:rPr>
        <w:t xml:space="preserve">Archivo auditado:</w:t>
      </w:r>
      <w:r>
        <w:t xml:space="preserve"> </w:t>
      </w:r>
      <w:r>
        <w:rPr>
          <w:rStyle w:val="VerbatimChar"/>
        </w:rPr>
        <w:t xml:space="preserve">C:\Users\israe\OneDrive\Escritorio\M\FINAL\endoped-project\js\calculations.js</w:t>
      </w:r>
      <w:r>
        <w:t xml:space="preserve"> </w:t>
      </w:r>
      <w:r>
        <w:t xml:space="preserve">(1952 líneas, íntegro)</w:t>
      </w:r>
      <w:r>
        <w:t xml:space="preserve"> </w:t>
      </w:r>
      <w:r>
        <w:rPr>
          <w:b/>
        </w:rPr>
        <w:t xml:space="preserve">Archivos de test consultados:</w:t>
      </w:r>
      <w:r>
        <w:t xml:space="preserve"> </w:t>
      </w:r>
      <w:r>
        <w:rPr>
          <w:rStyle w:val="VerbatimChar"/>
        </w:rPr>
        <w:t xml:space="preserve">tests/clinical-cases.test.mjs</w:t>
      </w:r>
      <w:r>
        <w:t xml:space="preserve">,</w:t>
      </w:r>
      <w:r>
        <w:t xml:space="preserve"> </w:t>
      </w:r>
      <w:r>
        <w:rPr>
          <w:rStyle w:val="VerbatimChar"/>
        </w:rPr>
        <w:t xml:space="preserve">tests/multimorbid-cases.test.mjs</w:t>
      </w:r>
      <w:r>
        <w:t xml:space="preserve">,</w:t>
      </w:r>
      <w:r>
        <w:t xml:space="preserve"> </w:t>
      </w:r>
      <w:r>
        <w:rPr>
          <w:rStyle w:val="VerbatimChar"/>
        </w:rPr>
        <w:t xml:space="preserve">tests/edge-cases.test.mjs</w:t>
      </w:r>
      <w:r>
        <w:t xml:space="preserve"> </w:t>
      </w:r>
      <w:r>
        <w:t xml:space="preserve">(además de</w:t>
      </w:r>
      <w:r>
        <w:t xml:space="preserve"> </w:t>
      </w:r>
      <w:r>
        <w:rPr>
          <w:rStyle w:val="VerbatimChar"/>
        </w:rPr>
        <w:t xml:space="preserve">screening-cases.test.mjs</w:t>
      </w:r>
      <w:r>
        <w:t xml:space="preserve">,</w:t>
      </w:r>
      <w:r>
        <w:t xml:space="preserve"> </w:t>
      </w:r>
      <w:r>
        <w:rPr>
          <w:rStyle w:val="VerbatimChar"/>
        </w:rPr>
        <w:t xml:space="preserve">boundary-alerts.test.mjs</w:t>
      </w:r>
      <w:r>
        <w:t xml:space="preserve">,</w:t>
      </w:r>
      <w:r>
        <w:t xml:space="preserve"> </w:t>
      </w:r>
      <w:r>
        <w:rPr>
          <w:rStyle w:val="VerbatimChar"/>
        </w:rPr>
        <w:t xml:space="preserve">pk-curves.test.mjs</w:t>
      </w:r>
      <w:r>
        <w:t xml:space="preserve">,</w:t>
      </w:r>
      <w:r>
        <w:t xml:space="preserve"> </w:t>
      </w:r>
      <w:r>
        <w:rPr>
          <w:rStyle w:val="VerbatimChar"/>
        </w:rPr>
        <w:t xml:space="preserve">insulin-cases.test.mjs</w:t>
      </w:r>
      <w:r>
        <w:t xml:space="preserve">, que no tocan directamente este motor)</w:t>
      </w:r>
      <w:r>
        <w:t xml:space="preserve"> </w:t>
      </w:r>
      <w:r>
        <w:rPr>
          <w:b/>
        </w:rPr>
        <w:t xml:space="preserve">Fecha de esta extracción:</w:t>
      </w:r>
      <w:r>
        <w:t xml:space="preserve"> </w:t>
      </w:r>
      <w:r>
        <w:t xml:space="preserve">16-ago-2026</w:t>
      </w:r>
    </w:p>
    <w:p>
      <w:pPr>
        <w:pStyle w:val="BodyText"/>
      </w:pPr>
      <w:r>
        <w:rPr>
          <w:b/>
        </w:rPr>
        <w:t xml:space="preserve">Esquema de 10 campos aplicado a cada regla:</w:t>
      </w:r>
      <w:r>
        <w:t xml:space="preserve"> </w:t>
      </w:r>
      <w:r>
        <w:t xml:space="preserve">1. Qué hace · 2. Por qué · 3. Fuente · 4. Versión de la fuente · 5. Fecha de revisión · 6. Quién revisó · 7. Casos que la validan · 8. Excepciones · 9. Qué ocurre si faltan datos · 10. Qué ocurre si dos guías discrepan</w:t>
      </w:r>
    </w:p>
    <w:p>
      <w:pPr>
        <w:pStyle w:val="BodyText"/>
      </w:pPr>
      <w:r>
        <w:rPr>
          <w:b/>
        </w:rPr>
        <w:t xml:space="preserve">Nota de alcance:</w:t>
      </w:r>
      <w:r>
        <w:t xml:space="preserve"> </w:t>
      </w:r>
      <w:r>
        <w:t xml:space="preserve">las funciones de simulación educativa (</w:t>
      </w:r>
      <w:r>
        <w:rPr>
          <w:rStyle w:val="VerbatimChar"/>
        </w:rPr>
        <w:t xml:space="preserve">simulateGlucoseCurve</w:t>
      </w:r>
      <w:r>
        <w:t xml:space="preserve">,</w:t>
      </w:r>
      <w:r>
        <w:t xml:space="preserve"> </w:t>
      </w:r>
      <w:r>
        <w:rPr>
          <w:rStyle w:val="VerbatimChar"/>
        </w:rPr>
        <w:t xml:space="preserve">simulateGlucoseCurveConTratamiento</w:t>
      </w:r>
      <w:r>
        <w:t xml:space="preserve">,</w:t>
      </w:r>
      <w:r>
        <w:t xml:space="preserve"> </w:t>
      </w:r>
      <w:r>
        <w:rPr>
          <w:rStyle w:val="VerbatimChar"/>
        </w:rPr>
        <w:t xml:space="preserve">simulateBPBaseline</w:t>
      </w:r>
      <w:r>
        <w:t xml:space="preserve">,</w:t>
      </w:r>
      <w:r>
        <w:t xml:space="preserve"> </w:t>
      </w:r>
      <w:r>
        <w:rPr>
          <w:rStyle w:val="VerbatimChar"/>
        </w:rPr>
        <w:t xml:space="preserve">simulateBPCurveConTratamiento</w:t>
      </w:r>
      <w:r>
        <w:t xml:space="preserve">,</w:t>
      </w:r>
      <w:r>
        <w:t xml:space="preserve"> </w:t>
      </w:r>
      <w:r>
        <w:rPr>
          <w:rStyle w:val="VerbatimChar"/>
        </w:rPr>
        <w:t xml:space="preserve">projectWeightLoss</w:t>
      </w:r>
      <w:r>
        <w:t xml:space="preserve">) están explícitamente documentadas en el código como modelos ilustrativos</w:t>
      </w:r>
      <w:r>
        <w:t xml:space="preserve"> </w:t>
      </w:r>
      <w:r>
        <w:t xml:space="preserve">“</w:t>
      </w:r>
      <w:r>
        <w:t xml:space="preserve">NO una predicción validada para el paciente individual</w:t>
      </w:r>
      <w:r>
        <w:t xml:space="preserve">”</w:t>
      </w:r>
      <w:r>
        <w:t xml:space="preserve"> </w:t>
      </w:r>
      <w:r>
        <w:t xml:space="preserve">— no son reglas clínicas de decisión y se excluyen de este catálogo de gobernanza (no generan ni bloquean ninguna recomendación de tratamiento).</w:t>
      </w:r>
    </w:p>
    <w:p>
      <w:pPr>
        <w:pStyle w:val="BodyText"/>
      </w:pPr>
      <w:r>
        <w:rPr>
          <w:b/>
        </w:rPr>
        <w:t xml:space="preserve">Patrón sistémico encontrado (ver detalle en cada regla afectada):</w:t>
      </w:r>
      <w:r>
        <w:t xml:space="preserve"> </w:t>
      </w:r>
      <w:r>
        <w:t xml:space="preserve">el archivo usa consistentemente</w:t>
      </w:r>
      <w:r>
        <w:t xml:space="preserve"> </w:t>
      </w:r>
      <w:r>
        <w:rPr>
          <w:rStyle w:val="VerbatimChar"/>
        </w:rPr>
        <w:t xml:space="preserve">v(val)</w:t>
      </w:r>
      <w:r>
        <w:t xml:space="preserve"> </w:t>
      </w:r>
      <w:r>
        <w:t xml:space="preserve">para convertir</w:t>
      </w:r>
      <w:r>
        <w:t xml:space="preserve"> </w:t>
      </w:r>
      <w:r>
        <w:rPr>
          <w:rStyle w:val="VerbatimChar"/>
        </w:rPr>
        <w:t xml:space="preserve">""</w:t>
      </w:r>
      <w:r>
        <w:t xml:space="preserve">/</w:t>
      </w:r>
      <w:r>
        <w:rPr>
          <w:rStyle w:val="VerbatimChar"/>
        </w:rPr>
        <w:t xml:space="preserve">null</w:t>
      </w:r>
      <w:r>
        <w:t xml:space="preserve">/</w:t>
      </w:r>
      <w:r>
        <w:rPr>
          <w:rStyle w:val="VerbatimChar"/>
        </w:rPr>
        <w:t xml:space="preserve">undefined</w:t>
      </w:r>
      <w:r>
        <w:t xml:space="preserve"> </w:t>
      </w:r>
      <w:r>
        <w:t xml:space="preserve">a</w:t>
      </w:r>
      <w:r>
        <w:t xml:space="preserve"> </w:t>
      </w:r>
      <w:r>
        <w:rPr>
          <w:rStyle w:val="VerbatimChar"/>
        </w:rPr>
        <w:t xml:space="preserve">0</w:t>
      </w:r>
      <w:r>
        <w:t xml:space="preserve">, y luego usa guardas como</w:t>
      </w:r>
      <w:r>
        <w:t xml:space="preserve"> </w:t>
      </w:r>
      <w:r>
        <w:rPr>
          <w:rStyle w:val="VerbatimChar"/>
        </w:rPr>
        <w:t xml:space="preserve">egfr &gt; 0</w:t>
      </w:r>
      <w:r>
        <w:t xml:space="preserve">,</w:t>
      </w:r>
      <w:r>
        <w:t xml:space="preserve"> </w:t>
      </w:r>
      <w:r>
        <w:rPr>
          <w:rStyle w:val="VerbatimChar"/>
        </w:rPr>
        <w:t xml:space="preserve">&gt; 0</w:t>
      </w:r>
      <w:r>
        <w:t xml:space="preserve">, o comparaciones directas contra</w:t>
      </w:r>
      <w:r>
        <w:t xml:space="preserve"> </w:t>
      </w:r>
      <w:r>
        <w:rPr>
          <w:rStyle w:val="VerbatimChar"/>
        </w:rPr>
        <w:t xml:space="preserve">0</w:t>
      </w:r>
      <w:r>
        <w:t xml:space="preserve"> </w:t>
      </w:r>
      <w:r>
        <w:t xml:space="preserve">para decidir si un chequeo aplica. Esto significa que en TODA regla que dependa de un dato no capturado,</w:t>
      </w:r>
      <w:r>
        <w:t xml:space="preserve"> </w:t>
      </w:r>
      <w:r>
        <w:t xml:space="preserve">“</w:t>
      </w:r>
      <w:r>
        <w:t xml:space="preserve">dato faltante</w:t>
      </w:r>
      <w:r>
        <w:t xml:space="preserve">”</w:t>
      </w:r>
      <w:r>
        <w:t xml:space="preserve"> </w:t>
      </w:r>
      <w:r>
        <w:t xml:space="preserve">y</w:t>
      </w:r>
      <w:r>
        <w:t xml:space="preserve"> </w:t>
      </w:r>
      <w:r>
        <w:t xml:space="preserve">“</w:t>
      </w:r>
      <w:r>
        <w:t xml:space="preserve">valor fisiológicamente cero/ausente</w:t>
      </w:r>
      <w:r>
        <w:t xml:space="preserve">”</w:t>
      </w:r>
      <w:r>
        <w:t xml:space="preserve"> </w:t>
      </w:r>
      <w:r>
        <w:t xml:space="preserve">son indistinguibles para el motor — el comportamiento por defecto casi siempre es</w:t>
      </w:r>
      <w:r>
        <w:t xml:space="preserve"> </w:t>
      </w:r>
      <w:r>
        <w:t xml:space="preserve">“</w:t>
      </w:r>
      <w:r>
        <w:t xml:space="preserve">omitir el chequeo en silencio</w:t>
      </w:r>
      <w:r>
        <w:t xml:space="preserve">”</w:t>
      </w:r>
      <w:r>
        <w:t xml:space="preserve"> </w:t>
      </w:r>
      <w:r>
        <w:t xml:space="preserve">en vez de</w:t>
      </w:r>
      <w:r>
        <w:t xml:space="preserve"> </w:t>
      </w:r>
      <w:r>
        <w:t xml:space="preserve">“</w:t>
      </w:r>
      <w:r>
        <w:t xml:space="preserve">bloquear o advertir explícitamente que falta el dato</w:t>
      </w:r>
      <w:r>
        <w:t xml:space="preserve">”</w:t>
      </w:r>
      <w:r>
        <w:t xml:space="preserve">. Se documenta cada instancia encontrada de este patrón en el campo 9 de la regla correspondiente.</w:t>
      </w:r>
    </w:p>
    <w:p>
      <w:r>
        <w:pict>
          <v:rect style="width:0;height:1.5pt" o:hralign="center" o:hrstd="t" o:hr="t"/>
        </w:pict>
      </w:r>
    </w:p>
    <w:p>
      <w:pPr>
        <w:pStyle w:val="Heading2"/>
      </w:pPr>
      <w:bookmarkStart w:id="28" w:name="fórmulas-y-cálculos-base"/>
      <w:r>
        <w:t xml:space="preserve">1. Fórmulas y cálculos base</w:t>
      </w:r>
      <w:bookmarkEnd w:id="28"/>
    </w:p>
    <w:p>
      <w:pPr>
        <w:pStyle w:val="Heading3"/>
      </w:pPr>
      <w:bookmarkStart w:id="29" w:name="calcfib4-índice-fib-4-fibrosis-hepática"/>
      <w:r>
        <w:t xml:space="preserve">1.1</w:t>
      </w:r>
      <w:r>
        <w:t xml:space="preserve"> </w:t>
      </w:r>
      <w:r>
        <w:rPr>
          <w:rStyle w:val="VerbatimChar"/>
        </w:rPr>
        <w:t xml:space="preserve">calcFIB4</w:t>
      </w:r>
      <w:r>
        <w:t xml:space="preserve"> </w:t>
      </w:r>
      <w:r>
        <w:t xml:space="preserve">— Índice FIB-4 (fibrosis hepática)</w:t>
      </w:r>
      <w:bookmarkEnd w:id="29"/>
    </w:p>
    <w:p>
      <w:pPr>
        <w:numPr>
          <w:ilvl w:val="0"/>
          <w:numId w:val="1002"/>
        </w:numPr>
        <w:pStyle w:val="Compact"/>
      </w:pPr>
      <w:r>
        <w:rPr>
          <w:b/>
        </w:rPr>
        <w:t xml:space="preserve">Qué hace:</w:t>
      </w:r>
      <w:r>
        <w:t xml:space="preserve"> </w:t>
      </w:r>
      <w:r>
        <w:rPr>
          <w:rStyle w:val="VerbatimChar"/>
        </w:rPr>
        <w:t xml:space="preserve">(edad × AST) / (plaquetas × √ALT)</w:t>
      </w:r>
      <w:r>
        <w:t xml:space="preserve">, redondeado a 2 decimales.</w:t>
      </w:r>
    </w:p>
    <w:p>
      <w:pPr>
        <w:numPr>
          <w:ilvl w:val="0"/>
          <w:numId w:val="1002"/>
        </w:numPr>
        <w:pStyle w:val="Compact"/>
      </w:pPr>
      <w:r>
        <w:rPr>
          <w:b/>
        </w:rPr>
        <w:t xml:space="preserve">Por qué:</w:t>
      </w:r>
      <w:r>
        <w:t xml:space="preserve"> </w:t>
      </w:r>
      <w:r>
        <w:t xml:space="preserve">score no invasivo de fibrosis hepática usado como insumo de</w:t>
      </w:r>
      <w:r>
        <w:t xml:space="preserve"> </w:t>
      </w:r>
      <w:r>
        <w:rPr>
          <w:rStyle w:val="VerbatimChar"/>
        </w:rPr>
        <w:t xml:space="preserve">flags.masld</w:t>
      </w:r>
      <w:r>
        <w:t xml:space="preserve">.</w:t>
      </w:r>
    </w:p>
    <w:p>
      <w:pPr>
        <w:numPr>
          <w:ilvl w:val="0"/>
          <w:numId w:val="1002"/>
        </w:numPr>
        <w:pStyle w:val="Compact"/>
      </w:pPr>
      <w:r>
        <w:rPr>
          <w:b/>
        </w:rPr>
        <w:t xml:space="preserve">Fuente:</w:t>
      </w:r>
      <w:r>
        <w:t xml:space="preserve"> </w:t>
      </w:r>
      <w:r>
        <w:t xml:space="preserve">no se cita una guía específica en el comentario de esta función (el comentario menciona el corte de clasificación, no la fórmula en sí).</w:t>
      </w:r>
    </w:p>
    <w:p>
      <w:pPr>
        <w:numPr>
          <w:ilvl w:val="0"/>
          <w:numId w:val="1002"/>
        </w:numPr>
        <w:pStyle w:val="Compact"/>
      </w:pPr>
      <w:r>
        <w:rPr>
          <w:b/>
        </w:rPr>
        <w:t xml:space="preserve">Versión de la fuente:</w:t>
      </w:r>
      <w:r>
        <w:t xml:space="preserve"> </w:t>
      </w:r>
      <w:r>
        <w:t xml:space="preserve">No especificada en el código — pendiente de documentar.</w:t>
      </w:r>
    </w:p>
    <w:p>
      <w:pPr>
        <w:numPr>
          <w:ilvl w:val="0"/>
          <w:numId w:val="1002"/>
        </w:numPr>
        <w:pStyle w:val="Compact"/>
      </w:pPr>
      <w:r>
        <w:rPr>
          <w:b/>
        </w:rPr>
        <w:t xml:space="preserve">Fecha de revisión:</w:t>
      </w:r>
      <w:r>
        <w:t xml:space="preserve"> </w:t>
      </w:r>
      <w:r>
        <w:t xml:space="preserve">Sin fecha registrada (la fórmula no tiene comentario de auditoría propio; el corte de clasificación asociado sí, ver 2.1).</w:t>
      </w:r>
    </w:p>
    <w:p>
      <w:pPr>
        <w:numPr>
          <w:ilvl w:val="0"/>
          <w:numId w:val="1002"/>
        </w:numPr>
        <w:pStyle w:val="Compact"/>
      </w:pPr>
      <w:r>
        <w:rPr>
          <w:b/>
        </w:rPr>
        <w:t xml:space="preserve">Quién revisó:</w:t>
      </w:r>
      <w:r>
        <w:t xml:space="preserve"> </w:t>
      </w:r>
      <w:r>
        <w:t xml:space="preserve">No especificado.</w:t>
      </w:r>
    </w:p>
    <w:p>
      <w:pPr>
        <w:numPr>
          <w:ilvl w:val="0"/>
          <w:numId w:val="1002"/>
        </w:numPr>
        <w:pStyle w:val="Compact"/>
      </w:pPr>
      <w:r>
        <w:rPr>
          <w:b/>
        </w:rPr>
        <w:t xml:space="preserve">Casos que la validan:</w:t>
      </w:r>
      <w:r>
        <w:t xml:space="preserve"> </w:t>
      </w:r>
      <w:r>
        <w:rPr>
          <w:rStyle w:val="VerbatimChar"/>
        </w:rPr>
        <w:t xml:space="preserve">tests/clinical-cases.test.mjs</w:t>
      </w:r>
      <w:r>
        <w:t xml:space="preserve"> </w:t>
      </w:r>
      <w:r>
        <w:t xml:space="preserve">caso D1 (usa</w:t>
      </w:r>
      <w:r>
        <w:t xml:space="preserve"> </w:t>
      </w:r>
      <w:r>
        <w:rPr>
          <w:rStyle w:val="VerbatimChar"/>
        </w:rPr>
        <w:t xml:space="preserve">calcFIB4</w:t>
      </w:r>
      <w:r>
        <w:t xml:space="preserve"> </w:t>
      </w:r>
      <w:r>
        <w:t xml:space="preserve">para alimentar</w:t>
      </w:r>
      <w:r>
        <w:t xml:space="preserve"> </w:t>
      </w:r>
      <w:r>
        <w:rPr>
          <w:rStyle w:val="VerbatimChar"/>
        </w:rPr>
        <w:t xml:space="preserve">classifyFIB4</w:t>
      </w:r>
      <w:r>
        <w:t xml:space="preserve"> </w:t>
      </w:r>
      <w:r>
        <w:t xml:space="preserve">de</w:t>
      </w:r>
      <w:r>
        <w:t xml:space="preserve"> </w:t>
      </w:r>
      <w:r>
        <w:rPr>
          <w:rStyle w:val="VerbatimChar"/>
        </w:rPr>
        <w:t xml:space="preserve">individualization.js</w:t>
      </w:r>
      <w:r>
        <w:t xml:space="preserve">);</w:t>
      </w:r>
      <w:r>
        <w:t xml:space="preserve"> </w:t>
      </w:r>
      <w:r>
        <w:rPr>
          <w:rStyle w:val="VerbatimChar"/>
        </w:rPr>
        <w:t xml:space="preserve">tests/multimorbid-cases.test.mjs</w:t>
      </w:r>
      <w:r>
        <w:t xml:space="preserve"> </w:t>
      </w:r>
      <w:r>
        <w:t xml:space="preserve">(todos los casos 1-4 calculan e imprimen FIB-4).</w:t>
      </w:r>
    </w:p>
    <w:p>
      <w:pPr>
        <w:numPr>
          <w:ilvl w:val="0"/>
          <w:numId w:val="1002"/>
        </w:numPr>
        <w:pStyle w:val="Compact"/>
      </w:pPr>
      <w:r>
        <w:rPr>
          <w:b/>
        </w:rPr>
        <w:t xml:space="preserve">Excepciones:</w:t>
      </w:r>
      <w:r>
        <w:t xml:space="preserve"> </w:t>
      </w:r>
      <w:r>
        <w:t xml:space="preserve">función</w:t>
      </w:r>
      <w:r>
        <w:t xml:space="preserve"> </w:t>
      </w:r>
      <w:r>
        <w:rPr>
          <w:rStyle w:val="VerbatimChar"/>
        </w:rPr>
        <w:t xml:space="preserve">return 0</w:t>
      </w:r>
      <w:r>
        <w:t xml:space="preserve"> </w:t>
      </w:r>
      <w:r>
        <w:t xml:space="preserve">si</w:t>
      </w:r>
      <w:r>
        <w:t xml:space="preserve"> </w:t>
      </w:r>
      <w:r>
        <w:rPr>
          <w:rStyle w:val="VerbatimChar"/>
        </w:rPr>
        <w:t xml:space="preserve">plaquetas&lt;=0</w:t>
      </w:r>
      <w:r>
        <w:t xml:space="preserve"> </w:t>
      </w:r>
      <w:r>
        <w:t xml:space="preserve">o</w:t>
      </w:r>
      <w:r>
        <w:t xml:space="preserve"> </w:t>
      </w:r>
      <w:r>
        <w:rPr>
          <w:rStyle w:val="VerbatimChar"/>
        </w:rPr>
        <w:t xml:space="preserve">alt&lt;=0</w:t>
      </w:r>
      <w:r>
        <w:t xml:space="preserve"> </w:t>
      </w:r>
      <w:r>
        <w:t xml:space="preserve">— es decir, cualquier dato faltante hace que el score se reporte como 0 (no como</w:t>
      </w:r>
      <w:r>
        <w:t xml:space="preserve"> </w:t>
      </w:r>
      <w:r>
        <w:t xml:space="preserve">“</w:t>
      </w:r>
      <w:r>
        <w:t xml:space="preserve">no calculable</w:t>
      </w:r>
      <w:r>
        <w:t xml:space="preserve">”</w:t>
      </w:r>
      <w:r>
        <w:t xml:space="preserve">).</w:t>
      </w:r>
    </w:p>
    <w:p>
      <w:pPr>
        <w:numPr>
          <w:ilvl w:val="0"/>
          <w:numId w:val="1002"/>
        </w:numPr>
        <w:pStyle w:val="Compact"/>
      </w:pPr>
      <w:r>
        <w:rPr>
          <w:b/>
        </w:rPr>
        <w:t xml:space="preserve">Qué faltan datos:</w:t>
      </w:r>
      <w:r>
        <w:t xml:space="preserve"> </w:t>
      </w:r>
      <w:r>
        <w:t xml:space="preserve">si faltan plaquetas o ALT, regresa</w:t>
      </w:r>
      <w:r>
        <w:t xml:space="preserve"> </w:t>
      </w:r>
      <w:r>
        <w:rPr>
          <w:rStyle w:val="VerbatimChar"/>
        </w:rPr>
        <w:t xml:space="preserve">0</w:t>
      </w:r>
      <w:r>
        <w:t xml:space="preserve"> </w:t>
      </w:r>
      <w:r>
        <w:t xml:space="preserve">— un</w:t>
      </w:r>
      <w:r>
        <w:t xml:space="preserve"> </w:t>
      </w:r>
      <w:r>
        <w:rPr>
          <w:rStyle w:val="VerbatimChar"/>
        </w:rPr>
        <w:t xml:space="preserve">0</w:t>
      </w:r>
      <w:r>
        <w:t xml:space="preserve"> </w:t>
      </w:r>
      <w:r>
        <w:t xml:space="preserve">de FIB-4 es indistinguible de un paciente con fibrosis genuinamente mínima; no hay bandera de</w:t>
      </w:r>
      <w:r>
        <w:t xml:space="preserve"> </w:t>
      </w:r>
      <w:r>
        <w:t xml:space="preserve">“</w:t>
      </w:r>
      <w:r>
        <w:t xml:space="preserve">no calculado</w:t>
      </w:r>
      <w:r>
        <w:t xml:space="preserve">”</w:t>
      </w:r>
      <w:r>
        <w:t xml:space="preserve">. Esto alimenta silenciosamente</w:t>
      </w:r>
      <w:r>
        <w:t xml:space="preserve"> </w:t>
      </w:r>
      <w:r>
        <w:rPr>
          <w:rStyle w:val="VerbatimChar"/>
        </w:rPr>
        <w:t xml:space="preserve">flags.masld = hasComorb(p,"MASLD") || fib4 &gt; 1.3</w:t>
      </w:r>
      <w:r>
        <w:t xml:space="preserve"> </w:t>
      </w:r>
      <w:r>
        <w:t xml:space="preserve">— con datos faltantes,</w:t>
      </w:r>
      <w:r>
        <w:t xml:space="preserve"> </w:t>
      </w:r>
      <w:r>
        <w:rPr>
          <w:rStyle w:val="VerbatimChar"/>
        </w:rPr>
        <w:t xml:space="preserve">fib4=0</w:t>
      </w:r>
      <w:r>
        <w:t xml:space="preserve"> </w:t>
      </w:r>
      <w:r>
        <w:t xml:space="preserve">nunca activa el flag por esta vía (queda solo el checkbox manual de MASLD).</w:t>
      </w:r>
    </w:p>
    <w:p>
      <w:pPr>
        <w:numPr>
          <w:ilvl w:val="0"/>
          <w:numId w:val="1002"/>
        </w:numPr>
        <w:pStyle w:val="Compact"/>
      </w:pPr>
      <w:r>
        <w:rPr>
          <w:b/>
        </w:rPr>
        <w:t xml:space="preserve">Discrepancia entre guías:</w:t>
      </w:r>
      <w:r>
        <w:t xml:space="preserve"> </w:t>
      </w:r>
      <w:r>
        <w:t xml:space="preserve">no aplica (fórmula única, sin guías alternativas contempladas).</w:t>
      </w:r>
    </w:p>
    <w:p>
      <w:pPr>
        <w:pStyle w:val="Heading3"/>
      </w:pPr>
      <w:bookmarkStart w:id="30" w:name="calchoma_ir-resistencia-a-la-insulina"/>
      <w:r>
        <w:t xml:space="preserve">1.2</w:t>
      </w:r>
      <w:r>
        <w:t xml:space="preserve"> </w:t>
      </w:r>
      <w:r>
        <w:rPr>
          <w:rStyle w:val="VerbatimChar"/>
        </w:rPr>
        <w:t xml:space="preserve">calcHOMA_IR</w:t>
      </w:r>
      <w:r>
        <w:t xml:space="preserve"> </w:t>
      </w:r>
      <w:r>
        <w:t xml:space="preserve">— Resistencia a la insulina</w:t>
      </w:r>
      <w:bookmarkEnd w:id="30"/>
    </w:p>
    <w:p>
      <w:pPr>
        <w:numPr>
          <w:ilvl w:val="0"/>
          <w:numId w:val="1003"/>
        </w:numPr>
        <w:pStyle w:val="Compact"/>
      </w:pPr>
      <w:r>
        <w:rPr>
          <w:b/>
        </w:rPr>
        <w:t xml:space="preserve">Qué hace:</w:t>
      </w:r>
      <w:r>
        <w:t xml:space="preserve"> </w:t>
      </w:r>
      <w:r>
        <w:rPr>
          <w:rStyle w:val="VerbatimChar"/>
        </w:rPr>
        <w:t xml:space="preserve">(glucosa × insulina) / 405</w:t>
      </w:r>
      <w:r>
        <w:t xml:space="preserve">, redondeado a 1 decimal.</w:t>
      </w:r>
    </w:p>
    <w:p>
      <w:pPr>
        <w:numPr>
          <w:ilvl w:val="0"/>
          <w:numId w:val="1003"/>
        </w:numPr>
        <w:pStyle w:val="Compact"/>
      </w:pPr>
      <w:r>
        <w:rPr>
          <w:b/>
        </w:rPr>
        <w:t xml:space="preserve">Por qué:</w:t>
      </w:r>
      <w:r>
        <w:t xml:space="preserve"> </w:t>
      </w:r>
      <w:r>
        <w:t xml:space="preserve">cuantifica resistencia a la insulina a partir de glucosa e insulina en ayuno.</w:t>
      </w:r>
    </w:p>
    <w:p>
      <w:pPr>
        <w:numPr>
          <w:ilvl w:val="0"/>
          <w:numId w:val="1003"/>
        </w:numPr>
        <w:pStyle w:val="Compact"/>
      </w:pPr>
      <w:r>
        <w:rPr>
          <w:b/>
        </w:rPr>
        <w:t xml:space="preserve">Fuente:</w:t>
      </w:r>
      <w:r>
        <w:t xml:space="preserve"> </w:t>
      </w:r>
      <w:r>
        <w:t xml:space="preserve">No especificada en el código — fórmula estándar de literatura, sin cita explícita.</w:t>
      </w:r>
    </w:p>
    <w:p>
      <w:pPr>
        <w:numPr>
          <w:ilvl w:val="0"/>
          <w:numId w:val="1003"/>
        </w:numPr>
        <w:pStyle w:val="Compact"/>
      </w:pPr>
      <w:r>
        <w:rPr>
          <w:b/>
        </w:rPr>
        <w:t xml:space="preserve">Versión de la fuente:</w:t>
      </w:r>
      <w:r>
        <w:t xml:space="preserve"> </w:t>
      </w:r>
      <w:r>
        <w:t xml:space="preserve">No especificada en el código.</w:t>
      </w:r>
    </w:p>
    <w:p>
      <w:pPr>
        <w:numPr>
          <w:ilvl w:val="0"/>
          <w:numId w:val="1003"/>
        </w:numPr>
        <w:pStyle w:val="Compact"/>
      </w:pPr>
      <w:r>
        <w:rPr>
          <w:b/>
        </w:rPr>
        <w:t xml:space="preserve">Fecha de revisión:</w:t>
      </w:r>
      <w:r>
        <w:t xml:space="preserve"> </w:t>
      </w:r>
      <w:r>
        <w:t xml:space="preserve">Sin fecha registrada.</w:t>
      </w:r>
    </w:p>
    <w:p>
      <w:pPr>
        <w:numPr>
          <w:ilvl w:val="0"/>
          <w:numId w:val="1003"/>
        </w:numPr>
        <w:pStyle w:val="Compact"/>
      </w:pPr>
      <w:r>
        <w:rPr>
          <w:b/>
        </w:rPr>
        <w:t xml:space="preserve">Quién revisó:</w:t>
      </w:r>
      <w:r>
        <w:t xml:space="preserve"> </w:t>
      </w:r>
      <w:r>
        <w:t xml:space="preserve">No especificado.</w:t>
      </w:r>
    </w:p>
    <w:p>
      <w:pPr>
        <w:numPr>
          <w:ilvl w:val="0"/>
          <w:numId w:val="1003"/>
        </w:numPr>
        <w:pStyle w:val="Compact"/>
      </w:pPr>
      <w:r>
        <w:rPr>
          <w:b/>
        </w:rPr>
        <w:t xml:space="preserve">Casos que la validan:</w:t>
      </w:r>
      <w:r>
        <w:t xml:space="preserve"> </w:t>
      </w:r>
      <w:r>
        <w:t xml:space="preserve">Sin caso de prueba identificado en los 3 archivos de test revisados.</w:t>
      </w:r>
    </w:p>
    <w:p>
      <w:pPr>
        <w:numPr>
          <w:ilvl w:val="0"/>
          <w:numId w:val="1003"/>
        </w:numPr>
        <w:pStyle w:val="Compact"/>
      </w:pPr>
      <w:r>
        <w:rPr>
          <w:b/>
        </w:rPr>
        <w:t xml:space="preserve">Excepciones:</w:t>
      </w:r>
      <w:r>
        <w:t xml:space="preserve"> </w:t>
      </w:r>
      <w:r>
        <w:t xml:space="preserve">ninguna explícita en el código (no hay guarda de datos faltantes).</w:t>
      </w:r>
    </w:p>
    <w:p>
      <w:pPr>
        <w:numPr>
          <w:ilvl w:val="0"/>
          <w:numId w:val="1003"/>
        </w:numPr>
        <w:pStyle w:val="Compact"/>
      </w:pPr>
      <w:r>
        <w:rPr>
          <w:b/>
        </w:rPr>
        <w:t xml:space="preserve">Qué faltan datos:</w:t>
      </w:r>
      <w:r>
        <w:t xml:space="preserve"> </w:t>
      </w:r>
      <w:r>
        <w:t xml:space="preserve">si</w:t>
      </w:r>
      <w:r>
        <w:t xml:space="preserve"> </w:t>
      </w:r>
      <w:r>
        <w:rPr>
          <w:rStyle w:val="VerbatimChar"/>
        </w:rPr>
        <w:t xml:space="preserve">glucosa</w:t>
      </w:r>
      <w:r>
        <w:t xml:space="preserve"> </w:t>
      </w:r>
      <w:r>
        <w:t xml:space="preserve">o</w:t>
      </w:r>
      <w:r>
        <w:t xml:space="preserve"> </w:t>
      </w:r>
      <w:r>
        <w:rPr>
          <w:rStyle w:val="VerbatimChar"/>
        </w:rPr>
        <w:t xml:space="preserve">insulina</w:t>
      </w:r>
      <w:r>
        <w:t xml:space="preserve"> </w:t>
      </w:r>
      <w:r>
        <w:t xml:space="preserve">faltan,</w:t>
      </w:r>
      <w:r>
        <w:t xml:space="preserve"> </w:t>
      </w:r>
      <w:r>
        <w:rPr>
          <w:rStyle w:val="VerbatimChar"/>
        </w:rPr>
        <w:t xml:space="preserve">v()</w:t>
      </w:r>
      <w:r>
        <w:t xml:space="preserve"> </w:t>
      </w:r>
      <w:r>
        <w:t xml:space="preserve">los convierte a 0 y la fórmula regresa</w:t>
      </w:r>
      <w:r>
        <w:t xml:space="preserve"> </w:t>
      </w:r>
      <w:r>
        <w:rPr>
          <w:rStyle w:val="VerbatimChar"/>
        </w:rPr>
        <w:t xml:space="preserve">0</w:t>
      </w:r>
      <w:r>
        <w:t xml:space="preserve"> </w:t>
      </w:r>
      <w:r>
        <w:t xml:space="preserve">sin ninguna señal de</w:t>
      </w:r>
      <w:r>
        <w:t xml:space="preserve"> </w:t>
      </w:r>
      <w:r>
        <w:t xml:space="preserve">“</w:t>
      </w:r>
      <w:r>
        <w:t xml:space="preserve">no calculable</w:t>
      </w:r>
      <w:r>
        <w:t xml:space="preserve">”</w:t>
      </w:r>
      <w:r>
        <w:t xml:space="preserve"> </w:t>
      </w:r>
      <w:r>
        <w:t xml:space="preserve">— indistinguible de HOMA-IR=0 real.</w:t>
      </w:r>
    </w:p>
    <w:p>
      <w:pPr>
        <w:numPr>
          <w:ilvl w:val="0"/>
          <w:numId w:val="1003"/>
        </w:numPr>
        <w:pStyle w:val="Compact"/>
      </w:pPr>
      <w:r>
        <w:rPr>
          <w:b/>
        </w:rPr>
        <w:t xml:space="preserve">Discrepancia entre guías:</w:t>
      </w:r>
      <w:r>
        <w:t xml:space="preserve"> </w:t>
      </w:r>
      <w:r>
        <w:t xml:space="preserve">no aplica.</w:t>
      </w:r>
    </w:p>
    <w:p>
      <w:pPr>
        <w:pStyle w:val="Heading3"/>
      </w:pPr>
      <w:bookmarkStart w:id="31" w:name="X937b6d1148e455eb1c51b0f2f1e358fd401476e"/>
      <w:r>
        <w:t xml:space="preserve">1.3</w:t>
      </w:r>
      <w:r>
        <w:t xml:space="preserve"> </w:t>
      </w:r>
      <w:r>
        <w:rPr>
          <w:rStyle w:val="VerbatimChar"/>
        </w:rPr>
        <w:t xml:space="preserve">calcEGFR</w:t>
      </w:r>
      <w:r>
        <w:t xml:space="preserve"> </w:t>
      </w:r>
      <w:r>
        <w:t xml:space="preserve">— eGFR vía CKD-EPI 2021 (sin coeficiente racial)</w:t>
      </w:r>
      <w:bookmarkEnd w:id="31"/>
    </w:p>
    <w:p>
      <w:pPr>
        <w:numPr>
          <w:ilvl w:val="0"/>
          <w:numId w:val="1004"/>
        </w:numPr>
        <w:pStyle w:val="Compact"/>
      </w:pPr>
      <w:r>
        <w:rPr>
          <w:b/>
        </w:rPr>
        <w:t xml:space="preserve">Qué hace:</w:t>
      </w:r>
      <w:r>
        <w:t xml:space="preserve"> </w:t>
      </w:r>
      <w:r>
        <w:t xml:space="preserve">implementa la ecuación CKD-EPI 2021 completa (kappa/alpha por sexo, términos min/max de la razón creatinina/kappa, término de edad, factor de sexo) para eGFR en mL/min/1.73m².</w:t>
      </w:r>
    </w:p>
    <w:p>
      <w:pPr>
        <w:numPr>
          <w:ilvl w:val="0"/>
          <w:numId w:val="1004"/>
        </w:numPr>
        <w:pStyle w:val="Compact"/>
      </w:pPr>
      <w:r>
        <w:rPr>
          <w:b/>
        </w:rPr>
        <w:t xml:space="preserve">Por qué:</w:t>
      </w:r>
      <w:r>
        <w:t xml:space="preserve"> </w:t>
      </w:r>
      <w:r>
        <w:t xml:space="preserve">eGFR es insumo central de</w:t>
      </w:r>
      <w:r>
        <w:t xml:space="preserve"> </w:t>
      </w:r>
      <w:r>
        <w:rPr>
          <w:rStyle w:val="VerbatimChar"/>
        </w:rPr>
        <w:t xml:space="preserve">flags.erc</w:t>
      </w:r>
      <w:r>
        <w:t xml:space="preserve">, filtro de seguridad por fármaco (</w:t>
      </w:r>
      <w:r>
        <w:rPr>
          <w:rStyle w:val="VerbatimChar"/>
        </w:rPr>
        <w:t xml:space="preserve">egfrMin</w:t>
      </w:r>
      <w:r>
        <w:t xml:space="preserve">), clasificación de riesgo lipídico y reglas de metformina/HTN.</w:t>
      </w:r>
    </w:p>
    <w:p>
      <w:pPr>
        <w:numPr>
          <w:ilvl w:val="0"/>
          <w:numId w:val="1004"/>
        </w:numPr>
        <w:pStyle w:val="Compact"/>
      </w:pPr>
      <w:r>
        <w:rPr>
          <w:b/>
        </w:rPr>
        <w:t xml:space="preserve">Fuente:</w:t>
      </w:r>
      <w:r>
        <w:t xml:space="preserve"> </w:t>
      </w:r>
      <w:r>
        <w:t xml:space="preserve">CKD-EPI 2021 (explícita en el nombre de la función y el comentario:</w:t>
      </w:r>
      <w:r>
        <w:t xml:space="preserve"> </w:t>
      </w:r>
      <w:r>
        <w:t xml:space="preserve">“</w:t>
      </w:r>
      <w:r>
        <w:t xml:space="preserve">sin coeficiente racial</w:t>
      </w:r>
      <w:r>
        <w:t xml:space="preserve">”</w:t>
      </w:r>
      <w:r>
        <w:t xml:space="preserve">).</w:t>
      </w:r>
    </w:p>
    <w:p>
      <w:pPr>
        <w:numPr>
          <w:ilvl w:val="0"/>
          <w:numId w:val="1004"/>
        </w:numPr>
        <w:pStyle w:val="Compact"/>
      </w:pPr>
      <w:r>
        <w:rPr>
          <w:b/>
        </w:rPr>
        <w:t xml:space="preserve">Versión de la fuente:</w:t>
      </w:r>
      <w:r>
        <w:t xml:space="preserve"> </w:t>
      </w:r>
      <w:r>
        <w:t xml:space="preserve">2021 (versión sin ajuste racial, explícita).</w:t>
      </w:r>
    </w:p>
    <w:p>
      <w:pPr>
        <w:numPr>
          <w:ilvl w:val="0"/>
          <w:numId w:val="1004"/>
        </w:numPr>
        <w:pStyle w:val="Compact"/>
      </w:pPr>
      <w:r>
        <w:rPr>
          <w:b/>
        </w:rPr>
        <w:t xml:space="preserve">Fecha de revisión:</w:t>
      </w:r>
      <w:r>
        <w:t xml:space="preserve"> </w:t>
      </w:r>
      <w:r>
        <w:t xml:space="preserve">Sin fecha de auditoría propia registrada en el comentario de esta función específica.</w:t>
      </w:r>
    </w:p>
    <w:p>
      <w:pPr>
        <w:numPr>
          <w:ilvl w:val="0"/>
          <w:numId w:val="1004"/>
        </w:numPr>
        <w:pStyle w:val="Compact"/>
      </w:pPr>
      <w:r>
        <w:rPr>
          <w:b/>
        </w:rPr>
        <w:t xml:space="preserve">Quién revisó:</w:t>
      </w:r>
      <w:r>
        <w:t xml:space="preserve"> </w:t>
      </w:r>
      <w:r>
        <w:t xml:space="preserve">No especificado en el comentario de esta función.</w:t>
      </w:r>
    </w:p>
    <w:p>
      <w:pPr>
        <w:numPr>
          <w:ilvl w:val="0"/>
          <w:numId w:val="1004"/>
        </w:numPr>
        <w:pStyle w:val="Compact"/>
      </w:pPr>
      <w:r>
        <w:rPr>
          <w:b/>
        </w:rPr>
        <w:t xml:space="preserve">Casos que la validan:</w:t>
      </w:r>
      <w:r>
        <w:t xml:space="preserve"> </w:t>
      </w:r>
      <w:r>
        <w:rPr>
          <w:rStyle w:val="VerbatimChar"/>
        </w:rPr>
        <w:t xml:space="preserve">tests/clinical-cases.test.mjs</w:t>
      </w:r>
      <w:r>
        <w:t xml:space="preserve"> </w:t>
      </w:r>
      <w:r>
        <w:t xml:space="preserve">caso A2 (imprime el eGFR calculado para verificar la rama de ERC);</w:t>
      </w:r>
      <w:r>
        <w:t xml:space="preserve"> </w:t>
      </w:r>
      <w:r>
        <w:rPr>
          <w:rStyle w:val="VerbatimChar"/>
        </w:rPr>
        <w:t xml:space="preserve">tests/multimorbid-cases.test.mjs</w:t>
      </w:r>
      <w:r>
        <w:t xml:space="preserve"> </w:t>
      </w:r>
      <w:r>
        <w:t xml:space="preserve">(todos los casos calculan e imprimen eGFR).</w:t>
      </w:r>
    </w:p>
    <w:p>
      <w:pPr>
        <w:numPr>
          <w:ilvl w:val="0"/>
          <w:numId w:val="1004"/>
        </w:numPr>
        <w:pStyle w:val="Compact"/>
      </w:pPr>
      <w:r>
        <w:rPr>
          <w:b/>
        </w:rPr>
        <w:t xml:space="preserve">Excepciones:</w:t>
      </w:r>
      <w:r>
        <w:t xml:space="preserve"> </w:t>
      </w:r>
      <w:r>
        <w:t xml:space="preserve">ninguna clínica — es la implementación completa de la fórmula, no una versión simplificada.</w:t>
      </w:r>
    </w:p>
    <w:p>
      <w:pPr>
        <w:numPr>
          <w:ilvl w:val="0"/>
          <w:numId w:val="1004"/>
        </w:numPr>
        <w:pStyle w:val="Compact"/>
      </w:pPr>
      <w:r>
        <w:rPr>
          <w:b/>
        </w:rPr>
        <w:t xml:space="preserve">Qué faltan datos:</w:t>
      </w:r>
      <w:r>
        <w:t xml:space="preserve"> </w:t>
      </w:r>
      <w:r>
        <w:t xml:space="preserve">si</w:t>
      </w:r>
      <w:r>
        <w:t xml:space="preserve"> </w:t>
      </w:r>
      <w:r>
        <w:rPr>
          <w:rStyle w:val="VerbatimChar"/>
        </w:rPr>
        <w:t xml:space="preserve">creatinina&lt;=0</w:t>
      </w:r>
      <w:r>
        <w:t xml:space="preserve">,</w:t>
      </w:r>
      <w:r>
        <w:t xml:space="preserve"> </w:t>
      </w:r>
      <w:r>
        <w:rPr>
          <w:rStyle w:val="VerbatimChar"/>
        </w:rPr>
        <w:t xml:space="preserve">edad&lt;=0</w:t>
      </w:r>
      <w:r>
        <w:t xml:space="preserve"> </w:t>
      </w:r>
      <w:r>
        <w:t xml:space="preserve">o</w:t>
      </w:r>
      <w:r>
        <w:t xml:space="preserve"> </w:t>
      </w:r>
      <w:r>
        <w:rPr>
          <w:rStyle w:val="VerbatimChar"/>
        </w:rPr>
        <w:t xml:space="preserve">!p.sexo</w:t>
      </w:r>
      <w:r>
        <w:t xml:space="preserve">, la función</w:t>
      </w:r>
      <w:r>
        <w:t xml:space="preserve"> </w:t>
      </w:r>
      <w:r>
        <w:rPr>
          <w:b/>
        </w:rPr>
        <w:t xml:space="preserve">cae de vuelta al valor manual</w:t>
      </w:r>
      <w:r>
        <w:rPr>
          <w:b/>
        </w:rPr>
        <w:t xml:space="preserve"> </w:t>
      </w:r>
      <w:r>
        <w:rPr>
          <w:rStyle w:val="VerbatimChar"/>
          <w:b/>
        </w:rPr>
        <w:t xml:space="preserve">p.tfg</w:t>
      </w:r>
      <w:r>
        <w:t xml:space="preserve"> </w:t>
      </w:r>
      <w:r>
        <w:t xml:space="preserve">(fallback documentado explícitamente en el comentario de cabecera:</w:t>
      </w:r>
      <w:r>
        <w:t xml:space="preserve"> </w:t>
      </w:r>
      <w:r>
        <w:t xml:space="preserve">“</w:t>
      </w:r>
      <w:r>
        <w:t xml:space="preserve">Si falta creatinina, cae de vuelta al valor de eGFR capturado manualmente</w:t>
      </w:r>
      <w:r>
        <w:t xml:space="preserve">”</w:t>
      </w:r>
      <w:r>
        <w:t xml:space="preserve">). Si</w:t>
      </w:r>
      <w:r>
        <w:t xml:space="preserve"> </w:t>
      </w:r>
      <w:r>
        <w:rPr>
          <w:rStyle w:val="VerbatimChar"/>
        </w:rPr>
        <w:t xml:space="preserve">p.tfg</w:t>
      </w:r>
      <w:r>
        <w:t xml:space="preserve"> </w:t>
      </w:r>
      <w:r>
        <w:t xml:space="preserve">tampoco existe, regresa</w:t>
      </w:r>
      <w:r>
        <w:t xml:space="preserve"> </w:t>
      </w:r>
      <w:r>
        <w:rPr>
          <w:rStyle w:val="VerbatimChar"/>
        </w:rPr>
        <w:t xml:space="preserve">0</w:t>
      </w:r>
      <w:r>
        <w:t xml:space="preserve">. Este</w:t>
      </w:r>
      <w:r>
        <w:t xml:space="preserve"> </w:t>
      </w:r>
      <w:r>
        <w:rPr>
          <w:rStyle w:val="VerbatimChar"/>
        </w:rPr>
        <w:t xml:space="preserve">0</w:t>
      </w:r>
      <w:r>
        <w:t xml:space="preserve"> </w:t>
      </w:r>
      <w:r>
        <w:t xml:space="preserve">luego se propaga a todo el motor como</w:t>
      </w:r>
      <w:r>
        <w:t xml:space="preserve"> </w:t>
      </w:r>
      <w:r>
        <w:t xml:space="preserve">“</w:t>
      </w:r>
      <w:r>
        <w:t xml:space="preserve">eGFR=0</w:t>
      </w:r>
      <w:r>
        <w:t xml:space="preserve">”</w:t>
      </w:r>
      <w:r>
        <w:t xml:space="preserve">, y las guardas</w:t>
      </w:r>
      <w:r>
        <w:t xml:space="preserve"> </w:t>
      </w:r>
      <w:r>
        <w:rPr>
          <w:rStyle w:val="VerbatimChar"/>
        </w:rPr>
        <w:t xml:space="preserve">flags.egfr &gt; 0</w:t>
      </w:r>
      <w:r>
        <w:t xml:space="preserve"> </w:t>
      </w:r>
      <w:r>
        <w:t xml:space="preserve">en</w:t>
      </w:r>
      <w:r>
        <w:t xml:space="preserve"> </w:t>
      </w:r>
      <w:r>
        <w:rPr>
          <w:rStyle w:val="VerbatimChar"/>
        </w:rPr>
        <w:t xml:space="preserve">currentDrugIssue</w:t>
      </w:r>
      <w:r>
        <w:t xml:space="preserve"> </w:t>
      </w:r>
      <w:r>
        <w:t xml:space="preserve">y en los planes de tratamiento</w:t>
      </w:r>
      <w:r>
        <w:t xml:space="preserve"> </w:t>
      </w:r>
      <w:r>
        <w:rPr>
          <w:b/>
        </w:rPr>
        <w:t xml:space="preserve">omiten en silencio</w:t>
      </w:r>
      <w:r>
        <w:t xml:space="preserve"> </w:t>
      </w:r>
      <w:r>
        <w:t xml:space="preserve">cualquier chequeo de seguridad renal en vez de advertir</w:t>
      </w:r>
      <w:r>
        <w:t xml:space="preserve"> </w:t>
      </w:r>
      <w:r>
        <w:t xml:space="preserve">“</w:t>
      </w:r>
      <w:r>
        <w:t xml:space="preserve">eGFR no disponible</w:t>
      </w:r>
      <w:r>
        <w:t xml:space="preserve">”</w:t>
      </w:r>
      <w:r>
        <w:t xml:space="preserve"> </w:t>
      </w:r>
      <w:r>
        <w:t xml:space="preserve">— ver detalle en la sección de</w:t>
      </w:r>
      <w:r>
        <w:t xml:space="preserve"> </w:t>
      </w:r>
      <w:r>
        <w:rPr>
          <w:rStyle w:val="VerbatimChar"/>
        </w:rPr>
        <w:t xml:space="preserve">currentDrugIssue</w:t>
      </w:r>
      <w:r>
        <w:t xml:space="preserve"> </w:t>
      </w:r>
      <w:r>
        <w:t xml:space="preserve">(9.1) y en Plan Antidiabético/HTN/Lípidos.</w:t>
      </w:r>
    </w:p>
    <w:p>
      <w:pPr>
        <w:numPr>
          <w:ilvl w:val="0"/>
          <w:numId w:val="1004"/>
        </w:numPr>
        <w:pStyle w:val="Compact"/>
      </w:pPr>
      <w:r>
        <w:rPr>
          <w:b/>
        </w:rPr>
        <w:t xml:space="preserve">Discrepancia entre guías:</w:t>
      </w:r>
      <w:r>
        <w:t xml:space="preserve"> </w:t>
      </w:r>
      <w:r>
        <w:t xml:space="preserve">el comentario de</w:t>
      </w:r>
      <w:r>
        <w:t xml:space="preserve"> </w:t>
      </w:r>
      <w:r>
        <w:rPr>
          <w:rStyle w:val="VerbatimChar"/>
        </w:rPr>
        <w:t xml:space="preserve">classifyLipidRisk</w:t>
      </w:r>
      <w:r>
        <w:t xml:space="preserve"> </w:t>
      </w:r>
      <w:r>
        <w:t xml:space="preserve">documenta que existía una versión previa con un bug (comparaba contra</w:t>
      </w:r>
      <w:r>
        <w:t xml:space="preserve"> </w:t>
      </w:r>
      <w:r>
        <w:rPr>
          <w:rStyle w:val="VerbatimChar"/>
        </w:rPr>
        <w:t xml:space="preserve">p.tfg</w:t>
      </w:r>
      <w:r>
        <w:t xml:space="preserve">, un campo nunca llenado, causando que TODO paciente cayera en</w:t>
      </w:r>
      <w:r>
        <w:t xml:space="preserve"> </w:t>
      </w:r>
      <w:r>
        <w:t xml:space="preserve">“</w:t>
      </w:r>
      <w:r>
        <w:t xml:space="preserve">MUY ALTO</w:t>
      </w:r>
      <w:r>
        <w:t xml:space="preserve">”</w:t>
      </w:r>
      <w:r>
        <w:t xml:space="preserve"> </w:t>
      </w:r>
      <w:r>
        <w:t xml:space="preserve">— corregido usando</w:t>
      </w:r>
      <w:r>
        <w:t xml:space="preserve"> </w:t>
      </w:r>
      <w:r>
        <w:rPr>
          <w:rStyle w:val="VerbatimChar"/>
        </w:rPr>
        <w:t xml:space="preserve">calcEGFR</w:t>
      </w:r>
      <w:r>
        <w:t xml:space="preserve"> </w:t>
      </w:r>
      <w:r>
        <w:t xml:space="preserve">real con guarda</w:t>
      </w:r>
      <w:r>
        <w:t xml:space="preserve"> </w:t>
      </w:r>
      <w:r>
        <w:rPr>
          <w:rStyle w:val="VerbatimChar"/>
        </w:rPr>
        <w:t xml:space="preserve">egfr &gt; 0</w:t>
      </w:r>
      <w:r>
        <w:t xml:space="preserve">).</w:t>
      </w:r>
    </w:p>
    <w:p>
      <w:pPr>
        <w:pStyle w:val="Heading3"/>
      </w:pPr>
      <w:bookmarkStart w:id="32" w:name="X1d6c4403b526aff495c81c08fb0792c20bc227c"/>
      <w:r>
        <w:t xml:space="preserve">1.4</w:t>
      </w:r>
      <w:r>
        <w:t xml:space="preserve"> </w:t>
      </w:r>
      <w:r>
        <w:rPr>
          <w:rStyle w:val="VerbatimChar"/>
        </w:rPr>
        <w:t xml:space="preserve">calcIMC</w:t>
      </w:r>
      <w:r>
        <w:t xml:space="preserve">,</w:t>
      </w:r>
      <w:r>
        <w:t xml:space="preserve"> </w:t>
      </w:r>
      <w:r>
        <w:rPr>
          <w:rStyle w:val="VerbatimChar"/>
        </w:rPr>
        <w:t xml:space="preserve">calcICC</w:t>
      </w:r>
      <w:r>
        <w:t xml:space="preserve">,</w:t>
      </w:r>
      <w:r>
        <w:t xml:space="preserve"> </w:t>
      </w:r>
      <w:r>
        <w:rPr>
          <w:rStyle w:val="VerbatimChar"/>
        </w:rPr>
        <w:t xml:space="preserve">calcICA</w:t>
      </w:r>
      <w:r>
        <w:t xml:space="preserve"> </w:t>
      </w:r>
      <w:r>
        <w:t xml:space="preserve">— Índices antropométricos</w:t>
      </w:r>
      <w:bookmarkEnd w:id="32"/>
    </w:p>
    <w:p>
      <w:pPr>
        <w:numPr>
          <w:ilvl w:val="0"/>
          <w:numId w:val="1005"/>
        </w:numPr>
        <w:pStyle w:val="Compact"/>
      </w:pPr>
      <w:r>
        <w:rPr>
          <w:b/>
        </w:rPr>
        <w:t xml:space="preserve">Qué hace:</w:t>
      </w:r>
      <w:r>
        <w:t xml:space="preserve"> </w:t>
      </w:r>
      <w:r>
        <w:t xml:space="preserve">IMC = peso/talla², ICC = cintura/cadera, ICA = cintura/talla.</w:t>
      </w:r>
    </w:p>
    <w:p>
      <w:pPr>
        <w:numPr>
          <w:ilvl w:val="0"/>
          <w:numId w:val="1005"/>
        </w:numPr>
        <w:pStyle w:val="Compact"/>
      </w:pPr>
      <w:r>
        <w:rPr>
          <w:b/>
        </w:rPr>
        <w:t xml:space="preserve">Por qué:</w:t>
      </w:r>
      <w:r>
        <w:t xml:space="preserve"> </w:t>
      </w:r>
      <w:r>
        <w:t xml:space="preserve">insumos de obesidad (</w:t>
      </w:r>
      <w:r>
        <w:rPr>
          <w:rStyle w:val="VerbatimChar"/>
        </w:rPr>
        <w:t xml:space="preserve">flags.obesidad</w:t>
      </w:r>
      <w:r>
        <w:t xml:space="preserve">) y estadificación ABCD (fuera de este archivo).</w:t>
      </w:r>
    </w:p>
    <w:p>
      <w:pPr>
        <w:numPr>
          <w:ilvl w:val="0"/>
          <w:numId w:val="1005"/>
        </w:numPr>
        <w:pStyle w:val="Compact"/>
      </w:pPr>
      <w:r>
        <w:rPr>
          <w:b/>
        </w:rPr>
        <w:t xml:space="preserve">Fuente:</w:t>
      </w:r>
      <w:r>
        <w:t xml:space="preserve"> </w:t>
      </w:r>
      <w:r>
        <w:t xml:space="preserve">No especificada en el código (fórmulas antropométricas estándar sin cita).</w:t>
      </w:r>
    </w:p>
    <w:p>
      <w:pPr>
        <w:numPr>
          <w:ilvl w:val="0"/>
          <w:numId w:val="1005"/>
        </w:numPr>
        <w:pStyle w:val="Compact"/>
      </w:pPr>
      <w:r>
        <w:rPr>
          <w:b/>
        </w:rPr>
        <w:t xml:space="preserve">Versión de la fuente:</w:t>
      </w:r>
      <w:r>
        <w:t xml:space="preserve"> </w:t>
      </w:r>
      <w:r>
        <w:t xml:space="preserve">No especificada.</w:t>
      </w:r>
    </w:p>
    <w:p>
      <w:pPr>
        <w:numPr>
          <w:ilvl w:val="0"/>
          <w:numId w:val="1005"/>
        </w:numPr>
        <w:pStyle w:val="Compact"/>
      </w:pPr>
      <w:r>
        <w:rPr>
          <w:b/>
        </w:rPr>
        <w:t xml:space="preserve">Fecha de revisión:</w:t>
      </w:r>
      <w:r>
        <w:t xml:space="preserve"> </w:t>
      </w:r>
      <w:r>
        <w:t xml:space="preserve">Sin fecha registrada.</w:t>
      </w:r>
    </w:p>
    <w:p>
      <w:pPr>
        <w:numPr>
          <w:ilvl w:val="0"/>
          <w:numId w:val="1005"/>
        </w:numPr>
        <w:pStyle w:val="Compact"/>
      </w:pPr>
      <w:r>
        <w:rPr>
          <w:b/>
        </w:rPr>
        <w:t xml:space="preserve">Quién revisó:</w:t>
      </w:r>
      <w:r>
        <w:t xml:space="preserve"> </w:t>
      </w:r>
      <w:r>
        <w:t xml:space="preserve">No especificado.</w:t>
      </w:r>
    </w:p>
    <w:p>
      <w:pPr>
        <w:numPr>
          <w:ilvl w:val="0"/>
          <w:numId w:val="1005"/>
        </w:numPr>
        <w:pStyle w:val="Compact"/>
      </w:pPr>
      <w:r>
        <w:rPr>
          <w:b/>
        </w:rPr>
        <w:t xml:space="preserve">Casos que la validan:</w:t>
      </w:r>
      <w:r>
        <w:t xml:space="preserve"> </w:t>
      </w:r>
      <w:r>
        <w:rPr>
          <w:rStyle w:val="VerbatimChar"/>
        </w:rPr>
        <w:t xml:space="preserve">tests/multimorbid-cases.test.mjs</w:t>
      </w:r>
      <w:r>
        <w:t xml:space="preserve"> </w:t>
      </w:r>
      <w:r>
        <w:t xml:space="preserve">calcula e imprime IMC en los 4 casos; IMC alimenta</w:t>
      </w:r>
      <w:r>
        <w:t xml:space="preserve"> </w:t>
      </w:r>
      <w:r>
        <w:rPr>
          <w:rStyle w:val="VerbatimChar"/>
        </w:rPr>
        <w:t xml:space="preserve">flags.obesidad</w:t>
      </w:r>
      <w:r>
        <w:t xml:space="preserve">, verificado indirectamente en</w:t>
      </w:r>
      <w:r>
        <w:t xml:space="preserve"> </w:t>
      </w:r>
      <w:r>
        <w:rPr>
          <w:rStyle w:val="VerbatimChar"/>
        </w:rPr>
        <w:t xml:space="preserve">tests/clinical-cases.test.mjs</w:t>
      </w:r>
      <w:r>
        <w:t xml:space="preserve"> </w:t>
      </w:r>
      <w:r>
        <w:t xml:space="preserve">caso A4/D1 (obesidad).</w:t>
      </w:r>
    </w:p>
    <w:p>
      <w:pPr>
        <w:numPr>
          <w:ilvl w:val="0"/>
          <w:numId w:val="1005"/>
        </w:numPr>
        <w:pStyle w:val="Compact"/>
      </w:pPr>
      <w:r>
        <w:rPr>
          <w:b/>
        </w:rPr>
        <w:t xml:space="preserve">Excepciones:</w:t>
      </w:r>
      <w:r>
        <w:t xml:space="preserve"> </w:t>
      </w:r>
      <w:r>
        <w:rPr>
          <w:rStyle w:val="VerbatimChar"/>
        </w:rPr>
        <w:t xml:space="preserve">calcIMC</w:t>
      </w:r>
      <w:r>
        <w:t xml:space="preserve"> </w:t>
      </w:r>
      <w:r>
        <w:t xml:space="preserve">regresa</w:t>
      </w:r>
      <w:r>
        <w:t xml:space="preserve"> </w:t>
      </w:r>
      <w:r>
        <w:rPr>
          <w:rStyle w:val="VerbatimChar"/>
        </w:rPr>
        <w:t xml:space="preserve">null</w:t>
      </w:r>
      <w:r>
        <w:t xml:space="preserve"> </w:t>
      </w:r>
      <w:r>
        <w:t xml:space="preserve">si</w:t>
      </w:r>
      <w:r>
        <w:t xml:space="preserve"> </w:t>
      </w:r>
      <w:r>
        <w:rPr>
          <w:rStyle w:val="VerbatimChar"/>
        </w:rPr>
        <w:t xml:space="preserve">talla&lt;=0</w:t>
      </w:r>
      <w:r>
        <w:t xml:space="preserve">;</w:t>
      </w:r>
      <w:r>
        <w:t xml:space="preserve"> </w:t>
      </w:r>
      <w:r>
        <w:rPr>
          <w:rStyle w:val="VerbatimChar"/>
        </w:rPr>
        <w:t xml:space="preserve">calcICC</w:t>
      </w:r>
      <w:r>
        <w:t xml:space="preserve"> </w:t>
      </w:r>
      <w:r>
        <w:t xml:space="preserve">regresa</w:t>
      </w:r>
      <w:r>
        <w:t xml:space="preserve"> </w:t>
      </w:r>
      <w:r>
        <w:rPr>
          <w:rStyle w:val="VerbatimChar"/>
        </w:rPr>
        <w:t xml:space="preserve">null</w:t>
      </w:r>
      <w:r>
        <w:t xml:space="preserve"> </w:t>
      </w:r>
      <w:r>
        <w:t xml:space="preserve">si</w:t>
      </w:r>
      <w:r>
        <w:t xml:space="preserve"> </w:t>
      </w:r>
      <w:r>
        <w:rPr>
          <w:rStyle w:val="VerbatimChar"/>
        </w:rPr>
        <w:t xml:space="preserve">cadera&lt;=0</w:t>
      </w:r>
      <w:r>
        <w:t xml:space="preserve">;</w:t>
      </w:r>
      <w:r>
        <w:t xml:space="preserve"> </w:t>
      </w:r>
      <w:r>
        <w:rPr>
          <w:rStyle w:val="VerbatimChar"/>
        </w:rPr>
        <w:t xml:space="preserve">calcICA</w:t>
      </w:r>
      <w:r>
        <w:t xml:space="preserve"> </w:t>
      </w:r>
      <w:r>
        <w:t xml:space="preserve">regresa</w:t>
      </w:r>
      <w:r>
        <w:t xml:space="preserve"> </w:t>
      </w:r>
      <w:r>
        <w:rPr>
          <w:rStyle w:val="VerbatimChar"/>
        </w:rPr>
        <w:t xml:space="preserve">null</w:t>
      </w:r>
      <w:r>
        <w:t xml:space="preserve"> </w:t>
      </w:r>
      <w:r>
        <w:t xml:space="preserve">si</w:t>
      </w:r>
      <w:r>
        <w:t xml:space="preserve"> </w:t>
      </w:r>
      <w:r>
        <w:rPr>
          <w:rStyle w:val="VerbatimChar"/>
        </w:rPr>
        <w:t xml:space="preserve">talla&lt;=0</w:t>
      </w:r>
      <w:r>
        <w:t xml:space="preserve"> </w:t>
      </w:r>
      <w:r>
        <w:t xml:space="preserve">— estas SÍ usan</w:t>
      </w:r>
      <w:r>
        <w:t xml:space="preserve"> </w:t>
      </w:r>
      <w:r>
        <w:rPr>
          <w:rStyle w:val="VerbatimChar"/>
        </w:rPr>
        <w:t xml:space="preserve">null</w:t>
      </w:r>
      <w:r>
        <w:t xml:space="preserve"> </w:t>
      </w:r>
      <w:r>
        <w:t xml:space="preserve">explícito en vez de</w:t>
      </w:r>
      <w:r>
        <w:t xml:space="preserve"> </w:t>
      </w:r>
      <w:r>
        <w:rPr>
          <w:rStyle w:val="VerbatimChar"/>
        </w:rPr>
        <w:t xml:space="preserve">0</w:t>
      </w:r>
      <w:r>
        <w:t xml:space="preserve"> </w:t>
      </w:r>
      <w:r>
        <w:t xml:space="preserve">silencioso.</w:t>
      </w:r>
    </w:p>
    <w:p>
      <w:pPr>
        <w:numPr>
          <w:ilvl w:val="0"/>
          <w:numId w:val="1005"/>
        </w:numPr>
        <w:pStyle w:val="Compact"/>
      </w:pPr>
      <w:r>
        <w:rPr>
          <w:b/>
        </w:rPr>
        <w:t xml:space="preserve">Qué faltan datos:</w:t>
      </w:r>
      <w:r>
        <w:t xml:space="preserve"> </w:t>
      </w:r>
      <w:r>
        <w:t xml:space="preserve">a diferencia de otras fórmulas del archivo, estas tres SÍ devuelven</w:t>
      </w:r>
      <w:r>
        <w:t xml:space="preserve"> </w:t>
      </w:r>
      <w:r>
        <w:rPr>
          <w:rStyle w:val="VerbatimChar"/>
        </w:rPr>
        <w:t xml:space="preserve">null</w:t>
      </w:r>
      <w:r>
        <w:t xml:space="preserve"> </w:t>
      </w:r>
      <w:r>
        <w:t xml:space="preserve">explícito cuando falta el denominador — comportamiento más seguro que el patrón</w:t>
      </w:r>
      <w:r>
        <w:t xml:space="preserve"> </w:t>
      </w:r>
      <w:r>
        <w:rPr>
          <w:rStyle w:val="VerbatimChar"/>
        </w:rPr>
        <w:t xml:space="preserve">0</w:t>
      </w:r>
      <w:r>
        <w:t xml:space="preserve"> </w:t>
      </w:r>
      <w:r>
        <w:t xml:space="preserve">silencioso de otras funciones. Sin embargo, en</w:t>
      </w:r>
      <w:r>
        <w:t xml:space="preserve"> </w:t>
      </w:r>
      <w:r>
        <w:rPr>
          <w:rStyle w:val="VerbatimChar"/>
        </w:rPr>
        <w:t xml:space="preserve">getPatientFlags</w:t>
      </w:r>
      <w:r>
        <w:t xml:space="preserve">,</w:t>
      </w:r>
      <w:r>
        <w:t xml:space="preserve"> </w:t>
      </w:r>
      <w:r>
        <w:rPr>
          <w:rStyle w:val="VerbatimChar"/>
        </w:rPr>
        <w:t xml:space="preserve">const imc = calcIMC(p) || 0;</w:t>
      </w:r>
      <w:r>
        <w:t xml:space="preserve"> </w:t>
      </w:r>
      <w:r>
        <w:t xml:space="preserve">vuelve a convertir ese</w:t>
      </w:r>
      <w:r>
        <w:t xml:space="preserve"> </w:t>
      </w:r>
      <w:r>
        <w:rPr>
          <w:rStyle w:val="VerbatimChar"/>
        </w:rPr>
        <w:t xml:space="preserve">null</w:t>
      </w:r>
      <w:r>
        <w:t xml:space="preserve"> </w:t>
      </w:r>
      <w:r>
        <w:t xml:space="preserve">explícito en</w:t>
      </w:r>
      <w:r>
        <w:t xml:space="preserve"> </w:t>
      </w:r>
      <w:r>
        <w:rPr>
          <w:rStyle w:val="VerbatimChar"/>
        </w:rPr>
        <w:t xml:space="preserve">0</w:t>
      </w:r>
      <w:r>
        <w:t xml:space="preserve"> </w:t>
      </w:r>
      <w:r>
        <w:t xml:space="preserve">antes de usarlo — reintroduciendo la ambigüedad</w:t>
      </w:r>
      <w:r>
        <w:t xml:space="preserve"> </w:t>
      </w:r>
      <w:r>
        <w:t xml:space="preserve">“</w:t>
      </w:r>
      <w:r>
        <w:t xml:space="preserve">0 real vs. dato faltante</w:t>
      </w:r>
      <w:r>
        <w:t xml:space="preserve">”</w:t>
      </w:r>
      <w:r>
        <w:t xml:space="preserve"> </w:t>
      </w:r>
      <w:r>
        <w:t xml:space="preserve">en el flag</w:t>
      </w:r>
      <w:r>
        <w:t xml:space="preserve"> </w:t>
      </w:r>
      <w:r>
        <w:rPr>
          <w:rStyle w:val="VerbatimChar"/>
        </w:rPr>
        <w:t xml:space="preserve">obesidad</w:t>
      </w:r>
      <w:r>
        <w:t xml:space="preserve"> </w:t>
      </w:r>
      <w:r>
        <w:t xml:space="preserve">(</w:t>
      </w:r>
      <w:r>
        <w:rPr>
          <w:rStyle w:val="VerbatimChar"/>
        </w:rPr>
        <w:t xml:space="preserve">imc &gt;= 30</w:t>
      </w:r>
      <w:r>
        <w:t xml:space="preserve">).</w:t>
      </w:r>
    </w:p>
    <w:p>
      <w:pPr>
        <w:numPr>
          <w:ilvl w:val="0"/>
          <w:numId w:val="1005"/>
        </w:numPr>
        <w:pStyle w:val="Compact"/>
      </w:pPr>
      <w:r>
        <w:rPr>
          <w:b/>
        </w:rPr>
        <w:t xml:space="preserve">Discrepancia entre guías:</w:t>
      </w:r>
      <w:r>
        <w:t xml:space="preserve"> </w:t>
      </w:r>
      <w:r>
        <w:t xml:space="preserve">no aplica.</w:t>
      </w:r>
    </w:p>
    <w:p>
      <w:pPr>
        <w:pStyle w:val="Heading3"/>
      </w:pPr>
      <w:bookmarkStart w:id="33" w:name="calcpam-presión-arterial-media"/>
      <w:r>
        <w:t xml:space="preserve">1.5</w:t>
      </w:r>
      <w:r>
        <w:t xml:space="preserve"> </w:t>
      </w:r>
      <w:r>
        <w:rPr>
          <w:rStyle w:val="VerbatimChar"/>
        </w:rPr>
        <w:t xml:space="preserve">calcPAM</w:t>
      </w:r>
      <w:r>
        <w:t xml:space="preserve"> </w:t>
      </w:r>
      <w:r>
        <w:t xml:space="preserve">— Presión arterial media</w:t>
      </w:r>
      <w:bookmarkEnd w:id="33"/>
    </w:p>
    <w:p>
      <w:pPr>
        <w:numPr>
          <w:ilvl w:val="0"/>
          <w:numId w:val="1006"/>
        </w:numPr>
        <w:pStyle w:val="Compact"/>
      </w:pPr>
      <w:r>
        <w:rPr>
          <w:b/>
        </w:rPr>
        <w:t xml:space="preserve">Qué hace:</w:t>
      </w:r>
      <w:r>
        <w:t xml:space="preserve"> </w:t>
      </w:r>
      <w:r>
        <w:rPr>
          <w:rStyle w:val="VerbatimChar"/>
        </w:rPr>
        <w:t xml:space="preserve">(TAS + 2×TAD) / 3</w:t>
      </w:r>
      <w:r>
        <w:t xml:space="preserve">, redondeado.</w:t>
      </w:r>
    </w:p>
    <w:p>
      <w:pPr>
        <w:numPr>
          <w:ilvl w:val="0"/>
          <w:numId w:val="1006"/>
        </w:numPr>
        <w:pStyle w:val="Compact"/>
      </w:pPr>
      <w:r>
        <w:rPr>
          <w:b/>
        </w:rPr>
        <w:t xml:space="preserve">Por qué:</w:t>
      </w:r>
      <w:r>
        <w:t xml:space="preserve"> </w:t>
      </w:r>
      <w:r>
        <w:t xml:space="preserve">perfusión promedio, insumo de reportes/gráficas.</w:t>
      </w:r>
    </w:p>
    <w:p>
      <w:pPr>
        <w:numPr>
          <w:ilvl w:val="0"/>
          <w:numId w:val="1006"/>
        </w:numPr>
        <w:pStyle w:val="Compact"/>
      </w:pPr>
      <w:r>
        <w:rPr>
          <w:b/>
        </w:rPr>
        <w:t xml:space="preserve">Fuente:</w:t>
      </w:r>
      <w:r>
        <w:t xml:space="preserve"> </w:t>
      </w:r>
      <w:r>
        <w:t xml:space="preserve">fórmula fisiológica estándar, sin cita de guía.</w:t>
      </w:r>
    </w:p>
    <w:p>
      <w:pPr>
        <w:numPr>
          <w:ilvl w:val="0"/>
          <w:numId w:val="1006"/>
        </w:numPr>
        <w:pStyle w:val="Compact"/>
      </w:pPr>
      <w:r>
        <w:rPr>
          <w:b/>
        </w:rPr>
        <w:t xml:space="preserve">Versión de la fuente:</w:t>
      </w:r>
      <w:r>
        <w:t xml:space="preserve"> </w:t>
      </w:r>
      <w:r>
        <w:t xml:space="preserve">No especificada.</w:t>
      </w:r>
    </w:p>
    <w:p>
      <w:pPr>
        <w:numPr>
          <w:ilvl w:val="0"/>
          <w:numId w:val="1006"/>
        </w:numPr>
        <w:pStyle w:val="Compact"/>
      </w:pPr>
      <w:r>
        <w:rPr>
          <w:b/>
        </w:rPr>
        <w:t xml:space="preserve">Fecha de revisión:</w:t>
      </w:r>
      <w:r>
        <w:t xml:space="preserve"> </w:t>
      </w:r>
      <w:r>
        <w:t xml:space="preserve">Sin fecha registrada.</w:t>
      </w:r>
    </w:p>
    <w:p>
      <w:pPr>
        <w:numPr>
          <w:ilvl w:val="0"/>
          <w:numId w:val="1006"/>
        </w:numPr>
        <w:pStyle w:val="Compact"/>
      </w:pPr>
      <w:r>
        <w:rPr>
          <w:b/>
        </w:rPr>
        <w:t xml:space="preserve">Quién revisó:</w:t>
      </w:r>
      <w:r>
        <w:t xml:space="preserve"> </w:t>
      </w:r>
      <w:r>
        <w:t xml:space="preserve">No especificado.</w:t>
      </w:r>
    </w:p>
    <w:p>
      <w:pPr>
        <w:numPr>
          <w:ilvl w:val="0"/>
          <w:numId w:val="1006"/>
        </w:numPr>
        <w:pStyle w:val="Compact"/>
      </w:pPr>
      <w:r>
        <w:rPr>
          <w:b/>
        </w:rPr>
        <w:t xml:space="preserve">Casos que la validan:</w:t>
      </w:r>
      <w:r>
        <w:t xml:space="preserve"> </w:t>
      </w:r>
      <w:r>
        <w:t xml:space="preserve">Sin caso de prueba identificado.</w:t>
      </w:r>
    </w:p>
    <w:p>
      <w:pPr>
        <w:numPr>
          <w:ilvl w:val="0"/>
          <w:numId w:val="1006"/>
        </w:numPr>
        <w:pStyle w:val="Compact"/>
      </w:pPr>
      <w:r>
        <w:rPr>
          <w:b/>
        </w:rPr>
        <w:t xml:space="preserve">Excepciones:</w:t>
      </w:r>
      <w:r>
        <w:t xml:space="preserve"> </w:t>
      </w:r>
      <w:r>
        <w:t xml:space="preserve">regresa</w:t>
      </w:r>
      <w:r>
        <w:t xml:space="preserve"> </w:t>
      </w:r>
      <w:r>
        <w:rPr>
          <w:rStyle w:val="VerbatimChar"/>
        </w:rPr>
        <w:t xml:space="preserve">null</w:t>
      </w:r>
      <w:r>
        <w:t xml:space="preserve"> </w:t>
      </w:r>
      <w:r>
        <w:t xml:space="preserve">si falta</w:t>
      </w:r>
      <w:r>
        <w:t xml:space="preserve"> </w:t>
      </w:r>
      <w:r>
        <w:rPr>
          <w:rStyle w:val="VerbatimChar"/>
        </w:rPr>
        <w:t xml:space="preserve">p.tas</w:t>
      </w:r>
      <w:r>
        <w:t xml:space="preserve"> </w:t>
      </w:r>
      <w:r>
        <w:t xml:space="preserve">o</w:t>
      </w:r>
      <w:r>
        <w:t xml:space="preserve"> </w:t>
      </w:r>
      <w:r>
        <w:rPr>
          <w:rStyle w:val="VerbatimChar"/>
        </w:rPr>
        <w:t xml:space="preserve">p.tad</w:t>
      </w:r>
      <w:r>
        <w:t xml:space="preserve"> </w:t>
      </w:r>
      <w:r>
        <w:t xml:space="preserve">(chequeo explícito</w:t>
      </w:r>
      <w:r>
        <w:t xml:space="preserve"> </w:t>
      </w:r>
      <w:r>
        <w:rPr>
          <w:rStyle w:val="VerbatimChar"/>
        </w:rPr>
        <w:t xml:space="preserve">!p.tas || !p.tad</w:t>
      </w:r>
      <w:r>
        <w:t xml:space="preserve">, no basado en</w:t>
      </w:r>
      <w:r>
        <w:t xml:space="preserve"> </w:t>
      </w:r>
      <w:r>
        <w:rPr>
          <w:rStyle w:val="VerbatimChar"/>
        </w:rPr>
        <w:t xml:space="preserve">v()</w:t>
      </w:r>
      <w:r>
        <w:t xml:space="preserve">).</w:t>
      </w:r>
    </w:p>
    <w:p>
      <w:pPr>
        <w:numPr>
          <w:ilvl w:val="0"/>
          <w:numId w:val="1006"/>
        </w:numPr>
        <w:pStyle w:val="Compact"/>
      </w:pPr>
      <w:r>
        <w:rPr>
          <w:b/>
        </w:rPr>
        <w:t xml:space="preserve">Qué faltan datos:</w:t>
      </w:r>
      <w:r>
        <w:t xml:space="preserve"> </w:t>
      </w:r>
      <w:r>
        <w:t xml:space="preserve">devuelve</w:t>
      </w:r>
      <w:r>
        <w:t xml:space="preserve"> </w:t>
      </w:r>
      <w:r>
        <w:rPr>
          <w:rStyle w:val="VerbatimChar"/>
        </w:rPr>
        <w:t xml:space="preserve">null</w:t>
      </w:r>
      <w:r>
        <w:t xml:space="preserve"> </w:t>
      </w:r>
      <w:r>
        <w:t xml:space="preserve">explícito — comportamiento correcto, no participa del patrón de guarda silenciosa.</w:t>
      </w:r>
    </w:p>
    <w:p>
      <w:pPr>
        <w:numPr>
          <w:ilvl w:val="0"/>
          <w:numId w:val="1006"/>
        </w:numPr>
        <w:pStyle w:val="Compact"/>
      </w:pPr>
      <w:r>
        <w:rPr>
          <w:b/>
        </w:rPr>
        <w:t xml:space="preserve">Discrepancia entre guías:</w:t>
      </w:r>
      <w:r>
        <w:t xml:space="preserve"> </w:t>
      </w:r>
      <w:r>
        <w:t xml:space="preserve">no aplica.</w:t>
      </w:r>
    </w:p>
    <w:p>
      <w:pPr>
        <w:pStyle w:val="Heading3"/>
      </w:pPr>
      <w:bookmarkStart w:id="34" w:name="calcpulsepressure-presión-de-pulso"/>
      <w:r>
        <w:t xml:space="preserve">1.6</w:t>
      </w:r>
      <w:r>
        <w:t xml:space="preserve"> </w:t>
      </w:r>
      <w:r>
        <w:rPr>
          <w:rStyle w:val="VerbatimChar"/>
        </w:rPr>
        <w:t xml:space="preserve">calcPulsePressure</w:t>
      </w:r>
      <w:r>
        <w:t xml:space="preserve"> </w:t>
      </w:r>
      <w:r>
        <w:t xml:space="preserve">— Presión de pulso</w:t>
      </w:r>
      <w:bookmarkEnd w:id="34"/>
    </w:p>
    <w:p>
      <w:pPr>
        <w:numPr>
          <w:ilvl w:val="0"/>
          <w:numId w:val="1007"/>
        </w:numPr>
        <w:pStyle w:val="Compact"/>
      </w:pPr>
      <w:r>
        <w:rPr>
          <w:b/>
        </w:rPr>
        <w:t xml:space="preserve">Qué hace:</w:t>
      </w:r>
      <w:r>
        <w:t xml:space="preserve"> </w:t>
      </w:r>
      <w:r>
        <w:rPr>
          <w:rStyle w:val="VerbatimChar"/>
        </w:rPr>
        <w:t xml:space="preserve">TAS − TAD</w:t>
      </w:r>
      <w:r>
        <w:t xml:space="preserve">.</w:t>
      </w:r>
    </w:p>
    <w:p>
      <w:pPr>
        <w:numPr>
          <w:ilvl w:val="0"/>
          <w:numId w:val="1007"/>
        </w:numPr>
        <w:pStyle w:val="Compact"/>
      </w:pPr>
      <w:r>
        <w:rPr>
          <w:b/>
        </w:rPr>
        <w:t xml:space="preserve">Por qué:</w:t>
      </w:r>
      <w:r>
        <w:t xml:space="preserve"> </w:t>
      </w:r>
      <w:r>
        <w:t xml:space="preserve">marcador de rigidez arterial para reportes.</w:t>
      </w:r>
    </w:p>
    <w:p>
      <w:pPr>
        <w:numPr>
          <w:ilvl w:val="0"/>
          <w:numId w:val="1007"/>
        </w:numPr>
        <w:pStyle w:val="Compact"/>
      </w:pPr>
      <w:r>
        <w:rPr>
          <w:b/>
        </w:rPr>
        <w:t xml:space="preserve">Fuente:</w:t>
      </w:r>
      <w:r>
        <w:t xml:space="preserve"> </w:t>
      </w:r>
      <w:r>
        <w:t xml:space="preserve">No especificada.</w:t>
      </w:r>
    </w:p>
    <w:p>
      <w:pPr>
        <w:numPr>
          <w:ilvl w:val="0"/>
          <w:numId w:val="1007"/>
        </w:numPr>
        <w:pStyle w:val="Compact"/>
      </w:pPr>
      <w:r>
        <w:rPr>
          <w:b/>
        </w:rPr>
        <w:t xml:space="preserve">Versión de la fuente:</w:t>
      </w:r>
      <w:r>
        <w:t xml:space="preserve"> </w:t>
      </w:r>
      <w:r>
        <w:t xml:space="preserve">No especificada.</w:t>
      </w:r>
    </w:p>
    <w:p>
      <w:pPr>
        <w:numPr>
          <w:ilvl w:val="0"/>
          <w:numId w:val="1007"/>
        </w:numPr>
        <w:pStyle w:val="Compact"/>
      </w:pPr>
      <w:r>
        <w:rPr>
          <w:b/>
        </w:rPr>
        <w:t xml:space="preserve">Fecha de revisión:</w:t>
      </w:r>
      <w:r>
        <w:t xml:space="preserve"> </w:t>
      </w:r>
      <w:r>
        <w:t xml:space="preserve">Sin fecha registrada.</w:t>
      </w:r>
    </w:p>
    <w:p>
      <w:pPr>
        <w:numPr>
          <w:ilvl w:val="0"/>
          <w:numId w:val="1007"/>
        </w:numPr>
        <w:pStyle w:val="Compact"/>
      </w:pPr>
      <w:r>
        <w:rPr>
          <w:b/>
        </w:rPr>
        <w:t xml:space="preserve">Quién revisó:</w:t>
      </w:r>
      <w:r>
        <w:t xml:space="preserve"> </w:t>
      </w:r>
      <w:r>
        <w:t xml:space="preserve">No especificado.</w:t>
      </w:r>
    </w:p>
    <w:p>
      <w:pPr>
        <w:numPr>
          <w:ilvl w:val="0"/>
          <w:numId w:val="1007"/>
        </w:numPr>
        <w:pStyle w:val="Compact"/>
      </w:pPr>
      <w:r>
        <w:rPr>
          <w:b/>
        </w:rPr>
        <w:t xml:space="preserve">Casos que la validan:</w:t>
      </w:r>
      <w:r>
        <w:t xml:space="preserve"> </w:t>
      </w:r>
      <w:r>
        <w:t xml:space="preserve">Sin caso de prueba identificado.</w:t>
      </w:r>
    </w:p>
    <w:p>
      <w:pPr>
        <w:numPr>
          <w:ilvl w:val="0"/>
          <w:numId w:val="1007"/>
        </w:numPr>
        <w:pStyle w:val="Compact"/>
      </w:pPr>
      <w:r>
        <w:rPr>
          <w:b/>
        </w:rPr>
        <w:t xml:space="preserve">Excepciones:</w:t>
      </w:r>
      <w:r>
        <w:t xml:space="preserve"> </w:t>
      </w:r>
      <w:r>
        <w:t xml:space="preserve">regresa</w:t>
      </w:r>
      <w:r>
        <w:t xml:space="preserve"> </w:t>
      </w:r>
      <w:r>
        <w:rPr>
          <w:rStyle w:val="VerbatimChar"/>
        </w:rPr>
        <w:t xml:space="preserve">null</w:t>
      </w:r>
      <w:r>
        <w:t xml:space="preserve"> </w:t>
      </w:r>
      <w:r>
        <w:t xml:space="preserve">si falta</w:t>
      </w:r>
      <w:r>
        <w:t xml:space="preserve"> </w:t>
      </w:r>
      <w:r>
        <w:rPr>
          <w:rStyle w:val="VerbatimChar"/>
        </w:rPr>
        <w:t xml:space="preserve">p.tas</w:t>
      </w:r>
      <w:r>
        <w:t xml:space="preserve"> </w:t>
      </w:r>
      <w:r>
        <w:t xml:space="preserve">o</w:t>
      </w:r>
      <w:r>
        <w:t xml:space="preserve"> </w:t>
      </w:r>
      <w:r>
        <w:rPr>
          <w:rStyle w:val="VerbatimChar"/>
        </w:rPr>
        <w:t xml:space="preserve">p.tad</w:t>
      </w:r>
      <w:r>
        <w:t xml:space="preserve">.</w:t>
      </w:r>
    </w:p>
    <w:p>
      <w:pPr>
        <w:numPr>
          <w:ilvl w:val="0"/>
          <w:numId w:val="1007"/>
        </w:numPr>
        <w:pStyle w:val="Compact"/>
      </w:pPr>
      <w:r>
        <w:rPr>
          <w:b/>
        </w:rPr>
        <w:t xml:space="preserve">Qué faltan datos:</w:t>
      </w:r>
      <w:r>
        <w:t xml:space="preserve"> </w:t>
      </w:r>
      <w:r>
        <w:rPr>
          <w:rStyle w:val="VerbatimChar"/>
        </w:rPr>
        <w:t xml:space="preserve">null</w:t>
      </w:r>
      <w:r>
        <w:t xml:space="preserve"> </w:t>
      </w:r>
      <w:r>
        <w:t xml:space="preserve">explícito — correcto.</w:t>
      </w:r>
    </w:p>
    <w:p>
      <w:pPr>
        <w:numPr>
          <w:ilvl w:val="0"/>
          <w:numId w:val="1007"/>
        </w:numPr>
        <w:pStyle w:val="Compact"/>
      </w:pPr>
      <w:r>
        <w:rPr>
          <w:b/>
        </w:rPr>
        <w:t xml:space="preserve">Discrepancia entre guías:</w:t>
      </w:r>
      <w:r>
        <w:t xml:space="preserve"> </w:t>
      </w:r>
      <w:r>
        <w:t xml:space="preserve">no aplica.</w:t>
      </w:r>
    </w:p>
    <w:p>
      <w:pPr>
        <w:pStyle w:val="Heading3"/>
      </w:pPr>
      <w:bookmarkStart w:id="35" w:name="X51a48783a5a9a7fbbc70bf69edb1d0703afd001"/>
      <w:r>
        <w:t xml:space="preserve">1.7</w:t>
      </w:r>
      <w:r>
        <w:t xml:space="preserve"> </w:t>
      </w:r>
      <w:r>
        <w:rPr>
          <w:rStyle w:val="VerbatimChar"/>
        </w:rPr>
        <w:t xml:space="preserve">calcEAG</w:t>
      </w:r>
      <w:r>
        <w:t xml:space="preserve"> </w:t>
      </w:r>
      <w:r>
        <w:t xml:space="preserve">— Glucosa promedio estimada (ecuación ADAG)</w:t>
      </w:r>
      <w:bookmarkEnd w:id="35"/>
    </w:p>
    <w:p>
      <w:pPr>
        <w:numPr>
          <w:ilvl w:val="0"/>
          <w:numId w:val="1008"/>
        </w:numPr>
        <w:pStyle w:val="Compact"/>
      </w:pPr>
      <w:r>
        <w:rPr>
          <w:b/>
        </w:rPr>
        <w:t xml:space="preserve">Qué hace:</w:t>
      </w:r>
      <w:r>
        <w:t xml:space="preserve"> </w:t>
      </w:r>
      <w:r>
        <w:rPr>
          <w:rStyle w:val="VerbatimChar"/>
        </w:rPr>
        <w:t xml:space="preserve">eAG = 28.7 × A1c_efectiva − 46.7</w:t>
      </w:r>
      <w:r>
        <w:t xml:space="preserve">, redondeado.</w:t>
      </w:r>
    </w:p>
    <w:p>
      <w:pPr>
        <w:numPr>
          <w:ilvl w:val="0"/>
          <w:numId w:val="1008"/>
        </w:numPr>
        <w:pStyle w:val="Compact"/>
      </w:pPr>
      <w:r>
        <w:rPr>
          <w:b/>
        </w:rPr>
        <w:t xml:space="preserve">Por qué:</w:t>
      </w:r>
      <w:r>
        <w:t xml:space="preserve"> </w:t>
      </w:r>
      <w:r>
        <w:t xml:space="preserve">traduce A1c a un equivalente de glucosa promedio, más intuitivo para el paciente.</w:t>
      </w:r>
    </w:p>
    <w:p>
      <w:pPr>
        <w:numPr>
          <w:ilvl w:val="0"/>
          <w:numId w:val="1008"/>
        </w:numPr>
        <w:pStyle w:val="Compact"/>
      </w:pPr>
      <w:r>
        <w:rPr>
          <w:b/>
        </w:rPr>
        <w:t xml:space="preserve">Fuente:</w:t>
      </w:r>
      <w:r>
        <w:t xml:space="preserve"> </w:t>
      </w:r>
      <w:r>
        <w:t xml:space="preserve">ecuación ADAG (citada explícitamente:</w:t>
      </w:r>
      <w:r>
        <w:t xml:space="preserve"> </w:t>
      </w:r>
      <w:r>
        <w:t xml:space="preserve">“</w:t>
      </w:r>
      <w:r>
        <w:t xml:space="preserve">ecuación ADAG</w:t>
      </w:r>
      <w:r>
        <w:t xml:space="preserve">”</w:t>
      </w:r>
      <w:r>
        <w:t xml:space="preserve">).</w:t>
      </w:r>
    </w:p>
    <w:p>
      <w:pPr>
        <w:numPr>
          <w:ilvl w:val="0"/>
          <w:numId w:val="1008"/>
        </w:numPr>
        <w:pStyle w:val="Compact"/>
      </w:pPr>
      <w:r>
        <w:rPr>
          <w:b/>
        </w:rPr>
        <w:t xml:space="preserve">Versión de la fuente:</w:t>
      </w:r>
      <w:r>
        <w:t xml:space="preserve"> </w:t>
      </w:r>
      <w:r>
        <w:t xml:space="preserve">No especificada (año del estudio ADAG no se cita en el comentario).</w:t>
      </w:r>
    </w:p>
    <w:p>
      <w:pPr>
        <w:numPr>
          <w:ilvl w:val="0"/>
          <w:numId w:val="1008"/>
        </w:numPr>
        <w:pStyle w:val="Compact"/>
      </w:pPr>
      <w:r>
        <w:rPr>
          <w:b/>
        </w:rPr>
        <w:t xml:space="preserve">Fecha de revisión:</w:t>
      </w:r>
      <w:r>
        <w:t xml:space="preserve"> </w:t>
      </w:r>
      <w:r>
        <w:t xml:space="preserve">Sin fecha registrada.</w:t>
      </w:r>
    </w:p>
    <w:p>
      <w:pPr>
        <w:numPr>
          <w:ilvl w:val="0"/>
          <w:numId w:val="1008"/>
        </w:numPr>
        <w:pStyle w:val="Compact"/>
      </w:pPr>
      <w:r>
        <w:rPr>
          <w:b/>
        </w:rPr>
        <w:t xml:space="preserve">Quién revisó:</w:t>
      </w:r>
      <w:r>
        <w:t xml:space="preserve"> </w:t>
      </w:r>
      <w:r>
        <w:t xml:space="preserve">No especificado.</w:t>
      </w:r>
    </w:p>
    <w:p>
      <w:pPr>
        <w:numPr>
          <w:ilvl w:val="0"/>
          <w:numId w:val="1008"/>
        </w:numPr>
        <w:pStyle w:val="Compact"/>
      </w:pPr>
      <w:r>
        <w:rPr>
          <w:b/>
        </w:rPr>
        <w:t xml:space="preserve">Casos que la validan:</w:t>
      </w:r>
      <w:r>
        <w:t xml:space="preserve"> </w:t>
      </w:r>
      <w:r>
        <w:t xml:space="preserve">Sin caso de prueba identificado directamente sobre</w:t>
      </w:r>
      <w:r>
        <w:t xml:space="preserve"> </w:t>
      </w:r>
      <w:r>
        <w:rPr>
          <w:rStyle w:val="VerbatimChar"/>
        </w:rPr>
        <w:t xml:space="preserve">calcEAG</w:t>
      </w:r>
      <w:r>
        <w:t xml:space="preserve">.</w:t>
      </w:r>
    </w:p>
    <w:p>
      <w:pPr>
        <w:numPr>
          <w:ilvl w:val="0"/>
          <w:numId w:val="1008"/>
        </w:numPr>
        <w:pStyle w:val="Compact"/>
      </w:pPr>
      <w:r>
        <w:rPr>
          <w:b/>
        </w:rPr>
        <w:t xml:space="preserve">Excepciones:</w:t>
      </w:r>
      <w:r>
        <w:t xml:space="preserve"> </w:t>
      </w:r>
      <w:r>
        <w:t xml:space="preserve">depende de</w:t>
      </w:r>
      <w:r>
        <w:t xml:space="preserve"> </w:t>
      </w:r>
      <w:r>
        <w:rPr>
          <w:rStyle w:val="VerbatimChar"/>
        </w:rPr>
        <w:t xml:space="preserve">getA1cEfectiva</w:t>
      </w:r>
      <w:r>
        <w:t xml:space="preserve">, que puede usar A1c medida O estimada (ver 1.9) — si ninguna existe,</w:t>
      </w:r>
      <w:r>
        <w:t xml:space="preserve"> </w:t>
      </w:r>
      <w:r>
        <w:rPr>
          <w:rStyle w:val="VerbatimChar"/>
        </w:rPr>
        <w:t xml:space="preserve">calcEAG</w:t>
      </w:r>
      <w:r>
        <w:t xml:space="preserve"> </w:t>
      </w:r>
      <w:r>
        <w:t xml:space="preserve">regresa</w:t>
      </w:r>
      <w:r>
        <w:t xml:space="preserve"> </w:t>
      </w:r>
      <w:r>
        <w:rPr>
          <w:rStyle w:val="VerbatimChar"/>
        </w:rPr>
        <w:t xml:space="preserve">null</w:t>
      </w:r>
      <w:r>
        <w:t xml:space="preserve">.</w:t>
      </w:r>
    </w:p>
    <w:p>
      <w:pPr>
        <w:numPr>
          <w:ilvl w:val="0"/>
          <w:numId w:val="1008"/>
        </w:numPr>
        <w:pStyle w:val="Compact"/>
      </w:pPr>
      <w:r>
        <w:rPr>
          <w:b/>
        </w:rPr>
        <w:t xml:space="preserve">Qué faltan datos:</w:t>
      </w:r>
      <w:r>
        <w:t xml:space="preserve"> </w:t>
      </w:r>
      <w:r>
        <w:t xml:space="preserve">si no hay A1c medida ni glucosa (para estimarla), regresa</w:t>
      </w:r>
      <w:r>
        <w:t xml:space="preserve"> </w:t>
      </w:r>
      <w:r>
        <w:rPr>
          <w:rStyle w:val="VerbatimChar"/>
        </w:rPr>
        <w:t xml:space="preserve">null</w:t>
      </w:r>
      <w:r>
        <w:t xml:space="preserve"> </w:t>
      </w:r>
      <w:r>
        <w:t xml:space="preserve">explícito — correcto. Si solo hay glucosa (A1c estimada), el resultado de</w:t>
      </w:r>
      <w:r>
        <w:t xml:space="preserve"> </w:t>
      </w:r>
      <w:r>
        <w:rPr>
          <w:rStyle w:val="VerbatimChar"/>
        </w:rPr>
        <w:t xml:space="preserve">calcEAG</w:t>
      </w:r>
      <w:r>
        <w:t xml:space="preserve"> </w:t>
      </w:r>
      <w:r>
        <w:t xml:space="preserve">es circular (glucosa→A1c estimada→eAG≈glucosa de vuelta), pero esto no está señalado como advertencia en el valor de retorno, solo en el campo</w:t>
      </w:r>
      <w:r>
        <w:t xml:space="preserve"> </w:t>
      </w:r>
      <w:r>
        <w:rPr>
          <w:rStyle w:val="VerbatimChar"/>
        </w:rPr>
        <w:t xml:space="preserve">source</w:t>
      </w:r>
      <w:r>
        <w:t xml:space="preserve"> </w:t>
      </w:r>
      <w:r>
        <w:t xml:space="preserve">de</w:t>
      </w:r>
      <w:r>
        <w:t xml:space="preserve"> </w:t>
      </w:r>
      <w:r>
        <w:rPr>
          <w:rStyle w:val="VerbatimChar"/>
        </w:rPr>
        <w:t xml:space="preserve">getA1cEfectiva</w:t>
      </w:r>
      <w:r>
        <w:t xml:space="preserve">.</w:t>
      </w:r>
    </w:p>
    <w:p>
      <w:pPr>
        <w:numPr>
          <w:ilvl w:val="0"/>
          <w:numId w:val="1008"/>
        </w:numPr>
        <w:pStyle w:val="Compact"/>
      </w:pPr>
      <w:r>
        <w:rPr>
          <w:b/>
        </w:rPr>
        <w:t xml:space="preserve">Discrepancia entre guías:</w:t>
      </w:r>
      <w:r>
        <w:t xml:space="preserve"> </w:t>
      </w:r>
      <w:r>
        <w:t xml:space="preserve">no aplica.</w:t>
      </w:r>
    </w:p>
    <w:p>
      <w:pPr>
        <w:pStyle w:val="Heading3"/>
      </w:pPr>
      <w:bookmarkStart w:id="36" w:name="Xbf328261267b2953b6d0d0b229bd06ce29c21d3"/>
      <w:r>
        <w:t xml:space="preserve">1.8</w:t>
      </w:r>
      <w:r>
        <w:t xml:space="preserve"> </w:t>
      </w:r>
      <w:r>
        <w:rPr>
          <w:rStyle w:val="VerbatimChar"/>
        </w:rPr>
        <w:t xml:space="preserve">calcHbA1cEstimada</w:t>
      </w:r>
      <w:r>
        <w:t xml:space="preserve"> </w:t>
      </w:r>
      <w:r>
        <w:t xml:space="preserve">/</w:t>
      </w:r>
      <w:r>
        <w:t xml:space="preserve"> </w:t>
      </w:r>
      <w:r>
        <w:rPr>
          <w:rStyle w:val="VerbatimChar"/>
        </w:rPr>
        <w:t xml:space="preserve">getA1cEfectiva</w:t>
      </w:r>
      <w:r>
        <w:t xml:space="preserve"> </w:t>
      </w:r>
      <w:r>
        <w:t xml:space="preserve">— A1c estimada y A1c efectiva</w:t>
      </w:r>
      <w:bookmarkEnd w:id="36"/>
    </w:p>
    <w:p>
      <w:pPr>
        <w:numPr>
          <w:ilvl w:val="0"/>
          <w:numId w:val="1009"/>
        </w:numPr>
        <w:pStyle w:val="Compact"/>
      </w:pPr>
      <w:r>
        <w:rPr>
          <w:b/>
        </w:rPr>
        <w:t xml:space="preserve">Qué hace:</w:t>
      </w:r>
      <w:r>
        <w:t xml:space="preserve"> </w:t>
      </w:r>
      <w:r>
        <w:rPr>
          <w:rStyle w:val="VerbatimChar"/>
        </w:rPr>
        <w:t xml:space="preserve">calcHbA1cEstimada</w:t>
      </w:r>
      <w:r>
        <w:t xml:space="preserve"> </w:t>
      </w:r>
      <w:r>
        <w:t xml:space="preserve">invierte la fórmula ADAG (</w:t>
      </w:r>
      <w:r>
        <w:rPr>
          <w:rStyle w:val="VerbatimChar"/>
        </w:rPr>
        <w:t xml:space="preserve">(glucosa+46.7)/28.7</w:t>
      </w:r>
      <w:r>
        <w:t xml:space="preserve">) para estimar A1c a partir de glucosa.</w:t>
      </w:r>
      <w:r>
        <w:t xml:space="preserve"> </w:t>
      </w:r>
      <w:r>
        <w:rPr>
          <w:rStyle w:val="VerbatimChar"/>
        </w:rPr>
        <w:t xml:space="preserve">getA1cEfectiva</w:t>
      </w:r>
      <w:r>
        <w:t xml:space="preserve"> </w:t>
      </w:r>
      <w:r>
        <w:t xml:space="preserve">prioriza SIEMPRE la A1c medida en laboratorio; si no existe, usa la estimada; regresa</w:t>
      </w:r>
      <w:r>
        <w:t xml:space="preserve"> </w:t>
      </w:r>
      <w:r>
        <w:rPr>
          <w:rStyle w:val="VerbatimChar"/>
        </w:rPr>
        <w:t xml:space="preserve">{value, source: "medida"|"estimada"|null}</w:t>
      </w:r>
      <w:r>
        <w:t xml:space="preserve">.</w:t>
      </w:r>
    </w:p>
    <w:p>
      <w:pPr>
        <w:numPr>
          <w:ilvl w:val="0"/>
          <w:numId w:val="1009"/>
        </w:numPr>
        <w:pStyle w:val="Compact"/>
      </w:pPr>
      <w:r>
        <w:rPr>
          <w:b/>
        </w:rPr>
        <w:t xml:space="preserve">Por qué:</w:t>
      </w:r>
      <w:r>
        <w:t xml:space="preserve"> </w:t>
      </w:r>
      <w:r>
        <w:t xml:space="preserve">garantiza que toda regla que dependa de A1c tenga un valor utilizable incluso sin laboratorio reciente, mientras deja auditable de dónde vino ese valor (</w:t>
      </w:r>
      <w:r>
        <w:rPr>
          <w:rStyle w:val="VerbatimChar"/>
        </w:rPr>
        <w:t xml:space="preserve">source</w:t>
      </w:r>
      <w:r>
        <w:t xml:space="preserve">).</w:t>
      </w:r>
    </w:p>
    <w:p>
      <w:pPr>
        <w:numPr>
          <w:ilvl w:val="0"/>
          <w:numId w:val="1009"/>
        </w:numPr>
        <w:pStyle w:val="Compact"/>
      </w:pPr>
      <w:r>
        <w:rPr>
          <w:b/>
        </w:rPr>
        <w:t xml:space="preserve">Fuente:</w:t>
      </w:r>
      <w:r>
        <w:t xml:space="preserve"> </w:t>
      </w:r>
      <w:r>
        <w:t xml:space="preserve">tabla ADA/ADAG (citada explícitamente en el comentario:</w:t>
      </w:r>
      <w:r>
        <w:t xml:space="preserve"> </w:t>
      </w:r>
      <w:r>
        <w:t xml:space="preserve">“</w:t>
      </w:r>
      <w:r>
        <w:t xml:space="preserve">tabla ADA</w:t>
      </w:r>
      <w:r>
        <w:t xml:space="preserve">”</w:t>
      </w:r>
      <w:r>
        <w:t xml:space="preserve">).</w:t>
      </w:r>
    </w:p>
    <w:p>
      <w:pPr>
        <w:numPr>
          <w:ilvl w:val="0"/>
          <w:numId w:val="1009"/>
        </w:numPr>
        <w:pStyle w:val="Compact"/>
      </w:pPr>
      <w:r>
        <w:rPr>
          <w:b/>
        </w:rPr>
        <w:t xml:space="preserve">Versión de la fuente:</w:t>
      </w:r>
      <w:r>
        <w:t xml:space="preserve"> </w:t>
      </w:r>
      <w:r>
        <w:t xml:space="preserve">No especificada en el código — pendiente de documentar.</w:t>
      </w:r>
    </w:p>
    <w:p>
      <w:pPr>
        <w:numPr>
          <w:ilvl w:val="0"/>
          <w:numId w:val="1009"/>
        </w:numPr>
        <w:pStyle w:val="Compact"/>
      </w:pPr>
      <w:r>
        <w:rPr>
          <w:b/>
        </w:rPr>
        <w:t xml:space="preserve">Fecha de revisión:</w:t>
      </w:r>
      <w:r>
        <w:t xml:space="preserve"> </w:t>
      </w:r>
      <w:r>
        <w:t xml:space="preserve">Sin fecha registrada.</w:t>
      </w:r>
    </w:p>
    <w:p>
      <w:pPr>
        <w:numPr>
          <w:ilvl w:val="0"/>
          <w:numId w:val="1009"/>
        </w:numPr>
        <w:pStyle w:val="Compact"/>
      </w:pPr>
      <w:r>
        <w:rPr>
          <w:b/>
        </w:rPr>
        <w:t xml:space="preserve">Quién revisó:</w:t>
      </w:r>
      <w:r>
        <w:t xml:space="preserve"> </w:t>
      </w:r>
      <w:r>
        <w:t xml:space="preserve">No especificado.</w:t>
      </w:r>
    </w:p>
    <w:p>
      <w:pPr>
        <w:numPr>
          <w:ilvl w:val="0"/>
          <w:numId w:val="1009"/>
        </w:numPr>
        <w:pStyle w:val="Compact"/>
      </w:pPr>
      <w:r>
        <w:rPr>
          <w:b/>
        </w:rPr>
        <w:t xml:space="preserve">Casos que la validan:</w:t>
      </w:r>
      <w:r>
        <w:t xml:space="preserve"> </w:t>
      </w:r>
      <w:r>
        <w:t xml:space="preserve">usada indirectamente en todos los casos de</w:t>
      </w:r>
      <w:r>
        <w:t xml:space="preserve"> </w:t>
      </w:r>
      <w:r>
        <w:rPr>
          <w:rStyle w:val="VerbatimChar"/>
        </w:rPr>
        <w:t xml:space="preserve">clinical-cases.test.mjs</w:t>
      </w:r>
      <w:r>
        <w:t xml:space="preserve"> </w:t>
      </w:r>
      <w:r>
        <w:t xml:space="preserve">y</w:t>
      </w:r>
      <w:r>
        <w:t xml:space="preserve"> </w:t>
      </w:r>
      <w:r>
        <w:rPr>
          <w:rStyle w:val="VerbatimChar"/>
        </w:rPr>
        <w:t xml:space="preserve">multimorbid-cases.test.mjs</w:t>
      </w:r>
      <w:r>
        <w:t xml:space="preserve"> </w:t>
      </w:r>
      <w:r>
        <w:t xml:space="preserve">que pasan</w:t>
      </w:r>
      <w:r>
        <w:t xml:space="preserve"> </w:t>
      </w:r>
      <w:r>
        <w:rPr>
          <w:rStyle w:val="VerbatimChar"/>
        </w:rPr>
        <w:t xml:space="preserve">hba1c</w:t>
      </w:r>
      <w:r>
        <w:t xml:space="preserve"> </w:t>
      </w:r>
      <w:r>
        <w:t xml:space="preserve">(A6, casos 1-4).</w:t>
      </w:r>
    </w:p>
    <w:p>
      <w:pPr>
        <w:numPr>
          <w:ilvl w:val="0"/>
          <w:numId w:val="1009"/>
        </w:numPr>
        <w:pStyle w:val="Compact"/>
      </w:pPr>
      <w:r>
        <w:rPr>
          <w:b/>
        </w:rPr>
        <w:t xml:space="preserve">Excepciones:</w:t>
      </w:r>
      <w:r>
        <w:t xml:space="preserve"> </w:t>
      </w:r>
      <w:r>
        <w:t xml:space="preserve">ninguna — es explícitamente</w:t>
      </w:r>
      <w:r>
        <w:t xml:space="preserve"> </w:t>
      </w:r>
      <w:r>
        <w:t xml:space="preserve">“</w:t>
      </w:r>
      <w:r>
        <w:t xml:space="preserve">solo un aproximado, se usa únicamente cuando no hay HbA1c medida</w:t>
      </w:r>
      <w:r>
        <w:t xml:space="preserve">”</w:t>
      </w:r>
      <w:r>
        <w:t xml:space="preserve"> </w:t>
      </w:r>
      <w:r>
        <w:t xml:space="preserve">(documentado en el comentario).</w:t>
      </w:r>
    </w:p>
    <w:p>
      <w:pPr>
        <w:numPr>
          <w:ilvl w:val="0"/>
          <w:numId w:val="1009"/>
        </w:numPr>
        <w:pStyle w:val="Compact"/>
      </w:pPr>
      <w:r>
        <w:rPr>
          <w:b/>
        </w:rPr>
        <w:t xml:space="preserve">Qué faltan datos:</w:t>
      </w:r>
      <w:r>
        <w:t xml:space="preserve"> </w:t>
      </w:r>
      <w:r>
        <w:t xml:space="preserve">si faltan AMBOS (</w:t>
      </w:r>
      <w:r>
        <w:rPr>
          <w:rStyle w:val="VerbatimChar"/>
        </w:rPr>
        <w:t xml:space="preserve">hba1c</w:t>
      </w:r>
      <w:r>
        <w:t xml:space="preserve"> </w:t>
      </w:r>
      <w:r>
        <w:t xml:space="preserve">y</w:t>
      </w:r>
      <w:r>
        <w:t xml:space="preserve"> </w:t>
      </w:r>
      <w:r>
        <w:rPr>
          <w:rStyle w:val="VerbatimChar"/>
        </w:rPr>
        <w:t xml:space="preserve">glucosa</w:t>
      </w:r>
      <w:r>
        <w:t xml:space="preserve">),</w:t>
      </w:r>
      <w:r>
        <w:t xml:space="preserve"> </w:t>
      </w:r>
      <w:r>
        <w:rPr>
          <w:rStyle w:val="VerbatimChar"/>
        </w:rPr>
        <w:t xml:space="preserve">getA1cEfectiva</w:t>
      </w:r>
      <w:r>
        <w:t xml:space="preserve"> </w:t>
      </w:r>
      <w:r>
        <w:t xml:space="preserve">regresa</w:t>
      </w:r>
      <w:r>
        <w:t xml:space="preserve"> </w:t>
      </w:r>
      <w:r>
        <w:rPr>
          <w:rStyle w:val="VerbatimChar"/>
        </w:rPr>
        <w:t xml:space="preserve">{value: 0, source: null}</w:t>
      </w:r>
      <w:r>
        <w:t xml:space="preserve"> </w:t>
      </w:r>
      <w:r>
        <w:t xml:space="preserve">— este es uno de los pocos casos del archivo donde el</w:t>
      </w:r>
      <w:r>
        <w:t xml:space="preserve"> </w:t>
      </w:r>
      <w:r>
        <w:t xml:space="preserve">“</w:t>
      </w:r>
      <w:r>
        <w:t xml:space="preserve">dato faltante</w:t>
      </w:r>
      <w:r>
        <w:t xml:space="preserve">”</w:t>
      </w:r>
      <w:r>
        <w:t xml:space="preserve"> </w:t>
      </w:r>
      <w:r>
        <w:t xml:space="preserve">queda marcado explícitamente (</w:t>
      </w:r>
      <w:r>
        <w:rPr>
          <w:rStyle w:val="VerbatimChar"/>
        </w:rPr>
        <w:t xml:space="preserve">source: null</w:t>
      </w:r>
      <w:r>
        <w:t xml:space="preserve">), pero el campo</w:t>
      </w:r>
      <w:r>
        <w:t xml:space="preserve"> </w:t>
      </w:r>
      <w:r>
        <w:rPr>
          <w:rStyle w:val="VerbatimChar"/>
        </w:rPr>
        <w:t xml:space="preserve">value: 0</w:t>
      </w:r>
      <w:r>
        <w:t xml:space="preserve"> </w:t>
      </w:r>
      <w:r>
        <w:t xml:space="preserve">sigue siendo indistinguible de una A1c real de 0% en cualquier código consumidor que solo mire</w:t>
      </w:r>
      <w:r>
        <w:t xml:space="preserve"> </w:t>
      </w:r>
      <w:r>
        <w:rPr>
          <w:rStyle w:val="VerbatimChar"/>
        </w:rPr>
        <w:t xml:space="preserve">.value</w:t>
      </w:r>
      <w:r>
        <w:t xml:space="preserve"> </w:t>
      </w:r>
      <w:r>
        <w:t xml:space="preserve">sin revisar</w:t>
      </w:r>
      <w:r>
        <w:t xml:space="preserve"> </w:t>
      </w:r>
      <w:r>
        <w:rPr>
          <w:rStyle w:val="VerbatimChar"/>
        </w:rPr>
        <w:t xml:space="preserve">.source</w:t>
      </w:r>
      <w:r>
        <w:t xml:space="preserve"> </w:t>
      </w:r>
      <w:r>
        <w:t xml:space="preserve">(varias partes del motor, como</w:t>
      </w:r>
      <w:r>
        <w:t xml:space="preserve"> </w:t>
      </w:r>
      <w:r>
        <w:rPr>
          <w:rStyle w:val="VerbatimChar"/>
        </w:rPr>
        <w:t xml:space="preserve">classifyLipidRisk</w:t>
      </w:r>
      <w:r>
        <w:t xml:space="preserve">, sí extraen</w:t>
      </w:r>
      <w:r>
        <w:t xml:space="preserve"> </w:t>
      </w:r>
      <w:r>
        <w:rPr>
          <w:rStyle w:val="VerbatimChar"/>
        </w:rPr>
        <w:t xml:space="preserve">.value</w:t>
      </w:r>
      <w:r>
        <w:t xml:space="preserve"> </w:t>
      </w:r>
      <w:r>
        <w:t xml:space="preserve">sin verificar</w:t>
      </w:r>
      <w:r>
        <w:t xml:space="preserve"> </w:t>
      </w:r>
      <w:r>
        <w:rPr>
          <w:rStyle w:val="VerbatimChar"/>
        </w:rPr>
        <w:t xml:space="preserve">.source</w:t>
      </w:r>
      <w:r>
        <w:t xml:space="preserve">).</w:t>
      </w:r>
    </w:p>
    <w:p>
      <w:pPr>
        <w:numPr>
          <w:ilvl w:val="0"/>
          <w:numId w:val="1009"/>
        </w:numPr>
        <w:pStyle w:val="Compact"/>
      </w:pPr>
      <w:r>
        <w:rPr>
          <w:b/>
        </w:rPr>
        <w:t xml:space="preserve">Discrepancia entre guías:</w:t>
      </w:r>
      <w:r>
        <w:t xml:space="preserve"> </w:t>
      </w:r>
      <w:r>
        <w:t xml:space="preserve">no aplica.</w:t>
      </w:r>
    </w:p>
    <w:p>
      <w:pPr>
        <w:pStyle w:val="Heading3"/>
      </w:pPr>
      <w:bookmarkStart w:id="37" w:name="X2c3182b18148048033e788465f3e553236f41c1"/>
      <w:r>
        <w:t xml:space="preserve">1.9</w:t>
      </w:r>
      <w:r>
        <w:t xml:space="preserve"> </w:t>
      </w:r>
      <w:r>
        <w:rPr>
          <w:rStyle w:val="VerbatimChar"/>
        </w:rPr>
        <w:t xml:space="preserve">hasDiagnosedDiabetes</w:t>
      </w:r>
      <w:r>
        <w:t xml:space="preserve"> </w:t>
      </w:r>
      <w:r>
        <w:t xml:space="preserve">— Determinación de</w:t>
      </w:r>
      <w:r>
        <w:t xml:space="preserve"> </w:t>
      </w:r>
      <w:r>
        <w:t xml:space="preserve">“</w:t>
      </w:r>
      <w:r>
        <w:t xml:space="preserve">paciente con diabetes</w:t>
      </w:r>
      <w:r>
        <w:t xml:space="preserve">”</w:t>
      </w:r>
      <w:bookmarkEnd w:id="37"/>
    </w:p>
    <w:p>
      <w:pPr>
        <w:numPr>
          <w:ilvl w:val="0"/>
          <w:numId w:val="1010"/>
        </w:numPr>
        <w:pStyle w:val="Compact"/>
      </w:pPr>
      <w:r>
        <w:rPr>
          <w:b/>
        </w:rPr>
        <w:t xml:space="preserve">Qué hace:</w:t>
      </w:r>
      <w:r>
        <w:t xml:space="preserve"> </w:t>
      </w:r>
      <w:r>
        <w:rPr>
          <w:rStyle w:val="VerbatimChar"/>
        </w:rPr>
        <w:t xml:space="preserve">p.tipoDM === "DM1" || p.tipoDM === "DM2" || A1c_efectiva &gt;= 6.5</w:t>
      </w:r>
      <w:r>
        <w:t xml:space="preserve">. Prioriza el diagnóstico explícito (</w:t>
      </w:r>
      <w:r>
        <w:rPr>
          <w:rStyle w:val="VerbatimChar"/>
        </w:rPr>
        <w:t xml:space="preserve">p.tipoDM</w:t>
      </w:r>
      <w:r>
        <w:t xml:space="preserve">) sobre el criterio bioquímico de A1c como respaldo.</w:t>
      </w:r>
    </w:p>
    <w:p>
      <w:pPr>
        <w:numPr>
          <w:ilvl w:val="0"/>
          <w:numId w:val="1010"/>
        </w:numPr>
        <w:pStyle w:val="Compact"/>
      </w:pPr>
      <w:r>
        <w:rPr>
          <w:b/>
        </w:rPr>
        <w:t xml:space="preserve">Por qué:</w:t>
      </w:r>
      <w:r>
        <w:t xml:space="preserve"> </w:t>
      </w:r>
      <w:r>
        <w:t xml:space="preserve">un DM2 diagnosticado y bien controlado (A1c 6.0% con metformina) seguía sin calificar como</w:t>
      </w:r>
      <w:r>
        <w:t xml:space="preserve"> </w:t>
      </w:r>
      <w:r>
        <w:t xml:space="preserve">“</w:t>
      </w:r>
      <w:r>
        <w:t xml:space="preserve">paciente con diabetes</w:t>
      </w:r>
      <w:r>
        <w:t xml:space="preserve">”</w:t>
      </w:r>
      <w:r>
        <w:t xml:space="preserve"> </w:t>
      </w:r>
      <w:r>
        <w:t xml:space="preserve">cuando solo se usaba A1c≥6.5% — la guía dice</w:t>
      </w:r>
      <w:r>
        <w:t xml:space="preserve"> </w:t>
      </w:r>
      <w:r>
        <w:t xml:space="preserve">“</w:t>
      </w:r>
      <w:r>
        <w:t xml:space="preserve">40-75 años CON diabetes</w:t>
      </w:r>
      <w:r>
        <w:t xml:space="preserve">”</w:t>
      </w:r>
      <w:r>
        <w:t xml:space="preserve">, no</w:t>
      </w:r>
      <w:r>
        <w:t xml:space="preserve"> </w:t>
      </w:r>
      <w:r>
        <w:t xml:space="preserve">“</w:t>
      </w:r>
      <w:r>
        <w:t xml:space="preserve">en riesgo diagnóstico</w:t>
      </w:r>
      <w:r>
        <w:t xml:space="preserve">”</w:t>
      </w:r>
      <w:r>
        <w:t xml:space="preserve">.</w:t>
      </w:r>
    </w:p>
    <w:p>
      <w:pPr>
        <w:numPr>
          <w:ilvl w:val="0"/>
          <w:numId w:val="1010"/>
        </w:numPr>
        <w:pStyle w:val="Compact"/>
      </w:pPr>
      <w:r>
        <w:rPr>
          <w:b/>
        </w:rPr>
        <w:t xml:space="preserve">Fuente:</w:t>
      </w:r>
      <w:r>
        <w:t xml:space="preserve"> </w:t>
      </w:r>
      <w:r>
        <w:t xml:space="preserve">criterio combinado, usado luego por</w:t>
      </w:r>
      <w:r>
        <w:t xml:space="preserve"> </w:t>
      </w:r>
      <w:r>
        <w:rPr>
          <w:rStyle w:val="VerbatimChar"/>
        </w:rPr>
        <w:t xml:space="preserve">classifyLipidRisk</w:t>
      </w:r>
      <w:r>
        <w:t xml:space="preserve"> </w:t>
      </w:r>
      <w:r>
        <w:t xml:space="preserve">(Guía de Dislipidemia 2026 / ADA Standards of Care) y</w:t>
      </w:r>
      <w:r>
        <w:t xml:space="preserve"> </w:t>
      </w:r>
      <w:r>
        <w:rPr>
          <w:rStyle w:val="VerbatimChar"/>
        </w:rPr>
        <w:t xml:space="preserve">buildHTNPlan</w:t>
      </w:r>
      <w:r>
        <w:t xml:space="preserve"> </w:t>
      </w:r>
      <w:r>
        <w:t xml:space="preserve">(Guía de HTA 2025 AHA/ACC).</w:t>
      </w:r>
    </w:p>
    <w:p>
      <w:pPr>
        <w:numPr>
          <w:ilvl w:val="0"/>
          <w:numId w:val="1010"/>
        </w:numPr>
        <w:pStyle w:val="Compact"/>
      </w:pPr>
      <w:r>
        <w:rPr>
          <w:b/>
        </w:rPr>
        <w:t xml:space="preserve">Versión de la fuente:</w:t>
      </w:r>
      <w:r>
        <w:t xml:space="preserve"> </w:t>
      </w:r>
      <w:r>
        <w:t xml:space="preserve">No especificada exactamente (el comentario dice</w:t>
      </w:r>
      <w:r>
        <w:t xml:space="preserve"> </w:t>
      </w:r>
      <w:r>
        <w:t xml:space="preserve">“</w:t>
      </w:r>
      <w:r>
        <w:t xml:space="preserve">criterio DIAGNÓSTICO de diabetes</w:t>
      </w:r>
      <w:r>
        <w:t xml:space="preserve">”</w:t>
      </w:r>
      <w:r>
        <w:t xml:space="preserve"> </w:t>
      </w:r>
      <w:r>
        <w:t xml:space="preserve">sin edición específica de ADA Standards of Care).</w:t>
      </w:r>
    </w:p>
    <w:p>
      <w:pPr>
        <w:numPr>
          <w:ilvl w:val="0"/>
          <w:numId w:val="1010"/>
        </w:numPr>
        <w:pStyle w:val="Compact"/>
      </w:pPr>
      <w:r>
        <w:rPr>
          <w:b/>
        </w:rPr>
        <w:t xml:space="preserve">Fecha de revisión:</w:t>
      </w:r>
      <w:r>
        <w:t xml:space="preserve"> </w:t>
      </w:r>
      <w:r>
        <w:t xml:space="preserve">10-ago-2026 (comentario</w:t>
      </w:r>
      <w:r>
        <w:t xml:space="preserve"> </w:t>
      </w:r>
      <w:r>
        <w:t xml:space="preserve">“</w:t>
      </w:r>
      <w:r>
        <w:t xml:space="preserve">CORRECCIÓN (10-ago-2026, punto #2 de la auditoría)</w:t>
      </w:r>
      <w:r>
        <w:t xml:space="preserve">”</w:t>
      </w:r>
      <w:r>
        <w:t xml:space="preserve">).</w:t>
      </w:r>
    </w:p>
    <w:p>
      <w:pPr>
        <w:numPr>
          <w:ilvl w:val="0"/>
          <w:numId w:val="1010"/>
        </w:numPr>
        <w:pStyle w:val="Compact"/>
      </w:pPr>
      <w:r>
        <w:rPr>
          <w:b/>
        </w:rPr>
        <w:t xml:space="preserve">Quién revisó:</w:t>
      </w:r>
      <w:r>
        <w:t xml:space="preserve"> </w:t>
      </w:r>
      <w:r>
        <w:t xml:space="preserve">No atribuido nominalmente a un revisor en ESTE comentario específico (dice</w:t>
      </w:r>
      <w:r>
        <w:t xml:space="preserve"> </w:t>
      </w:r>
      <w:r>
        <w:t xml:space="preserve">“</w:t>
      </w:r>
      <w:r>
        <w:t xml:space="preserve">auditoría</w:t>
      </w:r>
      <w:r>
        <w:t xml:space="preserve">”</w:t>
      </w:r>
      <w:r>
        <w:t xml:space="preserve">, sin nombre); el hallazgo relacionado en</w:t>
      </w:r>
      <w:r>
        <w:t xml:space="preserve"> </w:t>
      </w:r>
      <w:r>
        <w:rPr>
          <w:rStyle w:val="VerbatimChar"/>
        </w:rPr>
        <w:t xml:space="preserve">buildHTNPlan</w:t>
      </w:r>
      <w:r>
        <w:t xml:space="preserve"> </w:t>
      </w:r>
      <w:r>
        <w:t xml:space="preserve">(mismo cambio) sí se atribuye a</w:t>
      </w:r>
      <w:r>
        <w:t xml:space="preserve"> </w:t>
      </w:r>
      <w:r>
        <w:t xml:space="preserve">“</w:t>
      </w:r>
      <w:r>
        <w:t xml:space="preserve">Dr. Ortega</w:t>
      </w:r>
      <w:r>
        <w:t xml:space="preserve">”</w:t>
      </w:r>
      <w:r>
        <w:t xml:space="preserve"> </w:t>
      </w:r>
      <w:r>
        <w:t xml:space="preserve">en el comentario de esa función.</w:t>
      </w:r>
    </w:p>
    <w:p>
      <w:pPr>
        <w:numPr>
          <w:ilvl w:val="0"/>
          <w:numId w:val="1010"/>
        </w:numPr>
        <w:pStyle w:val="Compact"/>
      </w:pPr>
      <w:r>
        <w:rPr>
          <w:b/>
        </w:rPr>
        <w:t xml:space="preserve">Casos que la validan:</w:t>
      </w:r>
      <w:r>
        <w:t xml:space="preserve"> </w:t>
      </w:r>
      <w:r>
        <w:t xml:space="preserve">usada en</w:t>
      </w:r>
      <w:r>
        <w:t xml:space="preserve"> </w:t>
      </w:r>
      <w:r>
        <w:rPr>
          <w:rStyle w:val="VerbatimChar"/>
        </w:rPr>
        <w:t xml:space="preserve">classifyLipidRisk</w:t>
      </w:r>
      <w:r>
        <w:t xml:space="preserve"> </w:t>
      </w:r>
      <w:r>
        <w:t xml:space="preserve">(caso C1/C3 con</w:t>
      </w:r>
      <w:r>
        <w:t xml:space="preserve"> </w:t>
      </w:r>
      <w:r>
        <w:rPr>
          <w:rStyle w:val="VerbatimChar"/>
        </w:rPr>
        <w:t xml:space="preserve">hba1c</w:t>
      </w:r>
      <w:r>
        <w:t xml:space="preserve"> </w:t>
      </w:r>
      <w:r>
        <w:t xml:space="preserve">provisto) y en</w:t>
      </w:r>
      <w:r>
        <w:t xml:space="preserve"> </w:t>
      </w:r>
      <w:r>
        <w:rPr>
          <w:rStyle w:val="VerbatimChar"/>
        </w:rPr>
        <w:t xml:space="preserve">buildHTNPlan</w:t>
      </w:r>
      <w:r>
        <w:t xml:space="preserve"> </w:t>
      </w:r>
      <w:r>
        <w:t xml:space="preserve">(</w:t>
      </w:r>
      <w:r>
        <w:rPr>
          <w:rStyle w:val="VerbatimChar"/>
        </w:rPr>
        <w:t xml:space="preserve">knownHighRiskHTN</w:t>
      </w:r>
      <w:r>
        <w:t xml:space="preserve">); no hay un test dedicado exclusivamente a</w:t>
      </w:r>
      <w:r>
        <w:t xml:space="preserve"> </w:t>
      </w:r>
      <w:r>
        <w:rPr>
          <w:rStyle w:val="VerbatimChar"/>
        </w:rPr>
        <w:t xml:space="preserve">hasDiagnosedDiabetes</w:t>
      </w:r>
      <w:r>
        <w:t xml:space="preserve"> </w:t>
      </w:r>
      <w:r>
        <w:t xml:space="preserve">con</w:t>
      </w:r>
      <w:r>
        <w:t xml:space="preserve"> </w:t>
      </w:r>
      <w:r>
        <w:rPr>
          <w:rStyle w:val="VerbatimChar"/>
        </w:rPr>
        <w:t xml:space="preserve">p.tipoDM</w:t>
      </w:r>
      <w:r>
        <w:t xml:space="preserve"> </w:t>
      </w:r>
      <w:r>
        <w:t xml:space="preserve">sin A1c — Sin caso de prueba identificado para el escenario específico</w:t>
      </w:r>
      <w:r>
        <w:t xml:space="preserve"> </w:t>
      </w:r>
      <w:r>
        <w:t xml:space="preserve">“</w:t>
      </w:r>
      <w:r>
        <w:t xml:space="preserve">DM2 diagnosticado con A1c&lt;6.5%</w:t>
      </w:r>
      <w:r>
        <w:t xml:space="preserve">”</w:t>
      </w:r>
      <w:r>
        <w:t xml:space="preserve">.</w:t>
      </w:r>
    </w:p>
    <w:p>
      <w:pPr>
        <w:numPr>
          <w:ilvl w:val="0"/>
          <w:numId w:val="1010"/>
        </w:numPr>
        <w:pStyle w:val="Compact"/>
      </w:pPr>
      <w:r>
        <w:rPr>
          <w:b/>
        </w:rPr>
        <w:t xml:space="preserve">Excepciones:</w:t>
      </w:r>
      <w:r>
        <w:t xml:space="preserve"> </w:t>
      </w:r>
      <w:r>
        <w:t xml:space="preserve">explícitamente documentado —</w:t>
      </w:r>
      <w:r>
        <w:t xml:space="preserve"> </w:t>
      </w:r>
      <w:r>
        <w:t xml:space="preserve">“</w:t>
      </w:r>
      <w:r>
        <w:t xml:space="preserve">Prediabetes NO cuenta</w:t>
      </w:r>
      <w:r>
        <w:t xml:space="preserve">”</w:t>
      </w:r>
      <w:r>
        <w:t xml:space="preserve">, la guía dice</w:t>
      </w:r>
      <w:r>
        <w:t xml:space="preserve"> </w:t>
      </w:r>
      <w:r>
        <w:t xml:space="preserve">“</w:t>
      </w:r>
      <w:r>
        <w:t xml:space="preserve">con diabetes</w:t>
      </w:r>
      <w:r>
        <w:t xml:space="preserve">”</w:t>
      </w:r>
      <w:r>
        <w:t xml:space="preserve">, no</w:t>
      </w:r>
      <w:r>
        <w:t xml:space="preserve"> </w:t>
      </w:r>
      <w:r>
        <w:t xml:space="preserve">“</w:t>
      </w:r>
      <w:r>
        <w:t xml:space="preserve">en riesgo</w:t>
      </w:r>
      <w:r>
        <w:t xml:space="preserve">”</w:t>
      </w:r>
      <w:r>
        <w:t xml:space="preserve">.</w:t>
      </w:r>
    </w:p>
    <w:p>
      <w:pPr>
        <w:numPr>
          <w:ilvl w:val="0"/>
          <w:numId w:val="1010"/>
        </w:numPr>
        <w:pStyle w:val="Compact"/>
      </w:pPr>
      <w:r>
        <w:rPr>
          <w:b/>
        </w:rPr>
        <w:t xml:space="preserve">Qué faltan datos:</w:t>
      </w:r>
      <w:r>
        <w:t xml:space="preserve"> </w:t>
      </w:r>
      <w:r>
        <w:t xml:space="preserve">si no hay</w:t>
      </w:r>
      <w:r>
        <w:t xml:space="preserve"> </w:t>
      </w:r>
      <w:r>
        <w:rPr>
          <w:rStyle w:val="VerbatimChar"/>
        </w:rPr>
        <w:t xml:space="preserve">p.tipoDM</w:t>
      </w:r>
      <w:r>
        <w:t xml:space="preserve"> </w:t>
      </w:r>
      <w:r>
        <w:t xml:space="preserve">NI A1c/glucosa capturados, la función regresa</w:t>
      </w:r>
      <w:r>
        <w:t xml:space="preserve"> </w:t>
      </w:r>
      <w:r>
        <w:rPr>
          <w:rStyle w:val="VerbatimChar"/>
        </w:rPr>
        <w:t xml:space="preserve">false</w:t>
      </w:r>
      <w:r>
        <w:t xml:space="preserve"> </w:t>
      </w:r>
      <w:r>
        <w:t xml:space="preserve">(no diabético) — un paciente diabético real sin ese dato capturado queda silenciosamente excluido de las indicaciones automáticas de</w:t>
      </w:r>
      <w:r>
        <w:t xml:space="preserve"> </w:t>
      </w:r>
      <w:r>
        <w:t xml:space="preserve">“</w:t>
      </w:r>
      <w:r>
        <w:t xml:space="preserve">40-75 años con diabetes</w:t>
      </w:r>
      <w:r>
        <w:t xml:space="preserve">”</w:t>
      </w:r>
      <w:r>
        <w:t xml:space="preserve"> </w:t>
      </w:r>
      <w:r>
        <w:t xml:space="preserve">en lípidos y de</w:t>
      </w:r>
      <w:r>
        <w:t xml:space="preserve"> </w:t>
      </w:r>
      <w:r>
        <w:t xml:space="preserve">“</w:t>
      </w:r>
      <w:r>
        <w:t xml:space="preserve">riesgo confirmado</w:t>
      </w:r>
      <w:r>
        <w:t xml:space="preserve">”</w:t>
      </w:r>
      <w:r>
        <w:t xml:space="preserve"> </w:t>
      </w:r>
      <w:r>
        <w:t xml:space="preserve">en HTA.</w:t>
      </w:r>
    </w:p>
    <w:p>
      <w:pPr>
        <w:numPr>
          <w:ilvl w:val="0"/>
          <w:numId w:val="1010"/>
        </w:numPr>
        <w:pStyle w:val="Compact"/>
      </w:pPr>
      <w:r>
        <w:rPr>
          <w:b/>
        </w:rPr>
        <w:t xml:space="preserve">Discrepancia entre guías:</w:t>
      </w:r>
      <w:r>
        <w:t xml:space="preserve"> </w:t>
      </w:r>
      <w:r>
        <w:t xml:space="preserve">no aplica directamente a esta función, pero es la función que resuelve una discrepancia previa entre</w:t>
      </w:r>
      <w:r>
        <w:t xml:space="preserve"> </w:t>
      </w:r>
      <w:r>
        <w:t xml:space="preserve">“</w:t>
      </w:r>
      <w:r>
        <w:t xml:space="preserve">criterio diagnóstico</w:t>
      </w:r>
      <w:r>
        <w:t xml:space="preserve">”</w:t>
      </w:r>
      <w:r>
        <w:t xml:space="preserve"> </w:t>
      </w:r>
      <w:r>
        <w:t xml:space="preserve">y</w:t>
      </w:r>
      <w:r>
        <w:t xml:space="preserve"> </w:t>
      </w:r>
      <w:r>
        <w:t xml:space="preserve">“</w:t>
      </w:r>
      <w:r>
        <w:t xml:space="preserve">estado clínico real</w:t>
      </w:r>
      <w:r>
        <w:t xml:space="preserve">”</w:t>
      </w:r>
      <w:r>
        <w:t xml:space="preserve"> </w:t>
      </w:r>
      <w:r>
        <w:t xml:space="preserve">documentada en el punto 4/5 de la sección de Clasificaciones.</w:t>
      </w:r>
    </w:p>
    <w:p>
      <w:pPr>
        <w:pStyle w:val="Heading3"/>
      </w:pPr>
      <w:bookmarkStart w:id="38" w:name="Xc2bf06fddc49ff115a8fe08f96ee2f19cbd97b9"/>
      <w:r>
        <w:t xml:space="preserve">1.10</w:t>
      </w:r>
      <w:r>
        <w:t xml:space="preserve"> </w:t>
      </w:r>
      <w:r>
        <w:rPr>
          <w:rStyle w:val="VerbatimChar"/>
        </w:rPr>
        <w:t xml:space="preserve">calcTMB</w:t>
      </w:r>
      <w:r>
        <w:t xml:space="preserve"> </w:t>
      </w:r>
      <w:r>
        <w:t xml:space="preserve">/</w:t>
      </w:r>
      <w:r>
        <w:t xml:space="preserve"> </w:t>
      </w:r>
      <w:r>
        <w:rPr>
          <w:rStyle w:val="VerbatimChar"/>
        </w:rPr>
        <w:t xml:space="preserve">calcGET</w:t>
      </w:r>
      <w:r>
        <w:t xml:space="preserve"> </w:t>
      </w:r>
      <w:r>
        <w:t xml:space="preserve">— Tasa metabólica basal y gasto energético total</w:t>
      </w:r>
      <w:bookmarkEnd w:id="38"/>
    </w:p>
    <w:p>
      <w:pPr>
        <w:numPr>
          <w:ilvl w:val="0"/>
          <w:numId w:val="1011"/>
        </w:numPr>
        <w:pStyle w:val="Compact"/>
      </w:pPr>
      <w:r>
        <w:rPr>
          <w:b/>
        </w:rPr>
        <w:t xml:space="preserve">Qué hace:</w:t>
      </w:r>
      <w:r>
        <w:t xml:space="preserve"> </w:t>
      </w:r>
      <w:r>
        <w:t xml:space="preserve">Mifflin-St Jeor (</w:t>
      </w:r>
      <w:r>
        <w:rPr>
          <w:rStyle w:val="VerbatimChar"/>
        </w:rPr>
        <w:t xml:space="preserve">10×peso + 6.25×talla − 5×edad</w:t>
      </w:r>
      <w:r>
        <w:t xml:space="preserve">, +5 si</w:t>
      </w:r>
      <w:r>
        <w:t xml:space="preserve"> </w:t>
      </w:r>
      <w:r>
        <w:t xml:space="preserve">“</w:t>
      </w:r>
      <w:r>
        <w:t xml:space="preserve">H</w:t>
      </w:r>
      <w:r>
        <w:t xml:space="preserve">”</w:t>
      </w:r>
      <w:r>
        <w:t xml:space="preserve">/−161 si no) para TMB; GET = TMB × factor de actividad (</w:t>
      </w:r>
      <w:r>
        <w:rPr>
          <w:rStyle w:val="VerbatimChar"/>
        </w:rPr>
        <w:t xml:space="preserve">p.actividad</w:t>
      </w:r>
      <w:r>
        <w:t xml:space="preserve">, default 1.2).</w:t>
      </w:r>
    </w:p>
    <w:p>
      <w:pPr>
        <w:numPr>
          <w:ilvl w:val="0"/>
          <w:numId w:val="1011"/>
        </w:numPr>
        <w:pStyle w:val="Compact"/>
      </w:pPr>
      <w:r>
        <w:rPr>
          <w:b/>
        </w:rPr>
        <w:t xml:space="preserve">Por qué:</w:t>
      </w:r>
      <w:r>
        <w:t xml:space="preserve"> </w:t>
      </w:r>
      <w:r>
        <w:t xml:space="preserve">base de cálculo calórico para planes de manejo de peso.</w:t>
      </w:r>
    </w:p>
    <w:p>
      <w:pPr>
        <w:numPr>
          <w:ilvl w:val="0"/>
          <w:numId w:val="1011"/>
        </w:numPr>
        <w:pStyle w:val="Compact"/>
      </w:pPr>
      <w:r>
        <w:rPr>
          <w:b/>
        </w:rPr>
        <w:t xml:space="preserve">Fuente:</w:t>
      </w:r>
      <w:r>
        <w:t xml:space="preserve"> </w:t>
      </w:r>
      <w:r>
        <w:t xml:space="preserve">Mifflin-St Jeor (citada explícitamente por nombre).</w:t>
      </w:r>
    </w:p>
    <w:p>
      <w:pPr>
        <w:numPr>
          <w:ilvl w:val="0"/>
          <w:numId w:val="1011"/>
        </w:numPr>
        <w:pStyle w:val="Compact"/>
      </w:pPr>
      <w:r>
        <w:rPr>
          <w:b/>
        </w:rPr>
        <w:t xml:space="preserve">Versión de la fuente:</w:t>
      </w:r>
      <w:r>
        <w:t xml:space="preserve"> </w:t>
      </w:r>
      <w:r>
        <w:t xml:space="preserve">No especificada (año de publicación de Mifflin-St Jeor no citado).</w:t>
      </w:r>
    </w:p>
    <w:p>
      <w:pPr>
        <w:numPr>
          <w:ilvl w:val="0"/>
          <w:numId w:val="1011"/>
        </w:numPr>
        <w:pStyle w:val="Compact"/>
      </w:pPr>
      <w:r>
        <w:rPr>
          <w:b/>
        </w:rPr>
        <w:t xml:space="preserve">Fecha de revisión:</w:t>
      </w:r>
      <w:r>
        <w:t xml:space="preserve"> </w:t>
      </w:r>
      <w:r>
        <w:t xml:space="preserve">Sin fecha registrada.</w:t>
      </w:r>
    </w:p>
    <w:p>
      <w:pPr>
        <w:numPr>
          <w:ilvl w:val="0"/>
          <w:numId w:val="1011"/>
        </w:numPr>
        <w:pStyle w:val="Compact"/>
      </w:pPr>
      <w:r>
        <w:rPr>
          <w:b/>
        </w:rPr>
        <w:t xml:space="preserve">Quién revisó:</w:t>
      </w:r>
      <w:r>
        <w:t xml:space="preserve"> </w:t>
      </w:r>
      <w:r>
        <w:t xml:space="preserve">No especificado.</w:t>
      </w:r>
    </w:p>
    <w:p>
      <w:pPr>
        <w:numPr>
          <w:ilvl w:val="0"/>
          <w:numId w:val="1011"/>
        </w:numPr>
        <w:pStyle w:val="Compact"/>
      </w:pPr>
      <w:r>
        <w:rPr>
          <w:b/>
        </w:rPr>
        <w:t xml:space="preserve">Casos que la validan:</w:t>
      </w:r>
      <w:r>
        <w:t xml:space="preserve"> </w:t>
      </w:r>
      <w:r>
        <w:t xml:space="preserve">Sin caso de prueba identificado en los archivos de test revisados.</w:t>
      </w:r>
    </w:p>
    <w:p>
      <w:pPr>
        <w:numPr>
          <w:ilvl w:val="0"/>
          <w:numId w:val="1011"/>
        </w:numPr>
        <w:pStyle w:val="Compact"/>
      </w:pPr>
      <w:r>
        <w:rPr>
          <w:b/>
        </w:rPr>
        <w:t xml:space="preserve">Excepciones:</w:t>
      </w:r>
      <w:r>
        <w:t xml:space="preserve"> </w:t>
      </w:r>
      <w:r>
        <w:t xml:space="preserve">ninguna explícita — usa</w:t>
      </w:r>
      <w:r>
        <w:t xml:space="preserve"> </w:t>
      </w:r>
      <w:r>
        <w:rPr>
          <w:rStyle w:val="VerbatimChar"/>
        </w:rPr>
        <w:t xml:space="preserve">v()</w:t>
      </w:r>
      <w:r>
        <w:t xml:space="preserve"> </w:t>
      </w:r>
      <w:r>
        <w:t xml:space="preserve">sobre todos los campos, sin guarda de datos faltantes.</w:t>
      </w:r>
    </w:p>
    <w:p>
      <w:pPr>
        <w:numPr>
          <w:ilvl w:val="0"/>
          <w:numId w:val="1011"/>
        </w:numPr>
        <w:pStyle w:val="Compact"/>
      </w:pPr>
      <w:r>
        <w:rPr>
          <w:b/>
        </w:rPr>
        <w:t xml:space="preserve">Qué faltan datos:</w:t>
      </w:r>
      <w:r>
        <w:t xml:space="preserve"> </w:t>
      </w:r>
      <w:r>
        <w:t xml:space="preserve">si</w:t>
      </w:r>
      <w:r>
        <w:t xml:space="preserve"> </w:t>
      </w:r>
      <w:r>
        <w:rPr>
          <w:rStyle w:val="VerbatimChar"/>
        </w:rPr>
        <w:t xml:space="preserve">peso</w:t>
      </w:r>
      <w:r>
        <w:t xml:space="preserve">/</w:t>
      </w:r>
      <w:r>
        <w:rPr>
          <w:rStyle w:val="VerbatimChar"/>
        </w:rPr>
        <w:t xml:space="preserve">talla</w:t>
      </w:r>
      <w:r>
        <w:t xml:space="preserve">/</w:t>
      </w:r>
      <w:r>
        <w:rPr>
          <w:rStyle w:val="VerbatimChar"/>
        </w:rPr>
        <w:t xml:space="preserve">edad</w:t>
      </w:r>
      <w:r>
        <w:t xml:space="preserve"> </w:t>
      </w:r>
      <w:r>
        <w:t xml:space="preserve">faltan,</w:t>
      </w:r>
      <w:r>
        <w:t xml:space="preserve"> </w:t>
      </w:r>
      <w:r>
        <w:rPr>
          <w:rStyle w:val="VerbatimChar"/>
        </w:rPr>
        <w:t xml:space="preserve">v()</w:t>
      </w:r>
      <w:r>
        <w:t xml:space="preserve"> </w:t>
      </w:r>
      <w:r>
        <w:t xml:space="preserve">los vuelve</w:t>
      </w:r>
      <w:r>
        <w:t xml:space="preserve"> </w:t>
      </w:r>
      <w:r>
        <w:rPr>
          <w:rStyle w:val="VerbatimChar"/>
        </w:rPr>
        <w:t xml:space="preserve">0</w:t>
      </w:r>
      <w:r>
        <w:t xml:space="preserve">, y la fórmula produce un TMB numéricamente bajo o negativo sin ninguna señal de</w:t>
      </w:r>
      <w:r>
        <w:t xml:space="preserve"> </w:t>
      </w:r>
      <w:r>
        <w:t xml:space="preserve">“</w:t>
      </w:r>
      <w:r>
        <w:t xml:space="preserve">no calculable</w:t>
      </w:r>
      <w:r>
        <w:t xml:space="preserve">”</w:t>
      </w:r>
      <w:r>
        <w:t xml:space="preserve"> </w:t>
      </w:r>
      <w:r>
        <w:t xml:space="preserve">(a diferencia de</w:t>
      </w:r>
      <w:r>
        <w:t xml:space="preserve"> </w:t>
      </w:r>
      <w:r>
        <w:rPr>
          <w:rStyle w:val="VerbatimChar"/>
        </w:rPr>
        <w:t xml:space="preserve">calcIMC</w:t>
      </w:r>
      <w:r>
        <w:t xml:space="preserve">, que sí regresa</w:t>
      </w:r>
      <w:r>
        <w:t xml:space="preserve"> </w:t>
      </w:r>
      <w:r>
        <w:rPr>
          <w:rStyle w:val="VerbatimChar"/>
        </w:rPr>
        <w:t xml:space="preserve">null</w:t>
      </w:r>
      <w:r>
        <w:t xml:space="preserve">).</w:t>
      </w:r>
    </w:p>
    <w:p>
      <w:pPr>
        <w:numPr>
          <w:ilvl w:val="0"/>
          <w:numId w:val="1011"/>
        </w:numPr>
        <w:pStyle w:val="Compact"/>
      </w:pPr>
      <w:r>
        <w:rPr>
          <w:b/>
        </w:rPr>
        <w:t xml:space="preserve">Discrepancia entre guías:</w:t>
      </w:r>
      <w:r>
        <w:t xml:space="preserve"> </w:t>
      </w:r>
      <w:r>
        <w:t xml:space="preserve">no aplica.</w:t>
      </w:r>
    </w:p>
    <w:p>
      <w:pPr>
        <w:pStyle w:val="Heading3"/>
      </w:pPr>
      <w:bookmarkStart w:id="39" w:name="Xfca45fccea4f145c34f74d483cebcdde7eda46b"/>
      <w:r>
        <w:t xml:space="preserve">1.11</w:t>
      </w:r>
      <w:r>
        <w:t xml:space="preserve"> </w:t>
      </w:r>
      <w:r>
        <w:rPr>
          <w:rStyle w:val="VerbatimChar"/>
        </w:rPr>
        <w:t xml:space="preserve">calcNonHDL</w:t>
      </w:r>
      <w:r>
        <w:t xml:space="preserve"> </w:t>
      </w:r>
      <w:r>
        <w:t xml:space="preserve">/</w:t>
      </w:r>
      <w:r>
        <w:t xml:space="preserve"> </w:t>
      </w:r>
      <w:r>
        <w:rPr>
          <w:rStyle w:val="VerbatimChar"/>
        </w:rPr>
        <w:t xml:space="preserve">calcApoBEst</w:t>
      </w:r>
      <w:r>
        <w:t xml:space="preserve"> </w:t>
      </w:r>
      <w:r>
        <w:t xml:space="preserve">— No-HDL y ApoB estimada</w:t>
      </w:r>
      <w:bookmarkEnd w:id="39"/>
    </w:p>
    <w:p>
      <w:pPr>
        <w:numPr>
          <w:ilvl w:val="0"/>
          <w:numId w:val="1012"/>
        </w:numPr>
        <w:pStyle w:val="Compact"/>
      </w:pPr>
      <w:r>
        <w:rPr>
          <w:b/>
        </w:rPr>
        <w:t xml:space="preserve">Qué hace:</w:t>
      </w:r>
      <w:r>
        <w:t xml:space="preserve"> </w:t>
      </w:r>
      <w:r>
        <w:t xml:space="preserve">No-HDL = colesterol total − HDL; ApoB estimada = No-HDL × 0.8 (redondeado).</w:t>
      </w:r>
    </w:p>
    <w:p>
      <w:pPr>
        <w:numPr>
          <w:ilvl w:val="0"/>
          <w:numId w:val="1012"/>
        </w:numPr>
        <w:pStyle w:val="Compact"/>
      </w:pPr>
      <w:r>
        <w:rPr>
          <w:b/>
        </w:rPr>
        <w:t xml:space="preserve">Por qué:</w:t>
      </w:r>
      <w:r>
        <w:t xml:space="preserve"> </w:t>
      </w:r>
      <w:r>
        <w:t xml:space="preserve">No-HDL y ApoB son metas lipídicas secundarias reconocidas cuando TG están elevados y LDL calculado pierde precisión.</w:t>
      </w:r>
    </w:p>
    <w:p>
      <w:pPr>
        <w:numPr>
          <w:ilvl w:val="0"/>
          <w:numId w:val="1012"/>
        </w:numPr>
        <w:pStyle w:val="Compact"/>
      </w:pPr>
      <w:r>
        <w:rPr>
          <w:b/>
        </w:rPr>
        <w:t xml:space="preserve">Fuente:</w:t>
      </w:r>
      <w:r>
        <w:t xml:space="preserve"> </w:t>
      </w:r>
      <w:r>
        <w:t xml:space="preserve">No especificada en el código — el factor 0.8 no tiene cita de guía en el comentario.</w:t>
      </w:r>
    </w:p>
    <w:p>
      <w:pPr>
        <w:numPr>
          <w:ilvl w:val="0"/>
          <w:numId w:val="1012"/>
        </w:numPr>
        <w:pStyle w:val="Compact"/>
      </w:pPr>
      <w:r>
        <w:rPr>
          <w:b/>
        </w:rPr>
        <w:t xml:space="preserve">Versión de la fuente:</w:t>
      </w:r>
      <w:r>
        <w:t xml:space="preserve"> </w:t>
      </w:r>
      <w:r>
        <w:t xml:space="preserve">No especificada en el código — pendiente de documentar.</w:t>
      </w:r>
    </w:p>
    <w:p>
      <w:pPr>
        <w:numPr>
          <w:ilvl w:val="0"/>
          <w:numId w:val="1012"/>
        </w:numPr>
        <w:pStyle w:val="Compact"/>
      </w:pPr>
      <w:r>
        <w:rPr>
          <w:b/>
        </w:rPr>
        <w:t xml:space="preserve">Fecha de revisión:</w:t>
      </w:r>
      <w:r>
        <w:t xml:space="preserve"> </w:t>
      </w:r>
      <w:r>
        <w:t xml:space="preserve">Sin fecha registrada.</w:t>
      </w:r>
    </w:p>
    <w:p>
      <w:pPr>
        <w:numPr>
          <w:ilvl w:val="0"/>
          <w:numId w:val="1012"/>
        </w:numPr>
        <w:pStyle w:val="Compact"/>
      </w:pPr>
      <w:r>
        <w:rPr>
          <w:b/>
        </w:rPr>
        <w:t xml:space="preserve">Quién revisó:</w:t>
      </w:r>
      <w:r>
        <w:t xml:space="preserve"> </w:t>
      </w:r>
      <w:r>
        <w:t xml:space="preserve">No especificado.</w:t>
      </w:r>
    </w:p>
    <w:p>
      <w:pPr>
        <w:numPr>
          <w:ilvl w:val="0"/>
          <w:numId w:val="1012"/>
        </w:numPr>
        <w:pStyle w:val="Compact"/>
      </w:pPr>
      <w:r>
        <w:rPr>
          <w:b/>
        </w:rPr>
        <w:t xml:space="preserve">Casos que la validan:</w:t>
      </w:r>
      <w:r>
        <w:t xml:space="preserve"> </w:t>
      </w:r>
      <w:r>
        <w:t xml:space="preserve">Sin caso de prueba identificado.</w:t>
      </w:r>
    </w:p>
    <w:p>
      <w:pPr>
        <w:numPr>
          <w:ilvl w:val="0"/>
          <w:numId w:val="1012"/>
        </w:numPr>
        <w:pStyle w:val="Compact"/>
      </w:pPr>
      <w:r>
        <w:rPr>
          <w:b/>
        </w:rPr>
        <w:t xml:space="preserve">Excepciones:</w:t>
      </w:r>
      <w:r>
        <w:t xml:space="preserve"> </w:t>
      </w:r>
      <w:r>
        <w:t xml:space="preserve">ninguna clínica documentada.</w:t>
      </w:r>
    </w:p>
    <w:p>
      <w:pPr>
        <w:numPr>
          <w:ilvl w:val="0"/>
          <w:numId w:val="1012"/>
        </w:numPr>
        <w:pStyle w:val="Compact"/>
      </w:pPr>
      <w:r>
        <w:rPr>
          <w:b/>
        </w:rPr>
        <w:t xml:space="preserve">Qué faltan datos:</w:t>
      </w:r>
      <w:r>
        <w:t xml:space="preserve"> </w:t>
      </w:r>
      <w:r>
        <w:rPr>
          <w:rStyle w:val="VerbatimChar"/>
        </w:rPr>
        <w:t xml:space="preserve">calcNonHDL</w:t>
      </w:r>
      <w:r>
        <w:t xml:space="preserve"> </w:t>
      </w:r>
      <w:r>
        <w:t xml:space="preserve">regresa</w:t>
      </w:r>
      <w:r>
        <w:t xml:space="preserve"> </w:t>
      </w:r>
      <w:r>
        <w:rPr>
          <w:rStyle w:val="VerbatimChar"/>
        </w:rPr>
        <w:t xml:space="preserve">null</w:t>
      </w:r>
      <w:r>
        <w:t xml:space="preserve"> </w:t>
      </w:r>
      <w:r>
        <w:t xml:space="preserve">explícito si falta</w:t>
      </w:r>
      <w:r>
        <w:t xml:space="preserve"> </w:t>
      </w:r>
      <w:r>
        <w:rPr>
          <w:rStyle w:val="VerbatimChar"/>
        </w:rPr>
        <w:t xml:space="preserve">p.col_total</w:t>
      </w:r>
      <w:r>
        <w:t xml:space="preserve"> </w:t>
      </w:r>
      <w:r>
        <w:t xml:space="preserve">o</w:t>
      </w:r>
      <w:r>
        <w:t xml:space="preserve"> </w:t>
      </w:r>
      <w:r>
        <w:rPr>
          <w:rStyle w:val="VerbatimChar"/>
        </w:rPr>
        <w:t xml:space="preserve">p.hdl</w:t>
      </w:r>
      <w:r>
        <w:t xml:space="preserve"> </w:t>
      </w:r>
      <w:r>
        <w:t xml:space="preserve">(chequeo</w:t>
      </w:r>
      <w:r>
        <w:t xml:space="preserve"> </w:t>
      </w:r>
      <w:r>
        <w:rPr>
          <w:rStyle w:val="VerbatimChar"/>
        </w:rPr>
        <w:t xml:space="preserve">!p.col_total || !p.hdl</w:t>
      </w:r>
      <w:r>
        <w:t xml:space="preserve">, correcto);</w:t>
      </w:r>
      <w:r>
        <w:t xml:space="preserve"> </w:t>
      </w:r>
      <w:r>
        <w:rPr>
          <w:rStyle w:val="VerbatimChar"/>
        </w:rPr>
        <w:t xml:space="preserve">calcApoBEst</w:t>
      </w:r>
      <w:r>
        <w:t xml:space="preserve"> </w:t>
      </w:r>
      <w:r>
        <w:t xml:space="preserve">propaga ese</w:t>
      </w:r>
      <w:r>
        <w:t xml:space="preserve"> </w:t>
      </w:r>
      <w:r>
        <w:rPr>
          <w:rStyle w:val="VerbatimChar"/>
        </w:rPr>
        <w:t xml:space="preserve">null</w:t>
      </w:r>
      <w:r>
        <w:t xml:space="preserve">.</w:t>
      </w:r>
    </w:p>
    <w:p>
      <w:pPr>
        <w:numPr>
          <w:ilvl w:val="0"/>
          <w:numId w:val="1012"/>
        </w:numPr>
        <w:pStyle w:val="Compact"/>
      </w:pPr>
      <w:r>
        <w:rPr>
          <w:b/>
        </w:rPr>
        <w:t xml:space="preserve">Discrepancia entre guías:</w:t>
      </w:r>
      <w:r>
        <w:t xml:space="preserve"> </w:t>
      </w:r>
      <w:r>
        <w:t xml:space="preserve">no aplica.</w:t>
      </w:r>
    </w:p>
    <w:p>
      <w:pPr>
        <w:pStyle w:val="Heading3"/>
      </w:pPr>
      <w:bookmarkStart w:id="40" w:name="calcindicetabaquico-índice-paquetes-año"/>
      <w:r>
        <w:t xml:space="preserve">1.12</w:t>
      </w:r>
      <w:r>
        <w:t xml:space="preserve"> </w:t>
      </w:r>
      <w:r>
        <w:rPr>
          <w:rStyle w:val="VerbatimChar"/>
        </w:rPr>
        <w:t xml:space="preserve">calcIndiceTabaquico</w:t>
      </w:r>
      <w:r>
        <w:t xml:space="preserve"> </w:t>
      </w:r>
      <w:r>
        <w:t xml:space="preserve">— Índice paquetes-año</w:t>
      </w:r>
      <w:bookmarkEnd w:id="40"/>
    </w:p>
    <w:p>
      <w:pPr>
        <w:numPr>
          <w:ilvl w:val="0"/>
          <w:numId w:val="1013"/>
        </w:numPr>
        <w:pStyle w:val="Compact"/>
      </w:pPr>
      <w:r>
        <w:rPr>
          <w:b/>
        </w:rPr>
        <w:t xml:space="preserve">Qué hace:</w:t>
      </w:r>
      <w:r>
        <w:t xml:space="preserve"> </w:t>
      </w:r>
      <w:r>
        <w:rPr>
          <w:rStyle w:val="VerbatimChar"/>
        </w:rPr>
        <w:t xml:space="preserve">(cigarrillos/día × años fumando) / 20</w:t>
      </w:r>
      <w:r>
        <w:t xml:space="preserve">.</w:t>
      </w:r>
    </w:p>
    <w:p>
      <w:pPr>
        <w:numPr>
          <w:ilvl w:val="0"/>
          <w:numId w:val="1013"/>
        </w:numPr>
        <w:pStyle w:val="Compact"/>
      </w:pPr>
      <w:r>
        <w:rPr>
          <w:b/>
        </w:rPr>
        <w:t xml:space="preserve">Por qué:</w:t>
      </w:r>
      <w:r>
        <w:t xml:space="preserve"> </w:t>
      </w:r>
      <w:r>
        <w:t xml:space="preserve">cuantifica carga tabáquica acumulada; alimenta la clasificación de riesgo lipídico (</w:t>
      </w:r>
      <w:r>
        <w:rPr>
          <w:rStyle w:val="VerbatimChar"/>
        </w:rPr>
        <w:t xml:space="preserve">fumadorActivo</w:t>
      </w:r>
      <w:r>
        <w:t xml:space="preserve">) desde la corrección del 11-ago-2026 (ver 2.2).</w:t>
      </w:r>
    </w:p>
    <w:p>
      <w:pPr>
        <w:numPr>
          <w:ilvl w:val="0"/>
          <w:numId w:val="1013"/>
        </w:numPr>
        <w:pStyle w:val="Compact"/>
      </w:pPr>
      <w:r>
        <w:rPr>
          <w:b/>
        </w:rPr>
        <w:t xml:space="preserve">Fuente:</w:t>
      </w:r>
      <w:r>
        <w:t xml:space="preserve"> </w:t>
      </w:r>
      <w:r>
        <w:t xml:space="preserve">“</w:t>
      </w:r>
      <w:r>
        <w:t xml:space="preserve">fórmula estándar de la literatura</w:t>
      </w:r>
      <w:r>
        <w:t xml:space="preserve">”</w:t>
      </w:r>
      <w:r>
        <w:t xml:space="preserve"> </w:t>
      </w:r>
      <w:r>
        <w:t xml:space="preserve">(sin cita puntual de guía).</w:t>
      </w:r>
    </w:p>
    <w:p>
      <w:pPr>
        <w:numPr>
          <w:ilvl w:val="0"/>
          <w:numId w:val="1013"/>
        </w:numPr>
        <w:pStyle w:val="Compact"/>
      </w:pPr>
      <w:r>
        <w:rPr>
          <w:b/>
        </w:rPr>
        <w:t xml:space="preserve">Versión de la fuente:</w:t>
      </w:r>
      <w:r>
        <w:t xml:space="preserve"> </w:t>
      </w:r>
      <w:r>
        <w:t xml:space="preserve">No especificada.</w:t>
      </w:r>
    </w:p>
    <w:p>
      <w:pPr>
        <w:numPr>
          <w:ilvl w:val="0"/>
          <w:numId w:val="1013"/>
        </w:numPr>
        <w:pStyle w:val="Compact"/>
      </w:pPr>
      <w:r>
        <w:rPr>
          <w:b/>
        </w:rPr>
        <w:t xml:space="preserve">Fecha de revisión:</w:t>
      </w:r>
      <w:r>
        <w:t xml:space="preserve"> </w:t>
      </w:r>
      <w:r>
        <w:t xml:space="preserve">Sin fecha registrada para esta fórmula en sí (la integración de tabaquismo en</w:t>
      </w:r>
      <w:r>
        <w:t xml:space="preserve"> </w:t>
      </w:r>
      <w:r>
        <w:rPr>
          <w:rStyle w:val="VerbatimChar"/>
        </w:rPr>
        <w:t xml:space="preserve">classifyLipidRisk</w:t>
      </w:r>
      <w:r>
        <w:t xml:space="preserve"> </w:t>
      </w:r>
      <w:r>
        <w:t xml:space="preserve">sí tiene fecha, ver 2.2).</w:t>
      </w:r>
    </w:p>
    <w:p>
      <w:pPr>
        <w:numPr>
          <w:ilvl w:val="0"/>
          <w:numId w:val="1013"/>
        </w:numPr>
        <w:pStyle w:val="Compact"/>
      </w:pPr>
      <w:r>
        <w:rPr>
          <w:b/>
        </w:rPr>
        <w:t xml:space="preserve">Quién revisó:</w:t>
      </w:r>
      <w:r>
        <w:t xml:space="preserve"> </w:t>
      </w:r>
      <w:r>
        <w:t xml:space="preserve">No especificado.</w:t>
      </w:r>
    </w:p>
    <w:p>
      <w:pPr>
        <w:numPr>
          <w:ilvl w:val="0"/>
          <w:numId w:val="1013"/>
        </w:numPr>
        <w:pStyle w:val="Compact"/>
      </w:pPr>
      <w:r>
        <w:rPr>
          <w:b/>
        </w:rPr>
        <w:t xml:space="preserve">Casos que la validan:</w:t>
      </w:r>
      <w:r>
        <w:t xml:space="preserve"> </w:t>
      </w:r>
      <w:r>
        <w:t xml:space="preserve">Sin caso de prueba identificado directamente sobre</w:t>
      </w:r>
      <w:r>
        <w:t xml:space="preserve"> </w:t>
      </w:r>
      <w:r>
        <w:rPr>
          <w:rStyle w:val="VerbatimChar"/>
        </w:rPr>
        <w:t xml:space="preserve">calcIndiceTabaquico</w:t>
      </w:r>
      <w:r>
        <w:t xml:space="preserve">.</w:t>
      </w:r>
    </w:p>
    <w:p>
      <w:pPr>
        <w:numPr>
          <w:ilvl w:val="0"/>
          <w:numId w:val="1013"/>
        </w:numPr>
        <w:pStyle w:val="Compact"/>
      </w:pPr>
      <w:r>
        <w:rPr>
          <w:b/>
        </w:rPr>
        <w:t xml:space="preserve">Excepciones:</w:t>
      </w:r>
      <w:r>
        <w:t xml:space="preserve"> </w:t>
      </w:r>
      <w:r>
        <w:t xml:space="preserve">ninguna clínica.</w:t>
      </w:r>
    </w:p>
    <w:p>
      <w:pPr>
        <w:numPr>
          <w:ilvl w:val="0"/>
          <w:numId w:val="1013"/>
        </w:numPr>
        <w:pStyle w:val="Compact"/>
      </w:pPr>
      <w:r>
        <w:rPr>
          <w:b/>
        </w:rPr>
        <w:t xml:space="preserve">Qué faltan datos:</w:t>
      </w:r>
      <w:r>
        <w:t xml:space="preserve"> </w:t>
      </w:r>
      <w:r>
        <w:t xml:space="preserve">regresa</w:t>
      </w:r>
      <w:r>
        <w:t xml:space="preserve"> </w:t>
      </w:r>
      <w:r>
        <w:rPr>
          <w:rStyle w:val="VerbatimChar"/>
        </w:rPr>
        <w:t xml:space="preserve">null</w:t>
      </w:r>
      <w:r>
        <w:t xml:space="preserve"> </w:t>
      </w:r>
      <w:r>
        <w:t xml:space="preserve">explícito si falta</w:t>
      </w:r>
      <w:r>
        <w:t xml:space="preserve"> </w:t>
      </w:r>
      <w:r>
        <w:rPr>
          <w:rStyle w:val="VerbatimChar"/>
        </w:rPr>
        <w:t xml:space="preserve">cig</w:t>
      </w:r>
      <w:r>
        <w:t xml:space="preserve"> </w:t>
      </w:r>
      <w:r>
        <w:t xml:space="preserve">o</w:t>
      </w:r>
      <w:r>
        <w:t xml:space="preserve"> </w:t>
      </w:r>
      <w:r>
        <w:rPr>
          <w:rStyle w:val="VerbatimChar"/>
        </w:rPr>
        <w:t xml:space="preserve">anios</w:t>
      </w:r>
      <w:r>
        <w:t xml:space="preserve"> </w:t>
      </w:r>
      <w:r>
        <w:t xml:space="preserve">(</w:t>
      </w:r>
      <w:r>
        <w:rPr>
          <w:rStyle w:val="VerbatimChar"/>
        </w:rPr>
        <w:t xml:space="preserve">if (!cig || !anios) return null</w:t>
      </w:r>
      <w:r>
        <w:t xml:space="preserve">) — correcto.</w:t>
      </w:r>
    </w:p>
    <w:p>
      <w:pPr>
        <w:numPr>
          <w:ilvl w:val="0"/>
          <w:numId w:val="1013"/>
        </w:numPr>
        <w:pStyle w:val="Compact"/>
      </w:pPr>
      <w:r>
        <w:rPr>
          <w:b/>
        </w:rPr>
        <w:t xml:space="preserve">Discrepancia entre guías:</w:t>
      </w:r>
      <w:r>
        <w:t xml:space="preserve"> </w:t>
      </w:r>
      <w:r>
        <w:t xml:space="preserve">no aplica.</w:t>
      </w:r>
    </w:p>
    <w:p>
      <w:pPr>
        <w:pStyle w:val="Heading3"/>
      </w:pPr>
      <w:bookmarkStart w:id="41" w:name="X424ab7b0fe203fa6fcbf20d2a8a8810eb29653d"/>
      <w:r>
        <w:t xml:space="preserve">1.13</w:t>
      </w:r>
      <w:r>
        <w:t xml:space="preserve"> </w:t>
      </w:r>
      <w:r>
        <w:rPr>
          <w:rStyle w:val="VerbatimChar"/>
        </w:rPr>
        <w:t xml:space="preserve">calcGramosPorBebida</w:t>
      </w:r>
      <w:r>
        <w:t xml:space="preserve"> </w:t>
      </w:r>
      <w:r>
        <w:t xml:space="preserve">/</w:t>
      </w:r>
      <w:r>
        <w:t xml:space="preserve"> </w:t>
      </w:r>
      <w:r>
        <w:rPr>
          <w:rStyle w:val="VerbatimChar"/>
        </w:rPr>
        <w:t xml:space="preserve">calcAlcoholSemanal</w:t>
      </w:r>
      <w:r>
        <w:t xml:space="preserve"> </w:t>
      </w:r>
      <w:r>
        <w:t xml:space="preserve">— Consumo de alcohol</w:t>
      </w:r>
      <w:bookmarkEnd w:id="41"/>
    </w:p>
    <w:p>
      <w:pPr>
        <w:numPr>
          <w:ilvl w:val="0"/>
          <w:numId w:val="1014"/>
        </w:numPr>
        <w:pStyle w:val="Compact"/>
      </w:pPr>
      <w:r>
        <w:rPr>
          <w:b/>
        </w:rPr>
        <w:t xml:space="preserve">Qué hace:</w:t>
      </w:r>
      <w:r>
        <w:t xml:space="preserve"> </w:t>
      </w:r>
      <w:r>
        <w:t xml:space="preserve">gramos de alcohol puro por bebida = ml × (%vol/100) × 0.789 (densidad del etanol); alcohol semanal = gramos/bebida × bebidas/semana.</w:t>
      </w:r>
    </w:p>
    <w:p>
      <w:pPr>
        <w:numPr>
          <w:ilvl w:val="0"/>
          <w:numId w:val="1014"/>
        </w:numPr>
        <w:pStyle w:val="Compact"/>
      </w:pPr>
      <w:r>
        <w:rPr>
          <w:b/>
        </w:rPr>
        <w:t xml:space="preserve">Por qué:</w:t>
      </w:r>
      <w:r>
        <w:t xml:space="preserve"> </w:t>
      </w:r>
      <w:r>
        <w:t xml:space="preserve">cuantificación estandarizada de consumo alcohólico (presets de cerveza/vino/licor con volumen y graduación típicos).</w:t>
      </w:r>
    </w:p>
    <w:p>
      <w:pPr>
        <w:numPr>
          <w:ilvl w:val="0"/>
          <w:numId w:val="1014"/>
        </w:numPr>
        <w:pStyle w:val="Compact"/>
      </w:pPr>
      <w:r>
        <w:rPr>
          <w:b/>
        </w:rPr>
        <w:t xml:space="preserve">Fuente:</w:t>
      </w:r>
      <w:r>
        <w:t xml:space="preserve"> </w:t>
      </w:r>
      <w:r>
        <w:t xml:space="preserve">No especificada en el código (0.789 es la densidad física del etanol, no una guía clínica).</w:t>
      </w:r>
    </w:p>
    <w:p>
      <w:pPr>
        <w:numPr>
          <w:ilvl w:val="0"/>
          <w:numId w:val="1014"/>
        </w:numPr>
        <w:pStyle w:val="Compact"/>
      </w:pPr>
      <w:r>
        <w:rPr>
          <w:b/>
        </w:rPr>
        <w:t xml:space="preserve">Versión de la fuente:</w:t>
      </w:r>
      <w:r>
        <w:t xml:space="preserve"> </w:t>
      </w:r>
      <w:r>
        <w:t xml:space="preserve">No especificada.</w:t>
      </w:r>
    </w:p>
    <w:p>
      <w:pPr>
        <w:numPr>
          <w:ilvl w:val="0"/>
          <w:numId w:val="1014"/>
        </w:numPr>
        <w:pStyle w:val="Compact"/>
      </w:pPr>
      <w:r>
        <w:rPr>
          <w:b/>
        </w:rPr>
        <w:t xml:space="preserve">Fecha de revisión:</w:t>
      </w:r>
      <w:r>
        <w:t xml:space="preserve"> </w:t>
      </w:r>
      <w:r>
        <w:t xml:space="preserve">Sin fecha registrada.</w:t>
      </w:r>
    </w:p>
    <w:p>
      <w:pPr>
        <w:numPr>
          <w:ilvl w:val="0"/>
          <w:numId w:val="1014"/>
        </w:numPr>
        <w:pStyle w:val="Compact"/>
      </w:pPr>
      <w:r>
        <w:rPr>
          <w:b/>
        </w:rPr>
        <w:t xml:space="preserve">Quién revisó:</w:t>
      </w:r>
      <w:r>
        <w:t xml:space="preserve"> </w:t>
      </w:r>
      <w:r>
        <w:t xml:space="preserve">No especificado.</w:t>
      </w:r>
    </w:p>
    <w:p>
      <w:pPr>
        <w:numPr>
          <w:ilvl w:val="0"/>
          <w:numId w:val="1014"/>
        </w:numPr>
        <w:pStyle w:val="Compact"/>
      </w:pPr>
      <w:r>
        <w:rPr>
          <w:b/>
        </w:rPr>
        <w:t xml:space="preserve">Casos que la validan:</w:t>
      </w:r>
      <w:r>
        <w:t xml:space="preserve"> </w:t>
      </w:r>
      <w:r>
        <w:t xml:space="preserve">Sin caso de prueba identificado.</w:t>
      </w:r>
    </w:p>
    <w:p>
      <w:pPr>
        <w:numPr>
          <w:ilvl w:val="0"/>
          <w:numId w:val="1014"/>
        </w:numPr>
        <w:pStyle w:val="Compact"/>
      </w:pPr>
      <w:r>
        <w:rPr>
          <w:b/>
        </w:rPr>
        <w:t xml:space="preserve">Excepciones:</w:t>
      </w:r>
      <w:r>
        <w:t xml:space="preserve"> </w:t>
      </w:r>
      <w:r>
        <w:t xml:space="preserve">ninguna clínica.</w:t>
      </w:r>
    </w:p>
    <w:p>
      <w:pPr>
        <w:numPr>
          <w:ilvl w:val="0"/>
          <w:numId w:val="1014"/>
        </w:numPr>
        <w:pStyle w:val="Compact"/>
      </w:pPr>
      <w:r>
        <w:rPr>
          <w:b/>
        </w:rPr>
        <w:t xml:space="preserve">Qué faltan datos:</w:t>
      </w:r>
      <w:r>
        <w:t xml:space="preserve"> </w:t>
      </w:r>
      <w:r>
        <w:t xml:space="preserve">ambas regresan</w:t>
      </w:r>
      <w:r>
        <w:t xml:space="preserve"> </w:t>
      </w:r>
      <w:r>
        <w:rPr>
          <w:rStyle w:val="VerbatimChar"/>
        </w:rPr>
        <w:t xml:space="preserve">null</w:t>
      </w:r>
      <w:r>
        <w:t xml:space="preserve"> </w:t>
      </w:r>
      <w:r>
        <w:t xml:space="preserve">explícito si falta</w:t>
      </w:r>
      <w:r>
        <w:t xml:space="preserve"> </w:t>
      </w:r>
      <w:r>
        <w:rPr>
          <w:rStyle w:val="VerbatimChar"/>
        </w:rPr>
        <w:t xml:space="preserve">ml</w:t>
      </w:r>
      <w:r>
        <w:t xml:space="preserve">/</w:t>
      </w:r>
      <w:r>
        <w:rPr>
          <w:rStyle w:val="VerbatimChar"/>
        </w:rPr>
        <w:t xml:space="preserve">pct</w:t>
      </w:r>
      <w:r>
        <w:t xml:space="preserve"> </w:t>
      </w:r>
      <w:r>
        <w:t xml:space="preserve">o</w:t>
      </w:r>
      <w:r>
        <w:t xml:space="preserve"> </w:t>
      </w:r>
      <w:r>
        <w:rPr>
          <w:rStyle w:val="VerbatimChar"/>
        </w:rPr>
        <w:t xml:space="preserve">gramosPorBebida</w:t>
      </w:r>
      <w:r>
        <w:t xml:space="preserve">/</w:t>
      </w:r>
      <w:r>
        <w:rPr>
          <w:rStyle w:val="VerbatimChar"/>
        </w:rPr>
        <w:t xml:space="preserve">bebidas</w:t>
      </w:r>
      <w:r>
        <w:t xml:space="preserve"> </w:t>
      </w:r>
      <w:r>
        <w:t xml:space="preserve">— correcto.</w:t>
      </w:r>
    </w:p>
    <w:p>
      <w:pPr>
        <w:numPr>
          <w:ilvl w:val="0"/>
          <w:numId w:val="1014"/>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42" w:name="clasificaciones-de-riesgo"/>
      <w:r>
        <w:t xml:space="preserve">2. Clasificaciones de riesgo</w:t>
      </w:r>
      <w:bookmarkEnd w:id="42"/>
    </w:p>
    <w:p>
      <w:pPr>
        <w:pStyle w:val="Heading3"/>
      </w:pPr>
      <w:bookmarkStart w:id="43" w:name="X2d5a325bd06db1e78ac20a3dbac434f0a61a8ed"/>
      <w:r>
        <w:t xml:space="preserve">2.1</w:t>
      </w:r>
      <w:r>
        <w:t xml:space="preserve"> </w:t>
      </w:r>
      <w:r>
        <w:rPr>
          <w:rStyle w:val="VerbatimChar"/>
        </w:rPr>
        <w:t xml:space="preserve">classifyFIB4</w:t>
      </w:r>
      <w:r>
        <w:t xml:space="preserve"> </w:t>
      </w:r>
      <w:r>
        <w:t xml:space="preserve">— Clasificación de fibrosis hepática (versión simple, código muerto documentado)</w:t>
      </w:r>
      <w:bookmarkEnd w:id="43"/>
    </w:p>
    <w:p>
      <w:pPr>
        <w:numPr>
          <w:ilvl w:val="0"/>
          <w:numId w:val="1015"/>
        </w:numPr>
        <w:pStyle w:val="Compact"/>
      </w:pPr>
      <w:r>
        <w:rPr>
          <w:b/>
        </w:rPr>
        <w:t xml:space="preserve">Qué hace:</w:t>
      </w:r>
      <w:r>
        <w:t xml:space="preserve"> </w:t>
      </w:r>
      <w:r>
        <w:t xml:space="preserve">corte plano</w:t>
      </w:r>
      <w:r>
        <w:t xml:space="preserve"> </w:t>
      </w:r>
      <w:r>
        <w:rPr>
          <w:rStyle w:val="VerbatimChar"/>
        </w:rPr>
        <w:t xml:space="preserve">fib4 &gt; 1.3</w:t>
      </w:r>
      <w:r>
        <w:t xml:space="preserve"> </w:t>
      </w:r>
      <w:r>
        <w:t xml:space="preserve">→</w:t>
      </w:r>
      <w:r>
        <w:t xml:space="preserve"> </w:t>
      </w:r>
      <w:r>
        <w:t xml:space="preserve">“</w:t>
      </w:r>
      <w:r>
        <w:t xml:space="preserve">RIESGO ELEVADO</w:t>
      </w:r>
      <w:r>
        <w:t xml:space="preserve">”</w:t>
      </w:r>
      <w:r>
        <w:t xml:space="preserve">, si no</w:t>
      </w:r>
      <w:r>
        <w:t xml:space="preserve"> </w:t>
      </w:r>
      <w:r>
        <w:t xml:space="preserve">“</w:t>
      </w:r>
      <w:r>
        <w:t xml:space="preserve">RIESGO BAJO</w:t>
      </w:r>
      <w:r>
        <w:t xml:space="preserve">”</w:t>
      </w:r>
      <w:r>
        <w:t xml:space="preserve">.</w:t>
      </w:r>
    </w:p>
    <w:p>
      <w:pPr>
        <w:numPr>
          <w:ilvl w:val="0"/>
          <w:numId w:val="1015"/>
        </w:numPr>
        <w:pStyle w:val="Compact"/>
      </w:pPr>
      <w:r>
        <w:rPr>
          <w:b/>
        </w:rPr>
        <w:t xml:space="preserve">Por qué existe pero no se usa:</w:t>
      </w:r>
      <w:r>
        <w:t xml:space="preserve"> </w:t>
      </w:r>
      <w:r>
        <w:t xml:space="preserve">el propio comentario documenta que esta versión YA NO se usa en ningún render — fue reemplazada por</w:t>
      </w:r>
      <w:r>
        <w:t xml:space="preserve"> </w:t>
      </w:r>
      <w:r>
        <w:rPr>
          <w:rStyle w:val="VerbatimChar"/>
        </w:rPr>
        <w:t xml:space="preserve">individualization.js -&gt; classifyFIB4(fib4, edad, vctLsm)</w:t>
      </w:r>
      <w:r>
        <w:t xml:space="preserve">, que ajusta el corte a 2.0 en ≥65 años y exige VCTE-LSM antes de confirmar riesgo alto.</w:t>
      </w:r>
    </w:p>
    <w:p>
      <w:pPr>
        <w:numPr>
          <w:ilvl w:val="0"/>
          <w:numId w:val="1015"/>
        </w:numPr>
        <w:pStyle w:val="Compact"/>
      </w:pPr>
      <w:r>
        <w:rPr>
          <w:b/>
        </w:rPr>
        <w:t xml:space="preserve">Fuente:</w:t>
      </w:r>
      <w:r>
        <w:t xml:space="preserve"> </w:t>
      </w:r>
      <w:r>
        <w:t xml:space="preserve">consenso MASLD 2026 (citado para la versión que SÍ se usa, en</w:t>
      </w:r>
      <w:r>
        <w:t xml:space="preserve"> </w:t>
      </w:r>
      <w:r>
        <w:rPr>
          <w:rStyle w:val="VerbatimChar"/>
        </w:rPr>
        <w:t xml:space="preserve">individualization.js</w:t>
      </w:r>
      <w:r>
        <w:t xml:space="preserve">; esta versión local no cita fuente propia).</w:t>
      </w:r>
    </w:p>
    <w:p>
      <w:pPr>
        <w:numPr>
          <w:ilvl w:val="0"/>
          <w:numId w:val="1015"/>
        </w:numPr>
        <w:pStyle w:val="Compact"/>
      </w:pPr>
      <w:r>
        <w:rPr>
          <w:b/>
        </w:rPr>
        <w:t xml:space="preserve">Versión de la fuente:</w:t>
      </w:r>
      <w:r>
        <w:t xml:space="preserve"> </w:t>
      </w:r>
      <w:r>
        <w:t xml:space="preserve">2026 (para el consenso MASLD referenciado, no para esta función local).</w:t>
      </w:r>
    </w:p>
    <w:p>
      <w:pPr>
        <w:numPr>
          <w:ilvl w:val="0"/>
          <w:numId w:val="1015"/>
        </w:numPr>
        <w:pStyle w:val="Compact"/>
      </w:pPr>
      <w:r>
        <w:rPr>
          <w:b/>
        </w:rPr>
        <w:t xml:space="preserve">Fecha de revisión:</w:t>
      </w:r>
      <w:r>
        <w:t xml:space="preserve"> </w:t>
      </w:r>
      <w:r>
        <w:t xml:space="preserve">8-ago-2026 (</w:t>
      </w:r>
      <w:r>
        <w:t xml:space="preserve">“</w:t>
      </w:r>
      <w:r>
        <w:t xml:space="preserve">NOTA (auditoría 8-ago-2026)</w:t>
      </w:r>
      <w:r>
        <w:t xml:space="preserve">”</w:t>
      </w:r>
      <w:r>
        <w:t xml:space="preserve">).</w:t>
      </w:r>
    </w:p>
    <w:p>
      <w:pPr>
        <w:numPr>
          <w:ilvl w:val="0"/>
          <w:numId w:val="1015"/>
        </w:numPr>
        <w:pStyle w:val="Compact"/>
      </w:pPr>
      <w:r>
        <w:rPr>
          <w:b/>
        </w:rPr>
        <w:t xml:space="preserve">Quién revisó:</w:t>
      </w:r>
      <w:r>
        <w:t xml:space="preserve"> </w:t>
      </w:r>
      <w:r>
        <w:t xml:space="preserve">No especificado nominalmente en este comentario (dice</w:t>
      </w:r>
      <w:r>
        <w:t xml:space="preserve"> </w:t>
      </w:r>
      <w:r>
        <w:t xml:space="preserve">“</w:t>
      </w:r>
      <w:r>
        <w:t xml:space="preserve">auditoría</w:t>
      </w:r>
      <w:r>
        <w:t xml:space="preserve">”</w:t>
      </w:r>
      <w:r>
        <w:t xml:space="preserve">).</w:t>
      </w:r>
    </w:p>
    <w:p>
      <w:pPr>
        <w:numPr>
          <w:ilvl w:val="0"/>
          <w:numId w:val="1015"/>
        </w:numPr>
        <w:pStyle w:val="Compact"/>
      </w:pPr>
      <w:r>
        <w:rPr>
          <w:b/>
        </w:rPr>
        <w:t xml:space="preserve">Casos que la validan:</w:t>
      </w:r>
      <w:r>
        <w:t xml:space="preserve"> </w:t>
      </w:r>
      <w:r>
        <w:rPr>
          <w:rStyle w:val="VerbatimChar"/>
        </w:rPr>
        <w:t xml:space="preserve">tests/clinical-cases.test.mjs</w:t>
      </w:r>
      <w:r>
        <w:t xml:space="preserve"> </w:t>
      </w:r>
      <w:r>
        <w:t xml:space="preserve">caso D1 valida la versión de</w:t>
      </w:r>
      <w:r>
        <w:t xml:space="preserve"> </w:t>
      </w:r>
      <w:r>
        <w:rPr>
          <w:rStyle w:val="VerbatimChar"/>
        </w:rPr>
        <w:t xml:space="preserve">individualization.js</w:t>
      </w:r>
      <w:r>
        <w:t xml:space="preserve">, NO esta función local — Sin caso de prueba identificado para</w:t>
      </w:r>
      <w:r>
        <w:t xml:space="preserve"> </w:t>
      </w:r>
      <w:r>
        <w:rPr>
          <w:rStyle w:val="VerbatimChar"/>
        </w:rPr>
        <w:t xml:space="preserve">classifyFIB4</w:t>
      </w:r>
      <w:r>
        <w:t xml:space="preserve"> </w:t>
      </w:r>
      <w:r>
        <w:t xml:space="preserve">de</w:t>
      </w:r>
      <w:r>
        <w:t xml:space="preserve"> </w:t>
      </w:r>
      <w:r>
        <w:rPr>
          <w:rStyle w:val="VerbatimChar"/>
        </w:rPr>
        <w:t xml:space="preserve">calculations.js</w:t>
      </w:r>
      <w:r>
        <w:t xml:space="preserve"> </w:t>
      </w:r>
      <w:r>
        <w:t xml:space="preserve">específicamente.</w:t>
      </w:r>
    </w:p>
    <w:p>
      <w:pPr>
        <w:numPr>
          <w:ilvl w:val="0"/>
          <w:numId w:val="1015"/>
        </w:numPr>
        <w:pStyle w:val="Compact"/>
      </w:pPr>
      <w:r>
        <w:rPr>
          <w:b/>
        </w:rPr>
        <w:t xml:space="preserve">Excepciones:</w:t>
      </w:r>
      <w:r>
        <w:t xml:space="preserve"> </w:t>
      </w:r>
      <w:r>
        <w:t xml:space="preserve">ninguna — está deliberadamente congelada como</w:t>
      </w:r>
      <w:r>
        <w:t xml:space="preserve"> </w:t>
      </w:r>
      <w:r>
        <w:t xml:space="preserve">“</w:t>
      </w:r>
      <w:r>
        <w:t xml:space="preserve">código muerto documentado</w:t>
      </w:r>
      <w:r>
        <w:t xml:space="preserve">”</w:t>
      </w:r>
      <w:r>
        <w:t xml:space="preserve"> </w:t>
      </w:r>
      <w:r>
        <w:t xml:space="preserve">para no reintroducir el bug si algún consumidor futuro la reconecta.</w:t>
      </w:r>
    </w:p>
    <w:p>
      <w:pPr>
        <w:numPr>
          <w:ilvl w:val="0"/>
          <w:numId w:val="1015"/>
        </w:numPr>
        <w:pStyle w:val="Compact"/>
      </w:pPr>
      <w:r>
        <w:rPr>
          <w:b/>
        </w:rPr>
        <w:t xml:space="preserve">Qué faltan datos:</w:t>
      </w:r>
      <w:r>
        <w:t xml:space="preserve"> </w:t>
      </w:r>
      <w:r>
        <w:t xml:space="preserve">no aplica (no se usa en producción).</w:t>
      </w:r>
    </w:p>
    <w:p>
      <w:pPr>
        <w:numPr>
          <w:ilvl w:val="0"/>
          <w:numId w:val="1015"/>
        </w:numPr>
        <w:pStyle w:val="Compact"/>
      </w:pPr>
      <w:r>
        <w:rPr>
          <w:b/>
        </w:rPr>
        <w:t xml:space="preserve">Discrepancia entre guías:</w:t>
      </w:r>
      <w:r>
        <w:t xml:space="preserve"> </w:t>
      </w:r>
      <w:r>
        <w:t xml:space="preserve">el propio comentario documenta el riesgo de discrepancia si se reconectara:</w:t>
      </w:r>
      <w:r>
        <w:t xml:space="preserve"> </w:t>
      </w:r>
      <w:r>
        <w:t xml:space="preserve">“</w:t>
      </w:r>
      <w:r>
        <w:t xml:space="preserve">mismo paciente ≥65 años mostrando</w:t>
      </w:r>
      <w:r>
        <w:t xml:space="preserve"> </w:t>
      </w:r>
      <w:r>
        <w:t xml:space="preserve">‘</w:t>
      </w:r>
      <w:r>
        <w:t xml:space="preserve">RIESGO ELEVADO</w:t>
      </w:r>
      <w:r>
        <w:t xml:space="preserve">’</w:t>
      </w:r>
      <w:r>
        <w:t xml:space="preserve"> </w:t>
      </w:r>
      <w:r>
        <w:t xml:space="preserve">aquí y</w:t>
      </w:r>
      <w:r>
        <w:t xml:space="preserve"> </w:t>
      </w:r>
      <w:r>
        <w:t xml:space="preserve">‘</w:t>
      </w:r>
      <w:r>
        <w:t xml:space="preserve">Riesgo Bajo</w:t>
      </w:r>
      <w:r>
        <w:t xml:space="preserve">’</w:t>
      </w:r>
      <w:r>
        <w:t xml:space="preserve"> </w:t>
      </w:r>
      <w:r>
        <w:t xml:space="preserve">en la tarjeta de Individualización de al lado</w:t>
      </w:r>
      <w:r>
        <w:t xml:space="preserve">”</w:t>
      </w:r>
      <w:r>
        <w:t xml:space="preserve"> </w:t>
      </w:r>
      <w:r>
        <w:t xml:space="preserve">— es un caso de discrepancia ya detectado y mitigado (dejando el código muerto pero documentado, sin borrarlo, para prevenir reintroducción).</w:t>
      </w:r>
    </w:p>
    <w:p>
      <w:pPr>
        <w:pStyle w:val="Heading3"/>
      </w:pPr>
      <w:bookmarkStart w:id="44" w:name="X7cadd75bdcf17dc4f62661f245511c5de8f1b71"/>
      <w:r>
        <w:t xml:space="preserve">2.2</w:t>
      </w:r>
      <w:r>
        <w:t xml:space="preserve"> </w:t>
      </w:r>
      <w:r>
        <w:rPr>
          <w:rStyle w:val="VerbatimChar"/>
        </w:rPr>
        <w:t xml:space="preserve">classifyLipidRisk</w:t>
      </w:r>
      <w:r>
        <w:t xml:space="preserve"> </w:t>
      </w:r>
      <w:r>
        <w:t xml:space="preserve">— Riesgo cardiovascular y meta de LDL</w:t>
      </w:r>
      <w:bookmarkEnd w:id="44"/>
    </w:p>
    <w:p>
      <w:pPr>
        <w:pStyle w:val="FirstParagraph"/>
      </w:pPr>
      <w:r>
        <w:t xml:space="preserve">Esta función tiene múltiples ramas de decisión secuenciales; se documentan como sub-reglas de una misma función porque comparten fuente/fecha/revisor y solo difieren en el corte.</w:t>
      </w:r>
    </w:p>
    <w:p>
      <w:pPr>
        <w:numPr>
          <w:ilvl w:val="0"/>
          <w:numId w:val="1016"/>
        </w:numPr>
        <w:pStyle w:val="Compact"/>
      </w:pPr>
      <w:r>
        <w:rPr>
          <w:b/>
        </w:rPr>
        <w:t xml:space="preserve">Qué hace (todas las ramas, en orden de evaluación):</w:t>
      </w:r>
    </w:p>
    <w:p>
      <w:pPr>
        <w:numPr>
          <w:ilvl w:val="2"/>
          <w:numId w:val="1018"/>
        </w:numPr>
        <w:pStyle w:val="Compact"/>
      </w:pPr>
      <w:r>
        <w:rPr>
          <w:rStyle w:val="VerbatimChar"/>
        </w:rPr>
        <w:t xml:space="preserve">flags.ascvd</w:t>
      </w:r>
      <w:r>
        <w:t xml:space="preserve"> </w:t>
      </w:r>
      <w:r>
        <w:t xml:space="preserve">O</w:t>
      </w:r>
      <w:r>
        <w:t xml:space="preserve"> </w:t>
      </w:r>
      <w:r>
        <w:rPr>
          <w:rStyle w:val="VerbatimChar"/>
        </w:rPr>
        <w:t xml:space="preserve">eGFR&lt;30</w:t>
      </w:r>
      <w:r>
        <w:t xml:space="preserve"> </w:t>
      </w:r>
      <w:r>
        <w:t xml:space="preserve">(con guarda</w:t>
      </w:r>
      <w:r>
        <w:t xml:space="preserve"> </w:t>
      </w:r>
      <w:r>
        <w:rPr>
          <w:rStyle w:val="VerbatimChar"/>
        </w:rPr>
        <w:t xml:space="preserve">egfr&gt;0</w:t>
      </w:r>
      <w:r>
        <w:t xml:space="preserve">) →</w:t>
      </w:r>
      <w:r>
        <w:t xml:space="preserve"> </w:t>
      </w:r>
      <w:r>
        <w:rPr>
          <w:b/>
        </w:rPr>
        <w:t xml:space="preserve">MUY ALTO</w:t>
      </w:r>
      <w:r>
        <w:t xml:space="preserve">, meta LDL 55, reducción ≥50%.</w:t>
      </w:r>
    </w:p>
    <w:p>
      <w:pPr>
        <w:numPr>
          <w:ilvl w:val="2"/>
          <w:numId w:val="1019"/>
        </w:numPr>
        <w:pStyle w:val="Compact"/>
      </w:pPr>
      <w:r>
        <w:rPr>
          <w:rStyle w:val="VerbatimChar"/>
        </w:rPr>
        <w:t xml:space="preserve">LDL≥190</w:t>
      </w:r>
      <w:r>
        <w:t xml:space="preserve"> </w:t>
      </w:r>
      <w:r>
        <w:t xml:space="preserve">→</w:t>
      </w:r>
      <w:r>
        <w:t xml:space="preserve"> </w:t>
      </w:r>
      <w:r>
        <w:rPr>
          <w:b/>
        </w:rPr>
        <w:t xml:space="preserve">MUY ALTO</w:t>
      </w:r>
      <w:r>
        <w:t xml:space="preserve">, meta 70, reducción ≥50% (indicación</w:t>
      </w:r>
      <w:r>
        <w:t xml:space="preserve"> </w:t>
      </w:r>
      <w:r>
        <w:t xml:space="preserve">“</w:t>
      </w:r>
      <w:r>
        <w:t xml:space="preserve">regardless of risk</w:t>
      </w:r>
      <w:r>
        <w:t xml:space="preserve">”</w:t>
      </w:r>
      <w:r>
        <w:t xml:space="preserve">).</w:t>
      </w:r>
    </w:p>
    <w:p>
      <w:pPr>
        <w:numPr>
          <w:ilvl w:val="2"/>
          <w:numId w:val="1020"/>
        </w:numPr>
        <w:pStyle w:val="Compact"/>
      </w:pPr>
      <w:r>
        <w:rPr>
          <w:rStyle w:val="VerbatimChar"/>
        </w:rPr>
        <w:t xml:space="preserve">40-75 años</w:t>
      </w:r>
      <w:r>
        <w:t xml:space="preserve"> </w:t>
      </w:r>
      <w:r>
        <w:t xml:space="preserve">+</w:t>
      </w:r>
      <w:r>
        <w:t xml:space="preserve"> </w:t>
      </w:r>
      <w:r>
        <w:rPr>
          <w:rStyle w:val="VerbatimChar"/>
        </w:rPr>
        <w:t xml:space="preserve">eGFR&lt;60</w:t>
      </w:r>
      <w:r>
        <w:t xml:space="preserve"> </w:t>
      </w:r>
      <w:r>
        <w:t xml:space="preserve">(guarda</w:t>
      </w:r>
      <w:r>
        <w:t xml:space="preserve"> </w:t>
      </w:r>
      <w:r>
        <w:rPr>
          <w:rStyle w:val="VerbatimChar"/>
        </w:rPr>
        <w:t xml:space="preserve">egfr&gt;0</w:t>
      </w:r>
      <w:r>
        <w:t xml:space="preserve">) →</w:t>
      </w:r>
      <w:r>
        <w:t xml:space="preserve"> </w:t>
      </w:r>
      <w:r>
        <w:rPr>
          <w:b/>
        </w:rPr>
        <w:t xml:space="preserve">ALTO</w:t>
      </w:r>
      <w:r>
        <w:t xml:space="preserve">, meta 70, reducción ≥50%.</w:t>
      </w:r>
    </w:p>
    <w:p>
      <w:pPr>
        <w:numPr>
          <w:ilvl w:val="2"/>
          <w:numId w:val="1021"/>
        </w:numPr>
        <w:pStyle w:val="Compact"/>
      </w:pPr>
      <w:r>
        <w:rPr>
          <w:rStyle w:val="VerbatimChar"/>
        </w:rPr>
        <w:t xml:space="preserve">40-75 años</w:t>
      </w:r>
      <w:r>
        <w:t xml:space="preserve"> </w:t>
      </w:r>
      <w:r>
        <w:t xml:space="preserve">+</w:t>
      </w:r>
      <w:r>
        <w:t xml:space="preserve"> </w:t>
      </w:r>
      <w:r>
        <w:rPr>
          <w:rStyle w:val="VerbatimChar"/>
        </w:rPr>
        <w:t xml:space="preserve">hasDiagnosedDiabetes</w:t>
      </w:r>
      <w:r>
        <w:t xml:space="preserve"> </w:t>
      </w:r>
      <w:r>
        <w:t xml:space="preserve">sin otros risk enhancers →</w:t>
      </w:r>
      <w:r>
        <w:t xml:space="preserve"> </w:t>
      </w:r>
      <w:r>
        <w:rPr>
          <w:b/>
        </w:rPr>
        <w:t xml:space="preserve">MODERADO</w:t>
      </w:r>
      <w:r>
        <w:t xml:space="preserve">, meta 100, reducción ≥30%.</w:t>
      </w:r>
    </w:p>
    <w:p>
      <w:pPr>
        <w:numPr>
          <w:ilvl w:val="2"/>
          <w:numId w:val="1022"/>
        </w:numPr>
        <w:pStyle w:val="Compact"/>
      </w:pPr>
      <w:r>
        <w:t xml:space="preserve">Si el médico capturó</w:t>
      </w:r>
      <w:r>
        <w:t xml:space="preserve"> </w:t>
      </w:r>
      <w:r>
        <w:rPr>
          <w:rStyle w:val="VerbatimChar"/>
        </w:rPr>
        <w:t xml:space="preserve">p.preventAscvd10</w:t>
      </w:r>
      <w:r>
        <w:t xml:space="preserve"> </w:t>
      </w:r>
      <w:r>
        <w:t xml:space="preserve">(PREVENT-ASCVD %): ≥10%→ALTO(70); 5-&lt;10%→MODERADO(100); 3-&lt;5%→LIMITROFE(100); &lt;3% con LDL≥160→BAJO(100, estatina moderada a considerar); &lt;3% sin eso→BAJO(115, sin estatina).</w:t>
      </w:r>
    </w:p>
    <w:p>
      <w:pPr>
        <w:numPr>
          <w:ilvl w:val="2"/>
          <w:numId w:val="1023"/>
        </w:numPr>
        <w:pStyle w:val="Compact"/>
      </w:pPr>
      <w:r>
        <w:t xml:space="preserve">Fallback simplificado (sin PREVENT capturado):</w:t>
      </w:r>
      <w:r>
        <w:t xml:space="preserve"> </w:t>
      </w:r>
      <w:r>
        <w:rPr>
          <w:rStyle w:val="VerbatimChar"/>
        </w:rPr>
        <w:t xml:space="preserve">a1c&gt;8</w:t>
      </w:r>
      <w:r>
        <w:t xml:space="preserve"> </w:t>
      </w:r>
      <w:r>
        <w:t xml:space="preserve">O</w:t>
      </w:r>
      <w:r>
        <w:t xml:space="preserve"> </w:t>
      </w:r>
      <w:r>
        <w:rPr>
          <w:rStyle w:val="VerbatimChar"/>
        </w:rPr>
        <w:t xml:space="preserve">eGFR&lt;60</w:t>
      </w:r>
      <w:r>
        <w:t xml:space="preserve">→ALTO(70);</w:t>
      </w:r>
      <w:r>
        <w:t xml:space="preserve"> </w:t>
      </w:r>
      <w:r>
        <w:rPr>
          <w:rStyle w:val="VerbatimChar"/>
        </w:rPr>
        <w:t xml:space="preserve">a1c&gt;7</w:t>
      </w:r>
      <w:r>
        <w:t xml:space="preserve"> </w:t>
      </w:r>
      <w:r>
        <w:t xml:space="preserve">+ (antecedente familiar ASCVD prematura O fumador activo)→ALTO(70);</w:t>
      </w:r>
      <w:r>
        <w:t xml:space="preserve"> </w:t>
      </w:r>
      <w:r>
        <w:rPr>
          <w:rStyle w:val="VerbatimChar"/>
        </w:rPr>
        <w:t xml:space="preserve">a1c&gt;7</w:t>
      </w:r>
      <w:r>
        <w:t xml:space="preserve"> </w:t>
      </w:r>
      <w:r>
        <w:t xml:space="preserve">sin esos factores→MODERADO(100); fumador activo solo→MODERADO(100,</w:t>
      </w:r>
      <w:r>
        <w:t xml:space="preserve"> </w:t>
      </w:r>
      <w:r>
        <w:t xml:space="preserve">“</w:t>
      </w:r>
      <w:r>
        <w:t xml:space="preserve">risk enhancer</w:t>
      </w:r>
      <w:r>
        <w:t xml:space="preserve">”</w:t>
      </w:r>
      <w:r>
        <w:t xml:space="preserve">); si no→BAJO(115).</w:t>
      </w:r>
    </w:p>
    <w:p>
      <w:pPr>
        <w:numPr>
          <w:ilvl w:val="0"/>
          <w:numId w:val="1016"/>
        </w:numPr>
        <w:pStyle w:val="Compact"/>
      </w:pPr>
      <w:r>
        <w:rPr>
          <w:b/>
        </w:rPr>
        <w:t xml:space="preserve">Por qué:</w:t>
      </w:r>
      <w:r>
        <w:t xml:space="preserve"> </w:t>
      </w:r>
      <w:r>
        <w:t xml:space="preserve">escalonar intensidad de estatina y meta de LDL según riesgo cardiovascular real del paciente, usando el mejor dato disponible (PREVENT-ASCVD calculado externamente &gt; modelo simplificado por comorbilidad/A1c/eGFR/tabaquismo).</w:t>
      </w:r>
    </w:p>
    <w:p>
      <w:pPr>
        <w:numPr>
          <w:ilvl w:val="0"/>
          <w:numId w:val="1016"/>
        </w:numPr>
        <w:pStyle w:val="Compact"/>
      </w:pPr>
      <w:r>
        <w:rPr>
          <w:b/>
        </w:rPr>
        <w:t xml:space="preserve">Fuente:</w:t>
      </w:r>
      <w:r>
        <w:t xml:space="preserve"> </w:t>
      </w:r>
      <w:r>
        <w:t xml:space="preserve">Guía de Dislipidemia 2026 (cortes de PREVENT-ASCVD y las indicaciones</w:t>
      </w:r>
      <w:r>
        <w:t xml:space="preserve"> </w:t>
      </w:r>
      <w:r>
        <w:t xml:space="preserve">“</w:t>
      </w:r>
      <w:r>
        <w:t xml:space="preserve">regardless of risk</w:t>
      </w:r>
      <w:r>
        <w:t xml:space="preserve">”</w:t>
      </w:r>
      <w:r>
        <w:t xml:space="preserve">); ADA Standards of Care (criterio de diabetes); AACE Algorithm Fig. 4 (</w:t>
      </w:r>
      <w:r>
        <w:t xml:space="preserve">“</w:t>
      </w:r>
      <w:r>
        <w:t xml:space="preserve">Major ASCVD Risk Factors</w:t>
      </w:r>
      <w:r>
        <w:t xml:space="preserve">”</w:t>
      </w:r>
      <w:r>
        <w:t xml:space="preserve"> </w:t>
      </w:r>
      <w:r>
        <w:t xml:space="preserve">para antecedente familiar/tabaquismo como risk enhancers); AHA (ecuación PREVENT, mencionada pero NO implementada — ver campo 10).</w:t>
      </w:r>
    </w:p>
    <w:p>
      <w:pPr>
        <w:numPr>
          <w:ilvl w:val="0"/>
          <w:numId w:val="1016"/>
        </w:numPr>
        <w:pStyle w:val="Compact"/>
      </w:pPr>
      <w:r>
        <w:rPr>
          <w:b/>
        </w:rPr>
        <w:t xml:space="preserve">Versión de la fuente:</w:t>
      </w:r>
      <w:r>
        <w:t xml:space="preserve"> </w:t>
      </w:r>
      <w:r>
        <w:t xml:space="preserve">“</w:t>
      </w:r>
      <w:r>
        <w:t xml:space="preserve">Guía de Dislipidemia 2026</w:t>
      </w:r>
      <w:r>
        <w:t xml:space="preserve">”</w:t>
      </w:r>
      <w:r>
        <w:t xml:space="preserve"> </w:t>
      </w:r>
      <w:r>
        <w:t xml:space="preserve">(reemplaza explícitamente a ACC/AHA 2018 como referencia de estos cortes, según el comentario).</w:t>
      </w:r>
    </w:p>
    <w:p>
      <w:pPr>
        <w:numPr>
          <w:ilvl w:val="0"/>
          <w:numId w:val="1016"/>
        </w:numPr>
        <w:pStyle w:val="Compact"/>
      </w:pPr>
      <w:r>
        <w:rPr>
          <w:b/>
        </w:rPr>
        <w:t xml:space="preserve">Fecha de revisión:</w:t>
      </w:r>
      <w:r>
        <w:t xml:space="preserve"> </w:t>
      </w:r>
      <w:r>
        <w:t xml:space="preserve">8-ago-2026 (corrección crítica del bug</w:t>
      </w:r>
      <w:r>
        <w:t xml:space="preserve"> </w:t>
      </w:r>
      <w:r>
        <w:rPr>
          <w:rStyle w:val="VerbatimChar"/>
        </w:rPr>
        <w:t xml:space="preserve">p.tfg</w:t>
      </w:r>
      <w:r>
        <w:t xml:space="preserve">), 11-ago-2026 (integración de tabaquismo/antecedente familiar como risk enhancers en la rama fallback).</w:t>
      </w:r>
    </w:p>
    <w:p>
      <w:pPr>
        <w:numPr>
          <w:ilvl w:val="0"/>
          <w:numId w:val="1016"/>
        </w:numPr>
        <w:pStyle w:val="Compact"/>
      </w:pPr>
      <w:r>
        <w:rPr>
          <w:b/>
        </w:rPr>
        <w:t xml:space="preserve">Quién revisó:</w:t>
      </w:r>
      <w:r>
        <w:t xml:space="preserve"> </w:t>
      </w:r>
      <w:r>
        <w:t xml:space="preserve">Dr. Ortega (atribuido explícitamente en el comentario</w:t>
      </w:r>
      <w:r>
        <w:t xml:space="preserve"> </w:t>
      </w:r>
      <w:r>
        <w:t xml:space="preserve">“</w:t>
      </w:r>
      <w:r>
        <w:t xml:space="preserve">CORRECCIÓN (11-ago-2026, auditoría de secuencia — Dr. Ortega)</w:t>
      </w:r>
      <w:r>
        <w:t xml:space="preserve">”</w:t>
      </w:r>
      <w:r>
        <w:t xml:space="preserve">); la corrección del 8-ago-2026 (bug</w:t>
      </w:r>
      <w:r>
        <w:t xml:space="preserve"> </w:t>
      </w:r>
      <w:r>
        <w:rPr>
          <w:rStyle w:val="VerbatimChar"/>
        </w:rPr>
        <w:t xml:space="preserve">p.tfg</w:t>
      </w:r>
      <w:r>
        <w:t xml:space="preserve">) no atribuye nombre explícito (</w:t>
      </w:r>
      <w:r>
        <w:t xml:space="preserve">“</w:t>
      </w:r>
      <w:r>
        <w:t xml:space="preserve">encontrada al revisar por qué EndoLypids no funcionaba</w:t>
      </w:r>
      <w:r>
        <w:t xml:space="preserve">”</w:t>
      </w:r>
      <w:r>
        <w:t xml:space="preserve">).</w:t>
      </w:r>
    </w:p>
    <w:p>
      <w:pPr>
        <w:numPr>
          <w:ilvl w:val="0"/>
          <w:numId w:val="1016"/>
        </w:numPr>
        <w:pStyle w:val="Compact"/>
      </w:pPr>
      <w:r>
        <w:rPr>
          <w:b/>
        </w:rPr>
        <w:t xml:space="preserve">Casos que la validan:</w:t>
      </w:r>
      <w:r>
        <w:t xml:space="preserve"> </w:t>
      </w:r>
      <w:r>
        <w:rPr>
          <w:rStyle w:val="VerbatimChar"/>
        </w:rPr>
        <w:t xml:space="preserve">tests/clinical-cases.test.mjs</w:t>
      </w:r>
      <w:r>
        <w:t xml:space="preserve"> </w:t>
      </w:r>
      <w:r>
        <w:t xml:space="preserve">C1 (ASCVD+LDL140→alta intensidad), C2 (estatina maxeada sin ASCVD/FH→solo ezetimibe), C3 (estatina+eze maxeados+ASCVD→PCSK9i);</w:t>
      </w:r>
      <w:r>
        <w:t xml:space="preserve"> </w:t>
      </w:r>
      <w:r>
        <w:rPr>
          <w:rStyle w:val="VerbatimChar"/>
        </w:rPr>
        <w:t xml:space="preserve">tests/multimorbid-cases.test.mjs</w:t>
      </w:r>
      <w:r>
        <w:t xml:space="preserve"> </w:t>
      </w:r>
      <w:r>
        <w:t xml:space="preserve">Caso 4 (ASCVD→meta LDL&lt;55, verificado explícitamente con</w:t>
      </w:r>
      <w:r>
        <w:t xml:space="preserve"> </w:t>
      </w:r>
      <w:r>
        <w:rPr>
          <w:rStyle w:val="VerbatimChar"/>
        </w:rPr>
        <w:t xml:space="preserve">check</w:t>
      </w:r>
      <w:r>
        <w:t xml:space="preserve">).</w:t>
      </w:r>
    </w:p>
    <w:p>
      <w:pPr>
        <w:numPr>
          <w:ilvl w:val="0"/>
          <w:numId w:val="1016"/>
        </w:numPr>
        <w:pStyle w:val="Compact"/>
      </w:pPr>
      <w:r>
        <w:rPr>
          <w:b/>
        </w:rPr>
        <w:t xml:space="preserve">Excepciones:</w:t>
      </w:r>
      <w:r>
        <w:t xml:space="preserve"> </w:t>
      </w:r>
      <w:r>
        <w:t xml:space="preserve">el criterio adicional</w:t>
      </w:r>
      <w:r>
        <w:t xml:space="preserve"> </w:t>
      </w:r>
      <w:r>
        <w:t xml:space="preserve">“</w:t>
      </w:r>
      <w:r>
        <w:t xml:space="preserve">riesgo a 30 años ≥10%</w:t>
      </w:r>
      <w:r>
        <w:t xml:space="preserve">”</w:t>
      </w:r>
      <w:r>
        <w:t xml:space="preserve"> </w:t>
      </w:r>
      <w:r>
        <w:t xml:space="preserve">de la rama</w:t>
      </w:r>
      <w:r>
        <w:t xml:space="preserve"> </w:t>
      </w:r>
      <w:r>
        <w:rPr>
          <w:rStyle w:val="VerbatimChar"/>
        </w:rPr>
        <w:t xml:space="preserve">&lt;3%</w:t>
      </w:r>
      <w:r>
        <w:t xml:space="preserve"> </w:t>
      </w:r>
      <w:r>
        <w:t xml:space="preserve">NO se evalúa porque el motor no calcula PREVENT-30a (documentado explícitamente como limitación).</w:t>
      </w:r>
    </w:p>
    <w:p>
      <w:pPr>
        <w:numPr>
          <w:ilvl w:val="0"/>
          <w:numId w:val="1016"/>
        </w:numPr>
        <w:pStyle w:val="Compact"/>
      </w:pPr>
      <w:r>
        <w:rPr>
          <w:b/>
        </w:rPr>
        <w:t xml:space="preserve">Qué faltan datos:</w:t>
      </w:r>
      <w:r>
        <w:t xml:space="preserve"> </w:t>
      </w:r>
      <w:r>
        <w:t xml:space="preserve">todas las comparaciones de eGFR usan la guarda</w:t>
      </w:r>
      <w:r>
        <w:t xml:space="preserve"> </w:t>
      </w:r>
      <w:r>
        <w:rPr>
          <w:rStyle w:val="VerbatimChar"/>
        </w:rPr>
        <w:t xml:space="preserve">egfr &gt; 0</w:t>
      </w:r>
      <w:r>
        <w:t xml:space="preserve"> </w:t>
      </w:r>
      <w:r>
        <w:t xml:space="preserve">— si falta creatinina/edad/sexo y tampoco hay</w:t>
      </w:r>
      <w:r>
        <w:t xml:space="preserve"> </w:t>
      </w:r>
      <w:r>
        <w:rPr>
          <w:rStyle w:val="VerbatimChar"/>
        </w:rPr>
        <w:t xml:space="preserve">p.tfg</w:t>
      </w:r>
      <w:r>
        <w:t xml:space="preserve"> </w:t>
      </w:r>
      <w:r>
        <w:t xml:space="preserve">manual,</w:t>
      </w:r>
      <w:r>
        <w:t xml:space="preserve"> </w:t>
      </w:r>
      <w:r>
        <w:rPr>
          <w:rStyle w:val="VerbatimChar"/>
        </w:rPr>
        <w:t xml:space="preserve">calcEGFR</w:t>
      </w:r>
      <w:r>
        <w:t xml:space="preserve"> </w:t>
      </w:r>
      <w:r>
        <w:t xml:space="preserve">regresa</w:t>
      </w:r>
      <w:r>
        <w:t xml:space="preserve"> </w:t>
      </w:r>
      <w:r>
        <w:rPr>
          <w:rStyle w:val="VerbatimChar"/>
        </w:rPr>
        <w:t xml:space="preserve">0</w:t>
      </w:r>
      <w:r>
        <w:t xml:space="preserve">, y las ramas (a)/(c) que dependen de eGFR bajo simplemente</w:t>
      </w:r>
      <w:r>
        <w:t xml:space="preserve"> </w:t>
      </w:r>
      <w:r>
        <w:rPr>
          <w:b/>
        </w:rPr>
        <w:t xml:space="preserve">no se activan</w:t>
      </w:r>
      <w:r>
        <w:t xml:space="preserve">, sin ninguna advertencia de</w:t>
      </w:r>
      <w:r>
        <w:t xml:space="preserve"> </w:t>
      </w:r>
      <w:r>
        <w:t xml:space="preserve">“</w:t>
      </w:r>
      <w:r>
        <w:t xml:space="preserve">función renal no evaluada</w:t>
      </w:r>
      <w:r>
        <w:t xml:space="preserve">”</w:t>
      </w:r>
      <w:r>
        <w:t xml:space="preserve">. Si</w:t>
      </w:r>
      <w:r>
        <w:t xml:space="preserve"> </w:t>
      </w:r>
      <w:r>
        <w:rPr>
          <w:rStyle w:val="VerbatimChar"/>
        </w:rPr>
        <w:t xml:space="preserve">p.preventAscvd10</w:t>
      </w:r>
      <w:r>
        <w:t xml:space="preserve"> </w:t>
      </w:r>
      <w:r>
        <w:t xml:space="preserve">no se captura, cae automáticamente (y correctamente, esto SÍ está señalado vía el campo</w:t>
      </w:r>
      <w:r>
        <w:t xml:space="preserve"> </w:t>
      </w:r>
      <w:r>
        <w:rPr>
          <w:rStyle w:val="VerbatimChar"/>
        </w:rPr>
        <w:t xml:space="preserve">fuente</w:t>
      </w:r>
      <w:r>
        <w:t xml:space="preserve"> </w:t>
      </w:r>
      <w:r>
        <w:t xml:space="preserve">del resultado) al modelo simplificado.</w:t>
      </w:r>
    </w:p>
    <w:p>
      <w:pPr>
        <w:numPr>
          <w:ilvl w:val="0"/>
          <w:numId w:val="1016"/>
        </w:numPr>
        <w:pStyle w:val="Compact"/>
      </w:pPr>
      <w:r>
        <w:rPr>
          <w:b/>
        </w:rPr>
        <w:t xml:space="preserve">Discrepancia entre guías — CASO DOCUMENTADO EXPLÍCITAMENTE:</w:t>
      </w:r>
      <w:r>
        <w:t xml:space="preserve"> </w:t>
      </w:r>
      <w:r>
        <w:t xml:space="preserve">el comentario de cabecera narra con detalle que se investigó a fondo la ecuación PREVENT (AHA 2023) para codificarla, pero sus coeficientes numéricos publicados</w:t>
      </w:r>
      <w:r>
        <w:t xml:space="preserve"> </w:t>
      </w:r>
      <w:r>
        <w:rPr>
          <w:b/>
        </w:rPr>
        <w:t xml:space="preserve">no están disponibles en ninguna fuente abierta verificable</w:t>
      </w:r>
      <w:r>
        <w:t xml:space="preserve">: la tabla suplementaria de Circulation está tras paywall, MDCalc solo expone una calculadora interactiva (no la fórmula), y el código fuente oficial de AHA vive en un repositorio privado que exige aceptar un acuerdo institucional. El equipo decidió explícitamente NO recalcular la fórmula de memoria (</w:t>
      </w:r>
      <w:r>
        <w:t xml:space="preserve">“</w:t>
      </w:r>
      <w:r>
        <w:t xml:space="preserve">habría significado inventar coeficientes de una ecuación clínica — exactamente lo que este proyecto se propuso nunca hacer</w:t>
      </w:r>
      <w:r>
        <w:t xml:space="preserve">”</w:t>
      </w:r>
      <w:r>
        <w:t xml:space="preserve">). La resolución adoptada: el motor ACEPTA el % de PREVENT-ASCVD ya calculado por el médico en la calculadora oficial (heart.org/prevent, MDCalc) como dato de entrada opcional (</w:t>
      </w:r>
      <w:r>
        <w:rPr>
          <w:rStyle w:val="VerbatimChar"/>
        </w:rPr>
        <w:t xml:space="preserve">p.preventAscvd10</w:t>
      </w:r>
      <w:r>
        <w:t xml:space="preserve">), y el campo</w:t>
      </w:r>
      <w:r>
        <w:t xml:space="preserve"> </w:t>
      </w:r>
      <w:r>
        <w:rPr>
          <w:rStyle w:val="VerbatimChar"/>
        </w:rPr>
        <w:t xml:space="preserve">fuente</w:t>
      </w:r>
      <w:r>
        <w:t xml:space="preserve"> </w:t>
      </w:r>
      <w:r>
        <w:t xml:space="preserve">de cada resultado deja explícito si viene de PREVENT-ASCVD real o del modelo simplificado,</w:t>
      </w:r>
      <w:r>
        <w:t xml:space="preserve"> </w:t>
      </w:r>
      <w:r>
        <w:t xml:space="preserve">“</w:t>
      </w:r>
      <w:r>
        <w:t xml:space="preserve">para que la interfaz nunca la presente con una precisión que no tiene</w:t>
      </w:r>
      <w:r>
        <w:t xml:space="preserve">”</w:t>
      </w:r>
      <w:r>
        <w:t xml:space="preserve">.</w:t>
      </w:r>
    </w:p>
    <w:p>
      <w:pPr>
        <w:pStyle w:val="Heading3"/>
      </w:pPr>
      <w:bookmarkStart w:id="45" w:name="Xb39034a0f9a6e407676e5176f38c5931f48742a"/>
      <w:r>
        <w:t xml:space="preserve">2.3</w:t>
      </w:r>
      <w:r>
        <w:t xml:space="preserve"> </w:t>
      </w:r>
      <w:r>
        <w:rPr>
          <w:rStyle w:val="VerbatimChar"/>
        </w:rPr>
        <w:t xml:space="preserve">classifyBP</w:t>
      </w:r>
      <w:r>
        <w:t xml:space="preserve"> </w:t>
      </w:r>
      <w:r>
        <w:t xml:space="preserve">— Categoría de presión arterial (AHA/ACC 2025, 5 categorías)</w:t>
      </w:r>
      <w:bookmarkEnd w:id="45"/>
    </w:p>
    <w:p>
      <w:pPr>
        <w:numPr>
          <w:ilvl w:val="0"/>
          <w:numId w:val="1024"/>
        </w:numPr>
        <w:pStyle w:val="Compact"/>
      </w:pPr>
      <w:r>
        <w:rPr>
          <w:b/>
        </w:rPr>
        <w:t xml:space="preserve">Qué hace:</w:t>
      </w:r>
      <w:r>
        <w:t xml:space="preserve"> </w:t>
      </w:r>
      <w:r>
        <w:t xml:space="preserve">Normal</w:t>
      </w:r>
      <w:r>
        <w:t xml:space="preserve"> </w:t>
      </w:r>
      <w:r>
        <w:rPr>
          <w:rStyle w:val="VerbatimChar"/>
        </w:rPr>
        <w:t xml:space="preserve">&lt;120/&lt;80</w:t>
      </w:r>
      <w:r>
        <w:t xml:space="preserve">; Elevada</w:t>
      </w:r>
      <w:r>
        <w:t xml:space="preserve"> </w:t>
      </w:r>
      <w:r>
        <w:rPr>
          <w:rStyle w:val="VerbatimChar"/>
        </w:rPr>
        <w:t xml:space="preserve">120-129/&lt;80</w:t>
      </w:r>
      <w:r>
        <w:t xml:space="preserve">; Etapa 1</w:t>
      </w:r>
      <w:r>
        <w:t xml:space="preserve"> </w:t>
      </w:r>
      <w:r>
        <w:rPr>
          <w:rStyle w:val="VerbatimChar"/>
        </w:rPr>
        <w:t xml:space="preserve">130-139/80-89</w:t>
      </w:r>
      <w:r>
        <w:t xml:space="preserve">; Etapa 2</w:t>
      </w:r>
      <w:r>
        <w:t xml:space="preserve"> </w:t>
      </w:r>
      <w:r>
        <w:rPr>
          <w:rStyle w:val="VerbatimChar"/>
        </w:rPr>
        <w:t xml:space="preserve">≥140/≥90</w:t>
      </w:r>
      <w:r>
        <w:t xml:space="preserve">; Crisis Hipertensiva</w:t>
      </w:r>
      <w:r>
        <w:t xml:space="preserve"> </w:t>
      </w:r>
      <w:r>
        <w:rPr>
          <w:rStyle w:val="VerbatimChar"/>
        </w:rPr>
        <w:t xml:space="preserve">≥180/≥120</w:t>
      </w:r>
      <w:r>
        <w:t xml:space="preserve">.</w:t>
      </w:r>
    </w:p>
    <w:p>
      <w:pPr>
        <w:numPr>
          <w:ilvl w:val="0"/>
          <w:numId w:val="1024"/>
        </w:numPr>
        <w:pStyle w:val="Compact"/>
      </w:pPr>
      <w:r>
        <w:rPr>
          <w:b/>
        </w:rPr>
        <w:t xml:space="preserve">Por qué:</w:t>
      </w:r>
      <w:r>
        <w:t xml:space="preserve"> </w:t>
      </w:r>
      <w:r>
        <w:t xml:space="preserve">alinear la categoría de PA mostrada en EndoPressure con la usada en el panel de Individualización — antes coexistían dos escalas distintas (estilo ESH 2023 aquí vs. AHA/ACC 2025 en</w:t>
      </w:r>
      <w:r>
        <w:t xml:space="preserve"> </w:t>
      </w:r>
      <w:r>
        <w:rPr>
          <w:rStyle w:val="VerbatimChar"/>
        </w:rPr>
        <w:t xml:space="preserve">individualization.js</w:t>
      </w:r>
      <w:r>
        <w:t xml:space="preserve">) para la MISMA lectura del MISMO paciente.</w:t>
      </w:r>
    </w:p>
    <w:p>
      <w:pPr>
        <w:numPr>
          <w:ilvl w:val="0"/>
          <w:numId w:val="1024"/>
        </w:numPr>
        <w:pStyle w:val="Compact"/>
      </w:pPr>
      <w:r>
        <w:rPr>
          <w:b/>
        </w:rPr>
        <w:t xml:space="preserve">Fuente:</w:t>
      </w:r>
      <w:r>
        <w:t xml:space="preserve"> </w:t>
      </w:r>
      <w:r>
        <w:t xml:space="preserve">AHA/ACC 2025, Tabla 4 (citada explícitamente,</w:t>
      </w:r>
      <w:r>
        <w:t xml:space="preserve"> </w:t>
      </w:r>
      <w:r>
        <w:t xml:space="preserve">“</w:t>
      </w:r>
      <w:r>
        <w:t xml:space="preserve">verificados contra el PDF</w:t>
      </w:r>
      <w:r>
        <w:t xml:space="preserve">”</w:t>
      </w:r>
      <w:r>
        <w:t xml:space="preserve">).</w:t>
      </w:r>
    </w:p>
    <w:p>
      <w:pPr>
        <w:numPr>
          <w:ilvl w:val="0"/>
          <w:numId w:val="1024"/>
        </w:numPr>
        <w:pStyle w:val="Compact"/>
      </w:pPr>
      <w:r>
        <w:rPr>
          <w:b/>
        </w:rPr>
        <w:t xml:space="preserve">Versión de la fuente:</w:t>
      </w:r>
      <w:r>
        <w:t xml:space="preserve"> </w:t>
      </w:r>
      <w:r>
        <w:t xml:space="preserve">2025.</w:t>
      </w:r>
    </w:p>
    <w:p>
      <w:pPr>
        <w:numPr>
          <w:ilvl w:val="0"/>
          <w:numId w:val="1024"/>
        </w:numPr>
        <w:pStyle w:val="Compact"/>
      </w:pPr>
      <w:r>
        <w:rPr>
          <w:b/>
        </w:rPr>
        <w:t xml:space="preserve">Fecha de revisión:</w:t>
      </w:r>
      <w:r>
        <w:t xml:space="preserve"> </w:t>
      </w:r>
      <w:r>
        <w:t xml:space="preserve">8 de agosto de 2026 (</w:t>
      </w:r>
      <w:r>
        <w:t xml:space="preserve">“</w:t>
      </w:r>
      <w:r>
        <w:t xml:space="preserve">CORRECCIÓN CRÍTICA (auditoría de guías, 8 de agosto de 2026)</w:t>
      </w:r>
      <w:r>
        <w:t xml:space="preserve">”</w:t>
      </w:r>
      <w:r>
        <w:t xml:space="preserve">).</w:t>
      </w:r>
    </w:p>
    <w:p>
      <w:pPr>
        <w:numPr>
          <w:ilvl w:val="0"/>
          <w:numId w:val="1024"/>
        </w:numPr>
        <w:pStyle w:val="Compact"/>
      </w:pPr>
      <w:r>
        <w:rPr>
          <w:b/>
        </w:rPr>
        <w:t xml:space="preserve">Quién revisó:</w:t>
      </w:r>
      <w:r>
        <w:t xml:space="preserve"> </w:t>
      </w:r>
      <w:r>
        <w:t xml:space="preserve">No especificado nominalmente en este comentario (dice</w:t>
      </w:r>
      <w:r>
        <w:t xml:space="preserve"> </w:t>
      </w:r>
      <w:r>
        <w:t xml:space="preserve">“</w:t>
      </w:r>
      <w:r>
        <w:t xml:space="preserve">auditoría de guías</w:t>
      </w:r>
      <w:r>
        <w:t xml:space="preserve">”</w:t>
      </w:r>
      <w:r>
        <w:t xml:space="preserve">).</w:t>
      </w:r>
    </w:p>
    <w:p>
      <w:pPr>
        <w:numPr>
          <w:ilvl w:val="0"/>
          <w:numId w:val="1024"/>
        </w:numPr>
        <w:pStyle w:val="Compact"/>
      </w:pPr>
      <w:r>
        <w:rPr>
          <w:b/>
        </w:rPr>
        <w:t xml:space="preserve">Casos que la validan:</w:t>
      </w:r>
      <w:r>
        <w:t xml:space="preserve"> </w:t>
      </w:r>
      <w:r>
        <w:rPr>
          <w:rStyle w:val="VerbatimChar"/>
        </w:rPr>
        <w:t xml:space="preserve">tests/clinical-cases.test.mjs</w:t>
      </w:r>
      <w:r>
        <w:t xml:space="preserve"> </w:t>
      </w:r>
      <w:r>
        <w:t xml:space="preserve">caso D2 (verifica consistencia explícita entre</w:t>
      </w:r>
      <w:r>
        <w:t xml:space="preserve"> </w:t>
      </w:r>
      <w:r>
        <w:rPr>
          <w:rStyle w:val="VerbatimChar"/>
        </w:rPr>
        <w:t xml:space="preserve">classifyBP</w:t>
      </w:r>
      <w:r>
        <w:t xml:space="preserve"> </w:t>
      </w:r>
      <w:r>
        <w:t xml:space="preserve">de</w:t>
      </w:r>
      <w:r>
        <w:t xml:space="preserve"> </w:t>
      </w:r>
      <w:r>
        <w:rPr>
          <w:rStyle w:val="VerbatimChar"/>
        </w:rPr>
        <w:t xml:space="preserve">calculations.js</w:t>
      </w:r>
      <w:r>
        <w:t xml:space="preserve"> </w:t>
      </w:r>
      <w:r>
        <w:t xml:space="preserve">y de</w:t>
      </w:r>
      <w:r>
        <w:t xml:space="preserve"> </w:t>
      </w:r>
      <w:r>
        <w:rPr>
          <w:rStyle w:val="VerbatimChar"/>
        </w:rPr>
        <w:t xml:space="preserve">individualization.js</w:t>
      </w:r>
      <w:r>
        <w:t xml:space="preserve"> </w:t>
      </w:r>
      <w:r>
        <w:t xml:space="preserve">para 132/84).</w:t>
      </w:r>
    </w:p>
    <w:p>
      <w:pPr>
        <w:numPr>
          <w:ilvl w:val="0"/>
          <w:numId w:val="1024"/>
        </w:numPr>
        <w:pStyle w:val="Compact"/>
      </w:pPr>
      <w:r>
        <w:rPr>
          <w:b/>
        </w:rPr>
        <w:t xml:space="preserve">Excepciones:</w:t>
      </w:r>
      <w:r>
        <w:t xml:space="preserve"> </w:t>
      </w:r>
      <w:r>
        <w:t xml:space="preserve">ninguna — reemplazó por completo a la escala anterior.</w:t>
      </w:r>
    </w:p>
    <w:p>
      <w:pPr>
        <w:numPr>
          <w:ilvl w:val="0"/>
          <w:numId w:val="1024"/>
        </w:numPr>
        <w:pStyle w:val="Compact"/>
      </w:pPr>
      <w:r>
        <w:rPr>
          <w:b/>
        </w:rPr>
        <w:t xml:space="preserve">Qué faltan datos:</w:t>
      </w:r>
      <w:r>
        <w:t xml:space="preserve"> </w:t>
      </w:r>
      <w:r>
        <w:t xml:space="preserve">usa</w:t>
      </w:r>
      <w:r>
        <w:t xml:space="preserve"> </w:t>
      </w:r>
      <w:r>
        <w:rPr>
          <w:rStyle w:val="VerbatimChar"/>
        </w:rPr>
        <w:t xml:space="preserve">v(p.tas)</w:t>
      </w:r>
      <w:r>
        <w:t xml:space="preserve">/</w:t>
      </w:r>
      <w:r>
        <w:rPr>
          <w:rStyle w:val="VerbatimChar"/>
        </w:rPr>
        <w:t xml:space="preserve">v(p.tad)</w:t>
      </w:r>
      <w:r>
        <w:t xml:space="preserve"> </w:t>
      </w:r>
      <w:r>
        <w:t xml:space="preserve">sin guarda de</w:t>
      </w:r>
      <w:r>
        <w:t xml:space="preserve"> </w:t>
      </w:r>
      <w:r>
        <w:t xml:space="preserve">“</w:t>
      </w:r>
      <w:r>
        <w:t xml:space="preserve">faltante</w:t>
      </w:r>
      <w:r>
        <w:t xml:space="preserve">”</w:t>
      </w:r>
      <w:r>
        <w:t xml:space="preserve"> </w:t>
      </w:r>
      <w:r>
        <w:t xml:space="preserve">— si ambas faltan,</w:t>
      </w:r>
      <w:r>
        <w:t xml:space="preserve"> </w:t>
      </w:r>
      <w:r>
        <w:rPr>
          <w:rStyle w:val="VerbatimChar"/>
        </w:rPr>
        <w:t xml:space="preserve">s=0, d=0</w:t>
      </w:r>
      <w:r>
        <w:t xml:space="preserve"> </w:t>
      </w:r>
      <w:r>
        <w:t xml:space="preserve">cae en la rama</w:t>
      </w:r>
      <w:r>
        <w:t xml:space="preserve"> </w:t>
      </w:r>
      <w:r>
        <w:t xml:space="preserve">“</w:t>
      </w:r>
      <w:r>
        <w:t xml:space="preserve">NORMAL</w:t>
      </w:r>
      <w:r>
        <w:t xml:space="preserve">”</w:t>
      </w:r>
      <w:r>
        <w:t xml:space="preserve"> </w:t>
      </w:r>
      <w:r>
        <w:t xml:space="preserve">por defecto, indistinguible de una PA realmente normal medida.</w:t>
      </w:r>
    </w:p>
    <w:p>
      <w:pPr>
        <w:numPr>
          <w:ilvl w:val="0"/>
          <w:numId w:val="1024"/>
        </w:numPr>
        <w:pStyle w:val="Compact"/>
      </w:pPr>
      <w:r>
        <w:rPr>
          <w:b/>
        </w:rPr>
        <w:t xml:space="preserve">Discrepancia entre guías:</w:t>
      </w:r>
      <w:r>
        <w:t xml:space="preserve"> </w:t>
      </w:r>
      <w:r>
        <w:t xml:space="preserve">este es precisamente el caso que la corrección resolvió — documenta la inconsistencia previa entre ESH 2023 (usada aquí) y AHA/ACC 2025 (usada en Individualización) para el MISMO paciente, y la resolvió unificando ambas funciones a AHA/ACC 2025 con un test de regresión (D2) que verifica la concordancia.</w:t>
      </w:r>
    </w:p>
    <w:p>
      <w:pPr>
        <w:pStyle w:val="Heading3"/>
      </w:pPr>
      <w:bookmarkStart w:id="46" w:name="Xf0d0e54d46b55ee963133437a2c0a9da440e12e"/>
      <w:r>
        <w:t xml:space="preserve">2.4</w:t>
      </w:r>
      <w:r>
        <w:t xml:space="preserve"> </w:t>
      </w:r>
      <w:r>
        <w:rPr>
          <w:rStyle w:val="VerbatimChar"/>
        </w:rPr>
        <w:t xml:space="preserve">classifyGlobalRisk</w:t>
      </w:r>
      <w:r>
        <w:t xml:space="preserve"> </w:t>
      </w:r>
      <w:r>
        <w:t xml:space="preserve">— Riesgo global simplificado (código muerto documentado)</w:t>
      </w:r>
      <w:bookmarkEnd w:id="46"/>
    </w:p>
    <w:p>
      <w:pPr>
        <w:numPr>
          <w:ilvl w:val="0"/>
          <w:numId w:val="1025"/>
        </w:numPr>
        <w:pStyle w:val="Compact"/>
      </w:pPr>
      <w:r>
        <w:rPr>
          <w:b/>
        </w:rPr>
        <w:t xml:space="preserve">Qué hace:</w:t>
      </w:r>
      <w:r>
        <w:t xml:space="preserve"> </w:t>
      </w:r>
      <w:r>
        <w:t xml:space="preserve">BAJO por defecto; MODERADO si</w:t>
      </w:r>
      <w:r>
        <w:t xml:space="preserve"> </w:t>
      </w:r>
      <w:r>
        <w:rPr>
          <w:rStyle w:val="VerbatimChar"/>
        </w:rPr>
        <w:t xml:space="preserve">eGFR&lt;60</w:t>
      </w:r>
      <w:r>
        <w:t xml:space="preserve"> </w:t>
      </w:r>
      <w:r>
        <w:t xml:space="preserve">o</w:t>
      </w:r>
      <w:r>
        <w:t xml:space="preserve"> </w:t>
      </w:r>
      <w:r>
        <w:rPr>
          <w:rStyle w:val="VerbatimChar"/>
        </w:rPr>
        <w:t xml:space="preserve">A1c&gt;8</w:t>
      </w:r>
      <w:r>
        <w:t xml:space="preserve">; ALTO si hay comorbilidades registradas o</w:t>
      </w:r>
      <w:r>
        <w:t xml:space="preserve"> </w:t>
      </w:r>
      <w:r>
        <w:rPr>
          <w:rStyle w:val="VerbatimChar"/>
        </w:rPr>
        <w:t xml:space="preserve">eGFR&lt;45</w:t>
      </w:r>
      <w:r>
        <w:t xml:space="preserve">.</w:t>
      </w:r>
    </w:p>
    <w:p>
      <w:pPr>
        <w:numPr>
          <w:ilvl w:val="0"/>
          <w:numId w:val="1025"/>
        </w:numPr>
        <w:pStyle w:val="Compact"/>
      </w:pPr>
      <w:r>
        <w:rPr>
          <w:b/>
        </w:rPr>
        <w:t xml:space="preserve">Por qué existe pero no se usa:</w:t>
      </w:r>
      <w:r>
        <w:t xml:space="preserve"> </w:t>
      </w:r>
      <w:r>
        <w:t xml:space="preserve">el comentario documenta explícitamente que</w:t>
      </w:r>
      <w:r>
        <w:t xml:space="preserve"> </w:t>
      </w:r>
      <w:r>
        <w:t xml:space="preserve">“</w:t>
      </w:r>
      <w:r>
        <w:t xml:space="preserve">esta función no se llama desde ningún lado del proyecto actual</w:t>
      </w:r>
      <w:r>
        <w:t xml:space="preserve">”</w:t>
      </w:r>
      <w:r>
        <w:t xml:space="preserve"> </w:t>
      </w:r>
      <w:r>
        <w:t xml:space="preserve">— reemplazada por el panel de Individualización + Estratificación Global.</w:t>
      </w:r>
    </w:p>
    <w:p>
      <w:pPr>
        <w:numPr>
          <w:ilvl w:val="0"/>
          <w:numId w:val="1025"/>
        </w:numPr>
        <w:pStyle w:val="Compact"/>
      </w:pPr>
      <w:r>
        <w:rPr>
          <w:b/>
        </w:rPr>
        <w:t xml:space="preserve">Fuente:</w:t>
      </w:r>
      <w:r>
        <w:t xml:space="preserve"> </w:t>
      </w:r>
      <w:r>
        <w:t xml:space="preserve">No especificada — comparte el mismo patrón de corte que</w:t>
      </w:r>
      <w:r>
        <w:t xml:space="preserve"> </w:t>
      </w:r>
      <w:r>
        <w:rPr>
          <w:rStyle w:val="VerbatimChar"/>
        </w:rPr>
        <w:t xml:space="preserve">classifyFIB4</w:t>
      </w:r>
      <w:r>
        <w:t xml:space="preserve">/riesgo lipídico simplificado, sin cita de guía propia.</w:t>
      </w:r>
    </w:p>
    <w:p>
      <w:pPr>
        <w:numPr>
          <w:ilvl w:val="0"/>
          <w:numId w:val="1025"/>
        </w:numPr>
        <w:pStyle w:val="Compact"/>
      </w:pPr>
      <w:r>
        <w:rPr>
          <w:b/>
        </w:rPr>
        <w:t xml:space="preserve">Versión de la fuente:</w:t>
      </w:r>
      <w:r>
        <w:t xml:space="preserve"> </w:t>
      </w:r>
      <w:r>
        <w:t xml:space="preserve">No especificada.</w:t>
      </w:r>
    </w:p>
    <w:p>
      <w:pPr>
        <w:numPr>
          <w:ilvl w:val="0"/>
          <w:numId w:val="1025"/>
        </w:numPr>
        <w:pStyle w:val="Compact"/>
      </w:pPr>
      <w:r>
        <w:rPr>
          <w:b/>
        </w:rPr>
        <w:t xml:space="preserve">Fecha de revisión:</w:t>
      </w:r>
      <w:r>
        <w:t xml:space="preserve"> </w:t>
      </w:r>
      <w:r>
        <w:t xml:space="preserve">8-ago-2026 (misma auditoría que</w:t>
      </w:r>
      <w:r>
        <w:t xml:space="preserve"> </w:t>
      </w:r>
      <w:r>
        <w:rPr>
          <w:rStyle w:val="VerbatimChar"/>
        </w:rPr>
        <w:t xml:space="preserve">classifyFIB4</w:t>
      </w:r>
      <w:r>
        <w:t xml:space="preserve">).</w:t>
      </w:r>
    </w:p>
    <w:p>
      <w:pPr>
        <w:numPr>
          <w:ilvl w:val="0"/>
          <w:numId w:val="1025"/>
        </w:numPr>
        <w:pStyle w:val="Compact"/>
      </w:pPr>
      <w:r>
        <w:rPr>
          <w:b/>
        </w:rPr>
        <w:t xml:space="preserve">Quién revisó:</w:t>
      </w:r>
      <w:r>
        <w:t xml:space="preserve"> </w:t>
      </w:r>
      <w:r>
        <w:t xml:space="preserve">No especificado nominalmente.</w:t>
      </w:r>
    </w:p>
    <w:p>
      <w:pPr>
        <w:numPr>
          <w:ilvl w:val="0"/>
          <w:numId w:val="1025"/>
        </w:numPr>
        <w:pStyle w:val="Compact"/>
      </w:pPr>
      <w:r>
        <w:rPr>
          <w:b/>
        </w:rPr>
        <w:t xml:space="preserve">Casos que la validan:</w:t>
      </w:r>
      <w:r>
        <w:t xml:space="preserve"> </w:t>
      </w:r>
      <w:r>
        <w:t xml:space="preserve">Sin caso de prueba identificado (no se usa en producción, ningún test la ejercita).</w:t>
      </w:r>
    </w:p>
    <w:p>
      <w:pPr>
        <w:numPr>
          <w:ilvl w:val="0"/>
          <w:numId w:val="1025"/>
        </w:numPr>
        <w:pStyle w:val="Compact"/>
      </w:pPr>
      <w:r>
        <w:rPr>
          <w:b/>
        </w:rPr>
        <w:t xml:space="preserve">Excepciones:</w:t>
      </w:r>
      <w:r>
        <w:t xml:space="preserve"> </w:t>
      </w:r>
      <w:r>
        <w:t xml:space="preserve">ninguna — código muerto, mantenido corregido</w:t>
      </w:r>
      <w:r>
        <w:t xml:space="preserve"> </w:t>
      </w:r>
      <w:r>
        <w:t xml:space="preserve">“</w:t>
      </w:r>
      <w:r>
        <w:t xml:space="preserve">por si en el futuro se reconecta</w:t>
      </w:r>
      <w:r>
        <w:t xml:space="preserve">”</w:t>
      </w:r>
      <w:r>
        <w:t xml:space="preserve"> </w:t>
      </w:r>
      <w:r>
        <w:t xml:space="preserve">para no reintroducir el bug</w:t>
      </w:r>
      <w:r>
        <w:t xml:space="preserve"> </w:t>
      </w:r>
      <w:r>
        <w:rPr>
          <w:rStyle w:val="VerbatimChar"/>
        </w:rPr>
        <w:t xml:space="preserve">p.tfg</w:t>
      </w:r>
      <w:r>
        <w:t xml:space="preserve">.</w:t>
      </w:r>
    </w:p>
    <w:p>
      <w:pPr>
        <w:numPr>
          <w:ilvl w:val="0"/>
          <w:numId w:val="1025"/>
        </w:numPr>
        <w:pStyle w:val="Compact"/>
      </w:pPr>
      <w:r>
        <w:rPr>
          <w:b/>
        </w:rPr>
        <w:t xml:space="preserve">Qué faltan datos:</w:t>
      </w:r>
      <w:r>
        <w:t xml:space="preserve"> </w:t>
      </w:r>
      <w:r>
        <w:t xml:space="preserve">mismo patrón de</w:t>
      </w:r>
      <w:r>
        <w:t xml:space="preserve"> </w:t>
      </w:r>
      <w:r>
        <w:rPr>
          <w:rStyle w:val="VerbatimChar"/>
        </w:rPr>
        <w:t xml:space="preserve">egfr &gt; 0</w:t>
      </w:r>
      <w:r>
        <w:t xml:space="preserve"> </w:t>
      </w:r>
      <w:r>
        <w:t xml:space="preserve">como guarda — si eGFR falta, la rama MODERADO/ALTO basada en eGFR bajo nunca se activa.</w:t>
      </w:r>
    </w:p>
    <w:p>
      <w:pPr>
        <w:numPr>
          <w:ilvl w:val="0"/>
          <w:numId w:val="1025"/>
        </w:numPr>
        <w:pStyle w:val="Compact"/>
      </w:pPr>
      <w:r>
        <w:rPr>
          <w:b/>
        </w:rPr>
        <w:t xml:space="preserve">Discrepancia entre guías:</w:t>
      </w:r>
      <w:r>
        <w:t xml:space="preserve"> </w:t>
      </w:r>
      <w:r>
        <w:t xml:space="preserve">el comentario aclara que tenía el MISMO bug de</w:t>
      </w:r>
      <w:r>
        <w:t xml:space="preserve"> </w:t>
      </w:r>
      <w:r>
        <w:rPr>
          <w:rStyle w:val="VerbatimChar"/>
        </w:rPr>
        <w:t xml:space="preserve">p.tfg</w:t>
      </w:r>
      <w:r>
        <w:t xml:space="preserve"> </w:t>
      </w:r>
      <w:r>
        <w:t xml:space="preserve">fantasma ya corregido en</w:t>
      </w:r>
      <w:r>
        <w:t xml:space="preserve"> </w:t>
      </w:r>
      <w:r>
        <w:rPr>
          <w:rStyle w:val="VerbatimChar"/>
        </w:rPr>
        <w:t xml:space="preserve">classifyLipidRisk</w:t>
      </w:r>
      <w:r>
        <w:t xml:space="preserve">; se corrigió aquí también preventivamente aunque nunca se ejecuta.</w:t>
      </w:r>
    </w:p>
    <w:p>
      <w:r>
        <w:pict>
          <v:rect style="width:0;height:1.5pt" o:hralign="center" o:hrstd="t" o:hr="t"/>
        </w:pict>
      </w:r>
    </w:p>
    <w:p>
      <w:pPr>
        <w:pStyle w:val="Heading2"/>
      </w:pPr>
      <w:bookmarkStart w:id="47" w:name="X9031f15d6a4492b222864a37ceec5b408a0ee8c"/>
      <w:r>
        <w:t xml:space="preserve">3. Motor de banderas clínicas (</w:t>
      </w:r>
      <w:r>
        <w:rPr>
          <w:rStyle w:val="VerbatimChar"/>
        </w:rPr>
        <w:t xml:space="preserve">getPatientFlags</w:t>
      </w:r>
      <w:r>
        <w:t xml:space="preserve">)</w:t>
      </w:r>
      <w:bookmarkEnd w:id="47"/>
    </w:p>
    <w:p>
      <w:pPr>
        <w:pStyle w:val="FirstParagraph"/>
      </w:pPr>
      <w:r>
        <w:t xml:space="preserve">Cada bandera es una regla derivada que gobierna selección terapéutica en los 4 planes. Se documentan en formato tabular por brevedad (fuente/fecha/revisor se indican solo donde el código los cita explícitamente).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Bandera</w:t>
            </w:r>
          </w:p>
        </w:tc>
        <w:tc>
          <w:tcPr>
            <w:tcBorders>
              <w:bottom w:val="single"/>
            </w:tcBorders>
            <w:vAlign w:val="bottom"/>
          </w:tcPr>
          <w:p>
            <w:pPr>
              <w:pStyle w:val="Compact"/>
              <w:jc w:val="left"/>
            </w:pPr>
            <w:r>
              <w:t xml:space="preserve">Qué hace (regla de derivación)</w:t>
            </w:r>
          </w:p>
        </w:tc>
        <w:tc>
          <w:tcPr>
            <w:tcBorders>
              <w:bottom w:val="single"/>
            </w:tcBorders>
            <w:vAlign w:val="bottom"/>
          </w:tcPr>
          <w:p>
            <w:pPr>
              <w:pStyle w:val="Compact"/>
              <w:jc w:val="left"/>
            </w:pPr>
            <w:r>
              <w:t xml:space="preserve">Por qué / Fuente</w:t>
            </w:r>
          </w:p>
        </w:tc>
        <w:tc>
          <w:tcPr>
            <w:tcBorders>
              <w:bottom w:val="single"/>
            </w:tcBorders>
            <w:vAlign w:val="bottom"/>
          </w:tcPr>
          <w:p>
            <w:pPr>
              <w:pStyle w:val="Compact"/>
              <w:jc w:val="left"/>
            </w:pPr>
            <w:r>
              <w:t xml:space="preserve">Fecha · Revisó</w:t>
            </w:r>
          </w:p>
        </w:tc>
        <w:tc>
          <w:tcPr>
            <w:tcBorders>
              <w:bottom w:val="single"/>
            </w:tcBorders>
            <w:vAlign w:val="bottom"/>
          </w:tcPr>
          <w:p>
            <w:pPr>
              <w:pStyle w:val="Compact"/>
              <w:jc w:val="left"/>
            </w:pPr>
            <w:r>
              <w:t xml:space="preserve">Validación en tests</w:t>
            </w:r>
          </w:p>
        </w:tc>
      </w:tr>
      <w:tr>
        <w:tc>
          <w:p>
            <w:pPr>
              <w:pStyle w:val="Compact"/>
              <w:jc w:val="left"/>
            </w:pPr>
            <w:r>
              <w:rPr>
                <w:rStyle w:val="VerbatimChar"/>
              </w:rPr>
              <w:t xml:space="preserve">egfr</w:t>
            </w:r>
          </w:p>
        </w:tc>
        <w:tc>
          <w:p>
            <w:pPr>
              <w:pStyle w:val="Compact"/>
              <w:jc w:val="left"/>
            </w:pPr>
            <w:r>
              <w:t xml:space="preserve">=</w:t>
            </w:r>
            <w:r>
              <w:t xml:space="preserve"> </w:t>
            </w:r>
            <w:r>
              <w:rPr>
                <w:rStyle w:val="VerbatimChar"/>
              </w:rPr>
              <w:t xml:space="preserve">calcEGFR(p)</w:t>
            </w:r>
          </w:p>
        </w:tc>
        <w:tc>
          <w:p>
            <w:pPr>
              <w:pStyle w:val="Compact"/>
              <w:jc w:val="left"/>
            </w:pPr>
            <w:r>
              <w:t xml:space="preserve">Insumo base renal</w:t>
            </w:r>
          </w:p>
        </w:tc>
        <w:tc>
          <w:p>
            <w:pPr>
              <w:pStyle w:val="Compact"/>
              <w:jc w:val="left"/>
            </w:pPr>
            <w:r>
              <w:t xml:space="preserve">Sin fecha propia</w:t>
            </w:r>
          </w:p>
        </w:tc>
        <w:tc>
          <w:p>
            <w:pPr>
              <w:pStyle w:val="Compact"/>
              <w:jc w:val="left"/>
            </w:pPr>
            <w:r>
              <w:t xml:space="preserve">A2, casos 1-4 multimórbidos</w:t>
            </w:r>
          </w:p>
        </w:tc>
      </w:tr>
      <w:tr>
        <w:tc>
          <w:p>
            <w:pPr>
              <w:pStyle w:val="Compact"/>
              <w:jc w:val="left"/>
            </w:pPr>
            <w:r>
              <w:rPr>
                <w:rStyle w:val="VerbatimChar"/>
              </w:rPr>
              <w:t xml:space="preserve">imc</w:t>
            </w:r>
          </w:p>
        </w:tc>
        <w:tc>
          <w:p>
            <w:pPr>
              <w:pStyle w:val="Compact"/>
              <w:jc w:val="left"/>
            </w:pPr>
            <w:r>
              <w:t xml:space="preserve">=</w:t>
            </w:r>
            <w:r>
              <w:t xml:space="preserve"> </w:t>
            </w:r>
            <w:r>
              <w:rPr>
                <w:rStyle w:val="VerbatimChar"/>
              </w:rPr>
              <w:t xml:space="preserve">calcIMC(p) \|\| 0</w:t>
            </w:r>
          </w:p>
        </w:tc>
        <w:tc>
          <w:p>
            <w:pPr>
              <w:pStyle w:val="Compact"/>
              <w:jc w:val="left"/>
            </w:pPr>
            <w:r>
              <w:t xml:space="preserve">Insumo base antropométrico</w:t>
            </w:r>
          </w:p>
        </w:tc>
        <w:tc>
          <w:p>
            <w:pPr>
              <w:pStyle w:val="Compact"/>
              <w:jc w:val="left"/>
            </w:pPr>
            <w:r>
              <w:t xml:space="preserve">Sin fecha propia</w:t>
            </w:r>
          </w:p>
        </w:tc>
        <w:tc>
          <w:p>
            <w:pPr>
              <w:pStyle w:val="Compact"/>
              <w:jc w:val="left"/>
            </w:pPr>
            <w:r>
              <w:t xml:space="preserve">Casos 1-4 multimórbidos</w:t>
            </w:r>
          </w:p>
        </w:tc>
      </w:tr>
      <w:tr>
        <w:tc>
          <w:p>
            <w:pPr>
              <w:pStyle w:val="Compact"/>
              <w:jc w:val="left"/>
            </w:pPr>
            <w:r>
              <w:rPr>
                <w:rStyle w:val="VerbatimChar"/>
              </w:rPr>
              <w:t xml:space="preserve">ic</w:t>
            </w:r>
          </w:p>
        </w:tc>
        <w:tc>
          <w:p>
            <w:pPr>
              <w:pStyle w:val="Compact"/>
              <w:jc w:val="left"/>
            </w:pPr>
            <w:r>
              <w:rPr>
                <w:rStyle w:val="VerbatimChar"/>
              </w:rPr>
              <w:t xml:space="preserve">hasComorb("IC")</w:t>
            </w:r>
          </w:p>
        </w:tc>
        <w:tc>
          <w:p>
            <w:pPr>
              <w:pStyle w:val="Compact"/>
              <w:jc w:val="left"/>
            </w:pPr>
            <w:r>
              <w:t xml:space="preserve">Checkbox directo de Insuficiencia Cardíaca</w:t>
            </w:r>
          </w:p>
        </w:tc>
        <w:tc>
          <w:p>
            <w:pPr>
              <w:pStyle w:val="Compact"/>
              <w:jc w:val="left"/>
            </w:pPr>
            <w:r>
              <w:t xml:space="preserve">Sin fecha propia</w:t>
            </w:r>
          </w:p>
        </w:tc>
        <w:tc>
          <w:p>
            <w:pPr>
              <w:pStyle w:val="Compact"/>
              <w:jc w:val="left"/>
            </w:pPr>
            <w:r>
              <w:t xml:space="preserve">A1 (IC→SGLT2i)</w:t>
            </w:r>
          </w:p>
        </w:tc>
      </w:tr>
      <w:tr>
        <w:tc>
          <w:p>
            <w:pPr>
              <w:pStyle w:val="Compact"/>
              <w:jc w:val="left"/>
            </w:pPr>
            <w:r>
              <w:rPr>
                <w:rStyle w:val="VerbatimChar"/>
              </w:rPr>
              <w:t xml:space="preserve">erc</w:t>
            </w:r>
          </w:p>
        </w:tc>
        <w:tc>
          <w:p>
            <w:pPr>
              <w:pStyle w:val="Compact"/>
              <w:jc w:val="left"/>
            </w:pPr>
            <w:r>
              <w:rPr>
                <w:rStyle w:val="VerbatimChar"/>
              </w:rPr>
              <w:t xml:space="preserve">hasComorb("ERC")</w:t>
            </w:r>
            <w:r>
              <w:t xml:space="preserve"> </w:t>
            </w:r>
            <w:r>
              <w:t xml:space="preserve">O</w:t>
            </w:r>
            <w:r>
              <w:t xml:space="preserve"> </w:t>
            </w:r>
            <w:r>
              <w:rPr>
                <w:rStyle w:val="VerbatimChar"/>
              </w:rPr>
              <w:t xml:space="preserve">(eGFR&gt;0 y &lt;60)</w:t>
            </w:r>
            <w:r>
              <w:t xml:space="preserve"> </w:t>
            </w:r>
            <w:r>
              <w:t xml:space="preserve">O</w:t>
            </w:r>
            <w:r>
              <w:t xml:space="preserve"> </w:t>
            </w:r>
            <w:r>
              <w:rPr>
                <w:rStyle w:val="VerbatimChar"/>
              </w:rPr>
              <w:t xml:space="preserve">UACR&gt;30</w:t>
            </w:r>
          </w:p>
        </w:tc>
        <w:tc>
          <w:p>
            <w:pPr>
              <w:pStyle w:val="Compact"/>
              <w:jc w:val="left"/>
            </w:pPr>
            <w:r>
              <w:t xml:space="preserve">ERC por checkbox, cálculo o albuminuria — 3 vías independientes</w:t>
            </w:r>
          </w:p>
        </w:tc>
        <w:tc>
          <w:p>
            <w:pPr>
              <w:pStyle w:val="Compact"/>
              <w:jc w:val="left"/>
            </w:pPr>
            <w:r>
              <w:t xml:space="preserve">Sin fecha propia</w:t>
            </w:r>
          </w:p>
        </w:tc>
        <w:tc>
          <w:p>
            <w:pPr>
              <w:pStyle w:val="Compact"/>
              <w:jc w:val="left"/>
            </w:pPr>
            <w:r>
              <w:t xml:space="preserve">A2, B4</w:t>
            </w:r>
          </w:p>
        </w:tc>
      </w:tr>
      <w:tr>
        <w:tc>
          <w:p>
            <w:pPr>
              <w:pStyle w:val="Compact"/>
              <w:jc w:val="left"/>
            </w:pPr>
            <w:r>
              <w:rPr>
                <w:rStyle w:val="VerbatimChar"/>
              </w:rPr>
              <w:t xml:space="preserve">ascvd</w:t>
            </w:r>
          </w:p>
        </w:tc>
        <w:tc>
          <w:p>
            <w:pPr>
              <w:pStyle w:val="Compact"/>
              <w:jc w:val="left"/>
            </w:pPr>
            <w:r>
              <w:rPr>
                <w:rStyle w:val="VerbatimChar"/>
              </w:rPr>
              <w:t xml:space="preserve">IAM_ANGINA</w:t>
            </w:r>
            <w:r>
              <w:t xml:space="preserve"> </w:t>
            </w:r>
            <w:r>
              <w:t xml:space="preserve">O</w:t>
            </w:r>
            <w:r>
              <w:t xml:space="preserve"> </w:t>
            </w:r>
            <w:r>
              <w:rPr>
                <w:rStyle w:val="VerbatimChar"/>
              </w:rPr>
              <w:t xml:space="preserve">EVC_AIT</w:t>
            </w:r>
            <w:r>
              <w:t xml:space="preserve"> </w:t>
            </w:r>
            <w:r>
              <w:t xml:space="preserve">O</w:t>
            </w:r>
            <w:r>
              <w:t xml:space="preserve"> </w:t>
            </w:r>
            <w:r>
              <w:rPr>
                <w:rStyle w:val="VerbatimChar"/>
              </w:rPr>
              <w:t xml:space="preserve">EAP</w:t>
            </w:r>
          </w:p>
        </w:tc>
        <w:tc>
          <w:p>
            <w:pPr>
              <w:pStyle w:val="Compact"/>
              <w:jc w:val="left"/>
            </w:pPr>
            <w:r>
              <w:t xml:space="preserve">Reemplaza el antiguo checkbox único</w:t>
            </w:r>
            <w:r>
              <w:t xml:space="preserve"> </w:t>
            </w:r>
            <w:r>
              <w:t xml:space="preserve">“</w:t>
            </w:r>
            <w:r>
              <w:t xml:space="preserve">ASCVD</w:t>
            </w:r>
            <w:r>
              <w:t xml:space="preserve">”</w:t>
            </w:r>
            <w:r>
              <w:t xml:space="preserve"> </w:t>
            </w:r>
            <w:r>
              <w:t xml:space="preserve">(vago) por 3 códigos específicos que en conjunto lo determinan</w:t>
            </w:r>
          </w:p>
        </w:tc>
        <w:tc>
          <w:p>
            <w:pPr>
              <w:pStyle w:val="Compact"/>
              <w:jc w:val="left"/>
            </w:pPr>
            <w:r>
              <w:t xml:space="preserve">Sin fecha propia en este bloque (parte del rediseño de comorbilidades)</w:t>
            </w:r>
          </w:p>
        </w:tc>
        <w:tc>
          <w:p>
            <w:pPr>
              <w:pStyle w:val="Compact"/>
              <w:jc w:val="left"/>
            </w:pPr>
            <w:r>
              <w:t xml:space="preserve">A3, C1, C3, Caso 4 multimórbido</w:t>
            </w:r>
          </w:p>
        </w:tc>
      </w:tr>
      <w:tr>
        <w:tc>
          <w:p>
            <w:pPr>
              <w:pStyle w:val="Compact"/>
              <w:jc w:val="left"/>
            </w:pPr>
            <w:r>
              <w:rPr>
                <w:rStyle w:val="VerbatimChar"/>
              </w:rPr>
              <w:t xml:space="preserve">stroke</w:t>
            </w:r>
          </w:p>
        </w:tc>
        <w:tc>
          <w:p>
            <w:pPr>
              <w:pStyle w:val="Compact"/>
              <w:jc w:val="left"/>
            </w:pPr>
            <w:r>
              <w:rPr>
                <w:rStyle w:val="VerbatimChar"/>
              </w:rPr>
              <w:t xml:space="preserve">EVC_AIT</w:t>
            </w:r>
          </w:p>
        </w:tc>
        <w:tc>
          <w:p>
            <w:pPr>
              <w:pStyle w:val="Compact"/>
              <w:jc w:val="left"/>
            </w:pPr>
            <w:r>
              <w:t xml:space="preserve">Bandera aparte para priorizar fármacos con beneficio en ACV (Dulaglutida/Semaglutida/Tirzepatida) — antes nunca usada pese a existir en pharma-db.js</w:t>
            </w:r>
          </w:p>
        </w:tc>
        <w:tc>
          <w:p>
            <w:pPr>
              <w:pStyle w:val="Compact"/>
              <w:jc w:val="left"/>
            </w:pPr>
            <w:r>
              <w:t xml:space="preserve">Sin fecha propia</w:t>
            </w:r>
          </w:p>
        </w:tc>
        <w:tc>
          <w:p>
            <w:pPr>
              <w:pStyle w:val="Compact"/>
              <w:jc w:val="left"/>
            </w:pPr>
            <w:r>
              <w:t xml:space="preserve">Sin caso de prueba identificado específico para</w:t>
            </w:r>
            <w:r>
              <w:t xml:space="preserve"> </w:t>
            </w:r>
            <w:r>
              <w:rPr>
                <w:rStyle w:val="VerbatimChar"/>
              </w:rPr>
              <w:t xml:space="preserve">stroke</w:t>
            </w:r>
          </w:p>
        </w:tc>
      </w:tr>
      <w:tr>
        <w:tc>
          <w:p>
            <w:pPr>
              <w:pStyle w:val="Compact"/>
              <w:jc w:val="left"/>
            </w:pPr>
            <w:r>
              <w:rPr>
                <w:rStyle w:val="VerbatimChar"/>
              </w:rPr>
              <w:t xml:space="preserve">masld</w:t>
            </w:r>
          </w:p>
        </w:tc>
        <w:tc>
          <w:p>
            <w:pPr>
              <w:pStyle w:val="Compact"/>
              <w:jc w:val="left"/>
            </w:pPr>
            <w:r>
              <w:rPr>
                <w:rStyle w:val="VerbatimChar"/>
              </w:rPr>
              <w:t xml:space="preserve">hasComorb("MASLD")</w:t>
            </w:r>
            <w:r>
              <w:t xml:space="preserve"> </w:t>
            </w:r>
            <w:r>
              <w:t xml:space="preserve">O</w:t>
            </w:r>
            <w:r>
              <w:t xml:space="preserve"> </w:t>
            </w:r>
            <w:r>
              <w:rPr>
                <w:rStyle w:val="VerbatimChar"/>
              </w:rPr>
              <w:t xml:space="preserve">fib4&gt;1.3</w:t>
            </w:r>
          </w:p>
        </w:tc>
        <w:tc>
          <w:p>
            <w:pPr>
              <w:pStyle w:val="Compact"/>
              <w:jc w:val="left"/>
            </w:pPr>
            <w:r>
              <w:t xml:space="preserve">Enfermedad hepática esteatósica metabólica, por checkbox o score</w:t>
            </w:r>
          </w:p>
        </w:tc>
        <w:tc>
          <w:p>
            <w:pPr>
              <w:pStyle w:val="Compact"/>
              <w:jc w:val="left"/>
            </w:pPr>
            <w:r>
              <w:t xml:space="preserve">Sin fecha propia</w:t>
            </w:r>
          </w:p>
        </w:tc>
        <w:tc>
          <w:p>
            <w:pPr>
              <w:pStyle w:val="Compact"/>
              <w:jc w:val="left"/>
            </w:pPr>
            <w:r>
              <w:t xml:space="preserve">Casos 1-3 multimórbidos (MASLD explícito)</w:t>
            </w:r>
          </w:p>
        </w:tc>
      </w:tr>
      <w:tr>
        <w:tc>
          <w:p>
            <w:pPr>
              <w:pStyle w:val="Compact"/>
              <w:jc w:val="left"/>
            </w:pPr>
            <w:r>
              <w:rPr>
                <w:rStyle w:val="VerbatimChar"/>
              </w:rPr>
              <w:t xml:space="preserve">men2</w:t>
            </w:r>
          </w:p>
        </w:tc>
        <w:tc>
          <w:p>
            <w:pPr>
              <w:pStyle w:val="Compact"/>
              <w:jc w:val="left"/>
            </w:pPr>
            <w:r>
              <w:rPr>
                <w:rStyle w:val="VerbatimChar"/>
              </w:rPr>
              <w:t xml:space="preserve">FAM_MEN2A</w:t>
            </w:r>
            <w:r>
              <w:t xml:space="preserve"> </w:t>
            </w:r>
            <w:r>
              <w:t xml:space="preserve">O</w:t>
            </w:r>
            <w:r>
              <w:t xml:space="preserve"> </w:t>
            </w:r>
            <w:r>
              <w:rPr>
                <w:rStyle w:val="VerbatimChar"/>
              </w:rPr>
              <w:t xml:space="preserve">FAM_CA_MEDULAR</w:t>
            </w:r>
          </w:p>
        </w:tc>
        <w:tc>
          <w:p>
            <w:pPr>
              <w:pStyle w:val="Compact"/>
              <w:jc w:val="left"/>
            </w:pPr>
            <w:r>
              <w:t xml:space="preserve">Contraindicación familiar a GLP-1/GIP</w:t>
            </w:r>
          </w:p>
        </w:tc>
        <w:tc>
          <w:p>
            <w:pPr>
              <w:pStyle w:val="Compact"/>
              <w:jc w:val="left"/>
            </w:pPr>
            <w:r>
              <w:t xml:space="preserve">Sin fecha propia</w:t>
            </w:r>
          </w:p>
        </w:tc>
        <w:tc>
          <w:p>
            <w:pPr>
              <w:pStyle w:val="Compact"/>
              <w:jc w:val="left"/>
            </w:pPr>
            <w:r>
              <w:t xml:space="preserve">Sin caso de prueba identificado directo (usado dentro de</w:t>
            </w:r>
            <w:r>
              <w:t xml:space="preserve"> </w:t>
            </w:r>
            <w:r>
              <w:rPr>
                <w:rStyle w:val="VerbatimChar"/>
              </w:rPr>
              <w:t xml:space="preserve">currentDrugIssue</w:t>
            </w:r>
            <w:r>
              <w:t xml:space="preserve">)</w:t>
            </w:r>
          </w:p>
        </w:tc>
      </w:tr>
      <w:tr>
        <w:tc>
          <w:p>
            <w:pPr>
              <w:pStyle w:val="Compact"/>
              <w:jc w:val="left"/>
            </w:pPr>
            <w:r>
              <w:rPr>
                <w:rStyle w:val="VerbatimChar"/>
              </w:rPr>
              <w:t xml:space="preserve">hipoRisk</w:t>
            </w:r>
          </w:p>
        </w:tc>
        <w:tc>
          <w:p>
            <w:pPr>
              <w:pStyle w:val="Compact"/>
              <w:jc w:val="left"/>
            </w:pPr>
            <w:r>
              <w:rPr>
                <w:rStyle w:val="VerbatimChar"/>
              </w:rPr>
              <w:t xml:space="preserve">FAM_HIPOGLUCEMIA</w:t>
            </w:r>
            <w:r>
              <w:t xml:space="preserve"> </w:t>
            </w:r>
            <w:r>
              <w:t xml:space="preserve">O</w:t>
            </w:r>
            <w:r>
              <w:t xml:space="preserve"> </w:t>
            </w:r>
            <w:r>
              <w:rPr>
                <w:rStyle w:val="VerbatimChar"/>
              </w:rPr>
              <w:t xml:space="preserve">HIPOGLUCEMIA_PERSONAL</w:t>
            </w:r>
          </w:p>
        </w:tc>
        <w:tc>
          <w:p>
            <w:pPr>
              <w:pStyle w:val="Compact"/>
              <w:jc w:val="left"/>
            </w:pPr>
            <w:r>
              <w:t xml:space="preserve">Antes solo existía antecedente FAMILIAR; se agregó el PERSONAL (al menos igual de relevante)</w:t>
            </w:r>
          </w:p>
        </w:tc>
        <w:tc>
          <w:p>
            <w:pPr>
              <w:pStyle w:val="Compact"/>
              <w:jc w:val="left"/>
            </w:pPr>
            <w:r>
              <w:t xml:space="preserve">Sin fecha propia en el comentario de este flag específico (parte de</w:t>
            </w:r>
            <w:r>
              <w:t xml:space="preserve"> </w:t>
            </w:r>
            <w:r>
              <w:t xml:space="preserve">“</w:t>
            </w:r>
            <w:r>
              <w:t xml:space="preserve">hallazgo de auditoría</w:t>
            </w:r>
            <w:r>
              <w:t xml:space="preserve">”</w:t>
            </w:r>
            <w:r>
              <w:t xml:space="preserve">)</w:t>
            </w:r>
          </w:p>
        </w:tc>
        <w:tc>
          <w:p>
            <w:pPr>
              <w:pStyle w:val="Compact"/>
              <w:jc w:val="left"/>
            </w:pPr>
            <w:r>
              <w:t xml:space="preserve">Sin caso de prueba identificado dedicado</w:t>
            </w:r>
          </w:p>
        </w:tc>
      </w:tr>
      <w:tr>
        <w:tc>
          <w:p>
            <w:pPr>
              <w:pStyle w:val="Compact"/>
              <w:jc w:val="left"/>
            </w:pPr>
            <w:r>
              <w:rPr>
                <w:rStyle w:val="VerbatimChar"/>
              </w:rPr>
              <w:t xml:space="preserve">fh</w:t>
            </w:r>
          </w:p>
        </w:tc>
        <w:tc>
          <w:p>
            <w:pPr>
              <w:pStyle w:val="Compact"/>
              <w:jc w:val="left"/>
            </w:pPr>
            <w:r>
              <w:rPr>
                <w:rStyle w:val="VerbatimChar"/>
              </w:rPr>
              <w:t xml:space="preserve">FAM_HIPERCOLESTEROLEMIA</w:t>
            </w:r>
          </w:p>
        </w:tc>
        <w:tc>
          <w:p>
            <w:pPr>
              <w:pStyle w:val="Compact"/>
              <w:jc w:val="left"/>
            </w:pPr>
            <w:r>
              <w:t xml:space="preserve">Habilita escalar a PCSK9i sin ASCVD establecida — cierra un vacío de datos previo</w:t>
            </w:r>
          </w:p>
        </w:tc>
        <w:tc>
          <w:p>
            <w:pPr>
              <w:pStyle w:val="Compact"/>
              <w:jc w:val="left"/>
            </w:pPr>
            <w:r>
              <w:t xml:space="preserve">Sin fecha propia</w:t>
            </w:r>
          </w:p>
        </w:tc>
        <w:tc>
          <w:p>
            <w:pPr>
              <w:pStyle w:val="Compact"/>
              <w:jc w:val="left"/>
            </w:pPr>
            <w:r>
              <w:t xml:space="preserve">C3 usa ASCVD, no FH — Sin caso de prueba identificado específico para la vía FH de PCSK9i</w:t>
            </w:r>
          </w:p>
        </w:tc>
      </w:tr>
      <w:tr>
        <w:tc>
          <w:p>
            <w:pPr>
              <w:pStyle w:val="Compact"/>
              <w:jc w:val="left"/>
            </w:pPr>
            <w:r>
              <w:rPr>
                <w:rStyle w:val="VerbatimChar"/>
              </w:rPr>
              <w:t xml:space="preserve">embarazo</w:t>
            </w:r>
          </w:p>
        </w:tc>
        <w:tc>
          <w:p>
            <w:pPr>
              <w:pStyle w:val="Compact"/>
              <w:jc w:val="left"/>
            </w:pPr>
            <w:r>
              <w:rPr>
                <w:rStyle w:val="VerbatimChar"/>
              </w:rPr>
              <w:t xml:space="preserve">EMBARAZO_ACTUAL</w:t>
            </w:r>
            <w:r>
              <w:t xml:space="preserve"> </w:t>
            </w:r>
            <w:r>
              <w:t xml:space="preserve">O</w:t>
            </w:r>
            <w:r>
              <w:t xml:space="preserve"> </w:t>
            </w:r>
            <w:r>
              <w:rPr>
                <w:rStyle w:val="VerbatimChar"/>
              </w:rPr>
              <w:t xml:space="preserve">EMBARAZO_POSIBLE</w:t>
            </w:r>
          </w:p>
        </w:tc>
        <w:tc>
          <w:p>
            <w:pPr>
              <w:pStyle w:val="Compact"/>
              <w:jc w:val="left"/>
            </w:pPr>
            <w:r>
              <w:t xml:space="preserve">Antes el motor no tenía NINGÚN dato para activar seguridad en embarazo pese a que el catálogo ya documentaba fármacos contraindicados</w:t>
            </w:r>
          </w:p>
        </w:tc>
        <w:tc>
          <w:p>
            <w:pPr>
              <w:pStyle w:val="Compact"/>
              <w:jc w:val="left"/>
            </w:pPr>
            <w:r>
              <w:t xml:space="preserve">11-ago-2026 (flag agregado) · 12-ago-2026 (separación en 2 checks) · Dr. Ortega</w:t>
            </w:r>
          </w:p>
        </w:tc>
        <w:tc>
          <w:p>
            <w:pPr>
              <w:pStyle w:val="Compact"/>
              <w:jc w:val="left"/>
            </w:pPr>
            <w:r>
              <w:t xml:space="preserve">Sin caso de prueba identificado en los 3 archivos revisados</w:t>
            </w:r>
          </w:p>
        </w:tc>
      </w:tr>
      <w:tr>
        <w:tc>
          <w:p>
            <w:pPr>
              <w:pStyle w:val="Compact"/>
              <w:jc w:val="left"/>
            </w:pPr>
            <w:r>
              <w:rPr>
                <w:rStyle w:val="VerbatimChar"/>
              </w:rPr>
              <w:t xml:space="preserve">obesidad</w:t>
            </w:r>
          </w:p>
        </w:tc>
        <w:tc>
          <w:p>
            <w:pPr>
              <w:pStyle w:val="Compact"/>
              <w:jc w:val="left"/>
            </w:pPr>
            <w:r>
              <w:rPr>
                <w:rStyle w:val="VerbatimChar"/>
              </w:rPr>
              <w:t xml:space="preserve">IMC≥30</w:t>
            </w:r>
            <w:r>
              <w:t xml:space="preserve"> </w:t>
            </w:r>
            <w:r>
              <w:t xml:space="preserve">O</w:t>
            </w:r>
            <w:r>
              <w:t xml:space="preserve"> </w:t>
            </w:r>
            <w:r>
              <w:rPr>
                <w:rStyle w:val="VerbatimChar"/>
              </w:rPr>
              <w:t xml:space="preserve">hasComorb("OBESIDAD")</w:t>
            </w:r>
            <w:r>
              <w:t xml:space="preserve"> </w:t>
            </w:r>
            <w:r>
              <w:t xml:space="preserve">O (</w:t>
            </w:r>
            <w:r>
              <w:rPr>
                <w:rStyle w:val="VerbatimChar"/>
              </w:rPr>
              <w:t xml:space="preserve">IMC≥27</w:t>
            </w:r>
            <w:r>
              <w:t xml:space="preserve"> </w:t>
            </w:r>
            <w:r>
              <w:t xml:space="preserve">Y alguna comorbilidad CV/HTA≥140)</w:t>
            </w:r>
          </w:p>
        </w:tc>
        <w:tc>
          <w:p>
            <w:pPr>
              <w:pStyle w:val="Compact"/>
              <w:jc w:val="left"/>
            </w:pPr>
            <w:r>
              <w:t xml:space="preserve">Criterio AACE ampliado — IMC≥27 con comorbilidad ya cuenta como obesidad para fines terapéuticos</w:t>
            </w:r>
          </w:p>
        </w:tc>
        <w:tc>
          <w:p>
            <w:pPr>
              <w:pStyle w:val="Compact"/>
              <w:jc w:val="left"/>
            </w:pPr>
            <w:r>
              <w:t xml:space="preserve">Sin fecha propia en este bloque</w:t>
            </w:r>
          </w:p>
        </w:tc>
        <w:tc>
          <w:p>
            <w:pPr>
              <w:pStyle w:val="Compact"/>
              <w:jc w:val="left"/>
            </w:pPr>
            <w:r>
              <w:t xml:space="preserve">A4, D1/D2 (obesidad), Caso 4 multimórbido</w:t>
            </w:r>
          </w:p>
        </w:tc>
      </w:tr>
      <w:tr>
        <w:tc>
          <w:p>
            <w:pPr>
              <w:pStyle w:val="Compact"/>
              <w:jc w:val="left"/>
            </w:pPr>
            <w:r>
              <w:rPr>
                <w:rStyle w:val="VerbatimChar"/>
              </w:rPr>
              <w:t xml:space="preserve">osteoartritis</w:t>
            </w:r>
          </w:p>
        </w:tc>
        <w:tc>
          <w:p>
            <w:pPr>
              <w:pStyle w:val="Compact"/>
              <w:jc w:val="left"/>
            </w:pPr>
            <w:r>
              <w:rPr>
                <w:rStyle w:val="VerbatimChar"/>
              </w:rPr>
              <w:t xml:space="preserve">hasComorb("OSTEOARTRITIS")</w:t>
            </w:r>
          </w:p>
        </w:tc>
        <w:tc>
          <w:p>
            <w:pPr>
              <w:pStyle w:val="Compact"/>
              <w:jc w:val="left"/>
            </w:pPr>
            <w:r>
              <w:t xml:space="preserve">ORCD moderada en estadificación ABCD (AACE) — antes se capturaba pero nunca se leía</w:t>
            </w:r>
          </w:p>
        </w:tc>
        <w:tc>
          <w:p>
            <w:pPr>
              <w:pStyle w:val="Compact"/>
              <w:jc w:val="left"/>
            </w:pPr>
            <w:r>
              <w:t xml:space="preserve">Sin fecha propia</w:t>
            </w:r>
          </w:p>
        </w:tc>
        <w:tc>
          <w:p>
            <w:pPr>
              <w:pStyle w:val="Compact"/>
              <w:jc w:val="left"/>
            </w:pPr>
            <w:r>
              <w:t xml:space="preserve">Sin caso de prueba identificado en calculations.js (alimenta</w:t>
            </w:r>
            <w:r>
              <w:t xml:space="preserve"> </w:t>
            </w:r>
            <w:r>
              <w:rPr>
                <w:rStyle w:val="VerbatimChar"/>
              </w:rPr>
              <w:t xml:space="preserve">individualization.js</w:t>
            </w:r>
            <w:r>
              <w:t xml:space="preserve">)</w:t>
            </w:r>
          </w:p>
        </w:tc>
      </w:tr>
      <w:tr>
        <w:tc>
          <w:p>
            <w:pPr>
              <w:pStyle w:val="Compact"/>
              <w:jc w:val="left"/>
            </w:pPr>
            <w:r>
              <w:rPr>
                <w:rStyle w:val="VerbatimChar"/>
              </w:rPr>
              <w:t xml:space="preserve">saos</w:t>
            </w:r>
          </w:p>
        </w:tc>
        <w:tc>
          <w:p>
            <w:pPr>
              <w:pStyle w:val="Compact"/>
              <w:jc w:val="left"/>
            </w:pPr>
            <w:r>
              <w:rPr>
                <w:rStyle w:val="VerbatimChar"/>
              </w:rPr>
              <w:t xml:space="preserve">hasComorb("SAOS")</w:t>
            </w:r>
          </w:p>
        </w:tc>
        <w:tc>
          <w:p>
            <w:pPr>
              <w:pStyle w:val="Compact"/>
              <w:jc w:val="left"/>
            </w:pPr>
            <w:r>
              <w:t xml:space="preserve">ORCD severa en ABCD — mismo hallazgo que osteoartritis</w:t>
            </w:r>
          </w:p>
        </w:tc>
        <w:tc>
          <w:p>
            <w:pPr>
              <w:pStyle w:val="Compact"/>
              <w:jc w:val="left"/>
            </w:pPr>
            <w:r>
              <w:t xml:space="preserve">Sin fecha propia</w:t>
            </w:r>
          </w:p>
        </w:tc>
        <w:tc>
          <w:p>
            <w:pPr>
              <w:pStyle w:val="Compact"/>
              <w:jc w:val="left"/>
            </w:pPr>
            <w:r>
              <w:t xml:space="preserve">Casos 2-4 multimórbidos (SAOS explícito)</w:t>
            </w:r>
          </w:p>
        </w:tc>
      </w:tr>
      <w:tr>
        <w:tc>
          <w:p>
            <w:pPr>
              <w:pStyle w:val="Compact"/>
              <w:jc w:val="left"/>
            </w:pPr>
            <w:r>
              <w:rPr>
                <w:rStyle w:val="VerbatimChar"/>
              </w:rPr>
              <w:t xml:space="preserve">pancreatitis</w:t>
            </w:r>
          </w:p>
        </w:tc>
        <w:tc>
          <w:p>
            <w:pPr>
              <w:pStyle w:val="Compact"/>
              <w:jc w:val="left"/>
            </w:pPr>
            <w:r>
              <w:rPr>
                <w:rStyle w:val="VerbatimChar"/>
              </w:rPr>
              <w:t xml:space="preserve">hasComorb("PANCREATITIS")</w:t>
            </w:r>
          </w:p>
        </w:tc>
        <w:tc>
          <w:p>
            <w:pPr>
              <w:pStyle w:val="Compact"/>
              <w:jc w:val="left"/>
            </w:pPr>
            <w:r>
              <w:t xml:space="preserve">Contraindicación reconocida a GLP-1/GIP (riesgo de recurrencia)</w:t>
            </w:r>
          </w:p>
        </w:tc>
        <w:tc>
          <w:p>
            <w:pPr>
              <w:pStyle w:val="Compact"/>
              <w:jc w:val="left"/>
            </w:pPr>
            <w:r>
              <w:t xml:space="preserve">Sin fecha propia</w:t>
            </w:r>
          </w:p>
        </w:tc>
        <w:tc>
          <w:p>
            <w:pPr>
              <w:pStyle w:val="Compact"/>
              <w:jc w:val="left"/>
            </w:pPr>
            <w:r>
              <w:t xml:space="preserve">Referenciada en el comentario</w:t>
            </w:r>
            <w:r>
              <w:t xml:space="preserve"> </w:t>
            </w:r>
            <w:r>
              <w:t xml:space="preserve">“</w:t>
            </w:r>
            <w:r>
              <w:t xml:space="preserve">H2</w:t>
            </w:r>
            <w:r>
              <w:t xml:space="preserve">”</w:t>
            </w:r>
            <w:r>
              <w:t xml:space="preserve"> </w:t>
            </w:r>
            <w:r>
              <w:t xml:space="preserve">de multimorbid pero no en los 3 archivos revisados directamente — Sin caso de prueba identificado en los archivos leídos</w:t>
            </w:r>
          </w:p>
        </w:tc>
      </w:tr>
      <w:tr>
        <w:tc>
          <w:p>
            <w:pPr>
              <w:pStyle w:val="Compact"/>
              <w:jc w:val="left"/>
            </w:pPr>
            <w:r>
              <w:rPr>
                <w:rStyle w:val="VerbatimChar"/>
              </w:rPr>
              <w:t xml:space="preserve">gastroparesia</w:t>
            </w:r>
          </w:p>
        </w:tc>
        <w:tc>
          <w:p>
            <w:pPr>
              <w:pStyle w:val="Compact"/>
              <w:jc w:val="left"/>
            </w:pPr>
            <w:r>
              <w:rPr>
                <w:rStyle w:val="VerbatimChar"/>
              </w:rPr>
              <w:t xml:space="preserve">hasComorb("GASTROPARESIA")</w:t>
            </w:r>
          </w:p>
        </w:tc>
        <w:tc>
          <w:p>
            <w:pPr>
              <w:pStyle w:val="Compact"/>
              <w:jc w:val="left"/>
            </w:pPr>
            <w:r>
              <w:t xml:space="preserve">Contraindicación a GLP-1/GIP (retraso del vaciamiento gástrico aditivo)</w:t>
            </w:r>
          </w:p>
        </w:tc>
        <w:tc>
          <w:p>
            <w:pPr>
              <w:pStyle w:val="Compact"/>
              <w:jc w:val="left"/>
            </w:pPr>
            <w:r>
              <w:t xml:space="preserve">Sin fecha propia</w:t>
            </w:r>
          </w:p>
        </w:tc>
        <w:tc>
          <w:p>
            <w:pPr>
              <w:pStyle w:val="Compact"/>
              <w:jc w:val="left"/>
            </w:pPr>
            <w:r>
              <w:t xml:space="preserve">Sin caso de prueba identificado en los 3 archivos revisados</w:t>
            </w:r>
          </w:p>
        </w:tc>
      </w:tr>
      <w:tr>
        <w:tc>
          <w:p>
            <w:pPr>
              <w:pStyle w:val="Compact"/>
              <w:jc w:val="left"/>
            </w:pPr>
            <w:r>
              <w:rPr>
                <w:rStyle w:val="VerbatimChar"/>
              </w:rPr>
              <w:t xml:space="preserve">angioedemaIeca</w:t>
            </w:r>
          </w:p>
        </w:tc>
        <w:tc>
          <w:p>
            <w:pPr>
              <w:pStyle w:val="Compact"/>
              <w:jc w:val="left"/>
            </w:pPr>
            <w:r>
              <w:rPr>
                <w:rStyle w:val="VerbatimChar"/>
              </w:rPr>
              <w:t xml:space="preserve">hasComorb("ANGIOEDEMA_IECA")</w:t>
            </w:r>
          </w:p>
        </w:tc>
        <w:tc>
          <w:p>
            <w:pPr>
              <w:pStyle w:val="Compact"/>
              <w:jc w:val="left"/>
            </w:pPr>
            <w:r>
              <w:t xml:space="preserve">Contraindicación ABSOLUTA de clase (mediada por bradicinina) — no hay</w:t>
            </w:r>
            <w:r>
              <w:t xml:space="preserve"> </w:t>
            </w:r>
            <w:r>
              <w:t xml:space="preserve">“</w:t>
            </w:r>
            <w:r>
              <w:t xml:space="preserve">IECA más seguro</w:t>
            </w:r>
            <w:r>
              <w:t xml:space="preserve">”</w:t>
            </w:r>
          </w:p>
        </w:tc>
        <w:tc>
          <w:p>
            <w:pPr>
              <w:pStyle w:val="Compact"/>
              <w:jc w:val="left"/>
            </w:pPr>
            <w:r>
              <w:t xml:space="preserve">Sin fecha propia</w:t>
            </w:r>
          </w:p>
        </w:tc>
        <w:tc>
          <w:p>
            <w:pPr>
              <w:pStyle w:val="Compact"/>
              <w:jc w:val="left"/>
            </w:pPr>
            <w:r>
              <w:t xml:space="preserve">Sin caso de prueba identificado en los 3 archivos revisados</w:t>
            </w:r>
          </w:p>
        </w:tc>
      </w:tr>
      <w:tr>
        <w:tc>
          <w:p>
            <w:pPr>
              <w:pStyle w:val="Compact"/>
              <w:jc w:val="left"/>
            </w:pPr>
            <w:r>
              <w:rPr>
                <w:rStyle w:val="VerbatimChar"/>
              </w:rPr>
              <w:t xml:space="preserve">tosIeca</w:t>
            </w:r>
          </w:p>
        </w:tc>
        <w:tc>
          <w:p>
            <w:pPr>
              <w:pStyle w:val="Compact"/>
              <w:jc w:val="left"/>
            </w:pPr>
            <w:r>
              <w:rPr>
                <w:rStyle w:val="VerbatimChar"/>
              </w:rPr>
              <w:t xml:space="preserve">hasComorb("TOS_IECA")</w:t>
            </w:r>
          </w:p>
        </w:tc>
        <w:tc>
          <w:p>
            <w:pPr>
              <w:pStyle w:val="Compact"/>
              <w:jc w:val="left"/>
            </w:pPr>
            <w:r>
              <w:t xml:space="preserve">Efecto de clase, mismo mecanismo — cambio permanente a ARA-II</w:t>
            </w:r>
          </w:p>
        </w:tc>
        <w:tc>
          <w:p>
            <w:pPr>
              <w:pStyle w:val="Compact"/>
              <w:jc w:val="left"/>
            </w:pPr>
            <w:r>
              <w:t xml:space="preserve">Sin fecha propia</w:t>
            </w:r>
          </w:p>
        </w:tc>
        <w:tc>
          <w:p>
            <w:pPr>
              <w:pStyle w:val="Compact"/>
              <w:jc w:val="left"/>
            </w:pPr>
            <w:r>
              <w:t xml:space="preserve">Sin caso de prueba identificado en los 3 archivos revisados</w:t>
            </w:r>
          </w:p>
        </w:tc>
      </w:tr>
      <w:tr>
        <w:tc>
          <w:p>
            <w:pPr>
              <w:pStyle w:val="Compact"/>
              <w:jc w:val="left"/>
            </w:pPr>
            <w:r>
              <w:rPr>
                <w:rStyle w:val="VerbatimChar"/>
              </w:rPr>
              <w:t xml:space="preserve">htnDescontrolada</w:t>
            </w:r>
          </w:p>
        </w:tc>
        <w:tc>
          <w:p>
            <w:pPr>
              <w:pStyle w:val="Compact"/>
              <w:jc w:val="left"/>
            </w:pPr>
            <w:r>
              <w:rPr>
                <w:rStyle w:val="VerbatimChar"/>
              </w:rPr>
              <w:t xml:space="preserve">TAS≥140</w:t>
            </w:r>
            <w:r>
              <w:t xml:space="preserve"> </w:t>
            </w:r>
            <w:r>
              <w:t xml:space="preserve">O</w:t>
            </w:r>
            <w:r>
              <w:t xml:space="preserve"> </w:t>
            </w:r>
            <w:r>
              <w:rPr>
                <w:rStyle w:val="VerbatimChar"/>
              </w:rPr>
              <w:t xml:space="preserve">TAD≥90</w:t>
            </w:r>
          </w:p>
        </w:tc>
        <w:tc>
          <w:p>
            <w:pPr>
              <w:pStyle w:val="Compact"/>
              <w:jc w:val="left"/>
            </w:pPr>
            <w:r>
              <w:t xml:space="preserve">Contraindicación de estimulantes (fentermina, naltrexona/bupropión) en HTA no controlada</w:t>
            </w:r>
          </w:p>
        </w:tc>
        <w:tc>
          <w:p>
            <w:pPr>
              <w:pStyle w:val="Compact"/>
              <w:jc w:val="left"/>
            </w:pPr>
            <w:r>
              <w:t xml:space="preserve">Sin fecha propia en este flag (hallazgo del</w:t>
            </w:r>
            <w:r>
              <w:t xml:space="preserve"> </w:t>
            </w:r>
            <w:r>
              <w:t xml:space="preserve">“</w:t>
            </w:r>
            <w:r>
              <w:t xml:space="preserve">grupo de obesidad</w:t>
            </w:r>
            <w:r>
              <w:t xml:space="preserve">”</w:t>
            </w:r>
            <w:r>
              <w:t xml:space="preserve">)</w:t>
            </w:r>
          </w:p>
        </w:tc>
        <w:tc>
          <w:p>
            <w:pPr>
              <w:pStyle w:val="Compact"/>
              <w:jc w:val="left"/>
            </w:pPr>
            <w:r>
              <w:t xml:space="preserve">Sin caso de prueba identificado directo</w:t>
            </w:r>
          </w:p>
        </w:tc>
      </w:tr>
      <w:tr>
        <w:tc>
          <w:p>
            <w:pPr>
              <w:pStyle w:val="Compact"/>
              <w:jc w:val="left"/>
            </w:pPr>
            <w:r>
              <w:rPr>
                <w:rStyle w:val="VerbatimChar"/>
              </w:rPr>
              <w:t xml:space="preserve">hiperglucemiaSevera</w:t>
            </w:r>
          </w:p>
        </w:tc>
        <w:tc>
          <w:p>
            <w:pPr>
              <w:pStyle w:val="Compact"/>
              <w:jc w:val="left"/>
            </w:pPr>
            <w:r>
              <w:rPr>
                <w:rStyle w:val="VerbatimChar"/>
              </w:rPr>
              <w:t xml:space="preserve">A1c_efectiva&gt;10</w:t>
            </w:r>
            <w:r>
              <w:t xml:space="preserve"> </w:t>
            </w:r>
            <w:r>
              <w:t xml:space="preserve">O</w:t>
            </w:r>
            <w:r>
              <w:t xml:space="preserve"> </w:t>
            </w:r>
            <w:r>
              <w:rPr>
                <w:rStyle w:val="VerbatimChar"/>
              </w:rPr>
              <w:t xml:space="preserve">glucosa&gt;300</w:t>
            </w:r>
          </w:p>
        </w:tc>
        <w:tc>
          <w:p>
            <w:pPr>
              <w:pStyle w:val="Compact"/>
              <w:jc w:val="left"/>
            </w:pPr>
            <w:r>
              <w:t xml:space="preserve">Dispara nota de insulina basal simultánea</w:t>
            </w:r>
          </w:p>
        </w:tc>
        <w:tc>
          <w:p>
            <w:pPr>
              <w:pStyle w:val="Compact"/>
              <w:jc w:val="left"/>
            </w:pPr>
            <w:r>
              <w:t xml:space="preserve">Sin fecha propia</w:t>
            </w:r>
          </w:p>
        </w:tc>
        <w:tc>
          <w:p>
            <w:pPr>
              <w:pStyle w:val="Compact"/>
              <w:jc w:val="left"/>
            </w:pPr>
            <w:r>
              <w:t xml:space="preserve">A6 (A1c 11.2%→nota de insulina)</w:t>
            </w:r>
          </w:p>
        </w:tc>
      </w:tr>
      <w:tr>
        <w:tc>
          <w:p>
            <w:pPr>
              <w:pStyle w:val="Compact"/>
              <w:jc w:val="left"/>
            </w:pPr>
            <w:r>
              <w:rPr>
                <w:rStyle w:val="VerbatimChar"/>
              </w:rPr>
              <w:t xml:space="preserve">accesoTier</w:t>
            </w:r>
          </w:p>
        </w:tc>
        <w:tc>
          <w:p>
            <w:pPr>
              <w:pStyle w:val="Compact"/>
              <w:jc w:val="left"/>
            </w:pPr>
            <w:r>
              <w:rPr>
                <w:rStyle w:val="VerbatimChar"/>
              </w:rPr>
              <w:t xml:space="preserve">ACCESS_TIER[p.nivelAcceso] \|\| 2</w:t>
            </w:r>
          </w:p>
        </w:tc>
        <w:tc>
          <w:p>
            <w:pPr>
              <w:pStyle w:val="Compact"/>
              <w:jc w:val="left"/>
            </w:pPr>
            <w:r>
              <w:t xml:space="preserve">Costo/acceso — default</w:t>
            </w:r>
            <w:r>
              <w:t xml:space="preserve"> </w:t>
            </w:r>
            <w:r>
              <w:t xml:space="preserve">“</w:t>
            </w:r>
            <w:r>
              <w:t xml:space="preserve">medio</w:t>
            </w:r>
            <w:r>
              <w:t xml:space="preserve">”</w:t>
            </w:r>
            <w:r>
              <w:t xml:space="preserve"> </w:t>
            </w:r>
            <w:r>
              <w:t xml:space="preserve">si no se captura</w:t>
            </w:r>
          </w:p>
        </w:tc>
        <w:tc>
          <w:p>
            <w:pPr>
              <w:pStyle w:val="Compact"/>
              <w:jc w:val="left"/>
            </w:pPr>
            <w:r>
              <w:t xml:space="preserve">Sin fecha propia</w:t>
            </w:r>
          </w:p>
        </w:tc>
        <w:tc>
          <w:p>
            <w:pPr>
              <w:pStyle w:val="Compact"/>
              <w:jc w:val="left"/>
            </w:pPr>
            <w:r>
              <w:t xml:space="preserve">Usado transversalmente en todos los casos (nivelAcceso:</w:t>
            </w:r>
            <w:r>
              <w:t xml:space="preserve">“</w:t>
            </w:r>
            <w:r>
              <w:t xml:space="preserve">medio</w:t>
            </w:r>
            <w:r>
              <w:t xml:space="preserve">”</w:t>
            </w:r>
            <w:r>
              <w:t xml:space="preserve">)</w:t>
            </w:r>
          </w:p>
        </w:tc>
      </w:tr>
      <w:tr>
        <w:tc>
          <w:p>
            <w:pPr>
              <w:pStyle w:val="Compact"/>
              <w:jc w:val="left"/>
            </w:pPr>
            <w:r>
              <w:rPr>
                <w:rStyle w:val="VerbatimChar"/>
              </w:rPr>
              <w:t xml:space="preserve">litio</w:t>
            </w:r>
          </w:p>
        </w:tc>
        <w:tc>
          <w:p>
            <w:pPr>
              <w:pStyle w:val="Compact"/>
              <w:jc w:val="left"/>
            </w:pPr>
            <w:r>
              <w:t xml:space="preserve">deriva de qué fármaco específico está en Medicación Actual →</w:t>
            </w:r>
            <w:r>
              <w:t xml:space="preserve"> </w:t>
            </w:r>
            <w:r>
              <w:t xml:space="preserve">“</w:t>
            </w:r>
            <w:r>
              <w:t xml:space="preserve">otros</w:t>
            </w:r>
            <w:r>
              <w:t xml:space="preserve">”</w:t>
            </w:r>
            <w:r>
              <w:t xml:space="preserve">,</w:t>
            </w:r>
            <w:r>
              <w:t xml:space="preserve"> </w:t>
            </w:r>
            <w:r>
              <w:rPr>
                <w:rStyle w:val="VerbatimChar"/>
              </w:rPr>
              <w:t xml:space="preserve">id==="LITIO"</w:t>
            </w:r>
          </w:p>
        </w:tc>
        <w:tc>
          <w:p>
            <w:pPr>
              <w:pStyle w:val="Compact"/>
              <w:jc w:val="left"/>
            </w:pPr>
            <w:r>
              <w:t xml:space="preserve">Antes era un booleano suelto sin fármaco específico — el expediente/PDF no mostraba nombre</w:t>
            </w:r>
          </w:p>
        </w:tc>
        <w:tc>
          <w:p>
            <w:pPr>
              <w:pStyle w:val="Compact"/>
              <w:jc w:val="left"/>
            </w:pPr>
            <w:r>
              <w:t xml:space="preserve">10-ago-2026 · hallazgo del Dr. Ortega (</w:t>
            </w:r>
            <w:r>
              <w:t xml:space="preserve">“</w:t>
            </w:r>
            <w:r>
              <w:t xml:space="preserve">¿cómo registra el médico CUÁL AINE/antipsicótico/TARV usa?</w:t>
            </w:r>
            <w:r>
              <w:t xml:space="preserve">”</w:t>
            </w:r>
            <w:r>
              <w:t xml:space="preserve">)</w:t>
            </w:r>
          </w:p>
        </w:tc>
        <w:tc>
          <w:p>
            <w:pPr>
              <w:pStyle w:val="Compact"/>
              <w:jc w:val="left"/>
            </w:pPr>
            <w:r>
              <w:t xml:space="preserve">Caso 51 (multimorbid, vía edge-cases)</w:t>
            </w:r>
          </w:p>
        </w:tc>
      </w:tr>
      <w:tr>
        <w:tc>
          <w:p>
            <w:pPr>
              <w:pStyle w:val="Compact"/>
              <w:jc w:val="left"/>
            </w:pPr>
            <w:r>
              <w:rPr>
                <w:rStyle w:val="VerbatimChar"/>
              </w:rPr>
              <w:t xml:space="preserve">tarvInhibidorProteasa</w:t>
            </w:r>
          </w:p>
        </w:tc>
        <w:tc>
          <w:p>
            <w:pPr>
              <w:pStyle w:val="Compact"/>
              <w:jc w:val="left"/>
            </w:pPr>
            <w:r>
              <w:rPr>
                <w:rStyle w:val="VerbatimChar"/>
              </w:rPr>
              <w:t xml:space="preserve">grp==="TARV Potenciado"</w:t>
            </w:r>
            <w:r>
              <w:t xml:space="preserve"> </w:t>
            </w:r>
            <w:r>
              <w:t xml:space="preserve">en Medicación Actual →</w:t>
            </w:r>
            <w:r>
              <w:t xml:space="preserve"> </w:t>
            </w:r>
            <w:r>
              <w:t xml:space="preserve">“</w:t>
            </w:r>
            <w:r>
              <w:t xml:space="preserve">otros</w:t>
            </w:r>
            <w:r>
              <w:t xml:space="preserve">”</w:t>
            </w:r>
          </w:p>
        </w:tc>
        <w:tc>
          <w:p>
            <w:pPr>
              <w:pStyle w:val="Compact"/>
              <w:jc w:val="left"/>
            </w:pPr>
            <w:r>
              <w:t xml:space="preserve">Ídem litio</w:t>
            </w:r>
          </w:p>
        </w:tc>
        <w:tc>
          <w:p>
            <w:pPr>
              <w:pStyle w:val="Compact"/>
              <w:jc w:val="left"/>
            </w:pPr>
            <w:r>
              <w:t xml:space="preserve">10-ago-2026 · Dr. Ortega</w:t>
            </w:r>
          </w:p>
        </w:tc>
        <w:tc>
          <w:p>
            <w:pPr>
              <w:pStyle w:val="Compact"/>
              <w:jc w:val="left"/>
            </w:pPr>
            <w:r>
              <w:t xml:space="preserve">Caso 54</w:t>
            </w:r>
          </w:p>
        </w:tc>
      </w:tr>
      <w:tr>
        <w:tc>
          <w:p>
            <w:pPr>
              <w:pStyle w:val="Compact"/>
              <w:jc w:val="left"/>
            </w:pPr>
            <w:r>
              <w:rPr>
                <w:rStyle w:val="VerbatimChar"/>
              </w:rPr>
              <w:t xml:space="preserve">aineReciente</w:t>
            </w:r>
          </w:p>
        </w:tc>
        <w:tc>
          <w:p>
            <w:pPr>
              <w:pStyle w:val="Compact"/>
              <w:jc w:val="left"/>
            </w:pPr>
            <w:r>
              <w:rPr>
                <w:rStyle w:val="VerbatimChar"/>
              </w:rPr>
              <w:t xml:space="preserve">grp==="AINE"</w:t>
            </w:r>
            <w:r>
              <w:t xml:space="preserve"> </w:t>
            </w:r>
            <w:r>
              <w:t xml:space="preserve">en Medicación Actual →</w:t>
            </w:r>
            <w:r>
              <w:t xml:space="preserve"> </w:t>
            </w:r>
            <w:r>
              <w:t xml:space="preserve">“</w:t>
            </w:r>
            <w:r>
              <w:t xml:space="preserve">otros</w:t>
            </w:r>
            <w:r>
              <w:t xml:space="preserve">”</w:t>
            </w:r>
          </w:p>
        </w:tc>
        <w:tc>
          <w:p>
            <w:pPr>
              <w:pStyle w:val="Compact"/>
              <w:jc w:val="left"/>
            </w:pPr>
            <w:r>
              <w:t xml:space="preserve">Ídem litio</w:t>
            </w:r>
          </w:p>
        </w:tc>
        <w:tc>
          <w:p>
            <w:pPr>
              <w:pStyle w:val="Compact"/>
              <w:jc w:val="left"/>
            </w:pPr>
            <w:r>
              <w:t xml:space="preserve">10-ago-2026 · Dr. Ortega</w:t>
            </w:r>
          </w:p>
        </w:tc>
        <w:tc>
          <w:p>
            <w:pPr>
              <w:pStyle w:val="Compact"/>
              <w:jc w:val="left"/>
            </w:pPr>
            <w:r>
              <w:t xml:space="preserve">Casos 45/47 (edge-cases)</w:t>
            </w:r>
          </w:p>
        </w:tc>
      </w:tr>
      <w:tr>
        <w:tc>
          <w:p>
            <w:pPr>
              <w:pStyle w:val="Compact"/>
              <w:jc w:val="left"/>
            </w:pPr>
            <w:r>
              <w:rPr>
                <w:rStyle w:val="VerbatimChar"/>
              </w:rPr>
              <w:t xml:space="preserve">antipsicoticoAltoRiesgo</w:t>
            </w:r>
          </w:p>
        </w:tc>
        <w:tc>
          <w:p>
            <w:pPr>
              <w:pStyle w:val="Compact"/>
              <w:jc w:val="left"/>
            </w:pPr>
            <w:r>
              <w:rPr>
                <w:rStyle w:val="VerbatimChar"/>
              </w:rPr>
              <w:t xml:space="preserve">grp==="Antipsicótico Alto Riesgo Metabólico"</w:t>
            </w:r>
            <w:r>
              <w:t xml:space="preserve"> </w:t>
            </w:r>
            <w:r>
              <w:t xml:space="preserve">en Medicación Actual →</w:t>
            </w:r>
            <w:r>
              <w:t xml:space="preserve"> </w:t>
            </w:r>
            <w:r>
              <w:t xml:space="preserve">“</w:t>
            </w:r>
            <w:r>
              <w:t xml:space="preserve">otros</w:t>
            </w:r>
            <w:r>
              <w:t xml:space="preserve">”</w:t>
            </w:r>
          </w:p>
        </w:tc>
        <w:tc>
          <w:p>
            <w:pPr>
              <w:pStyle w:val="Compact"/>
              <w:jc w:val="left"/>
            </w:pPr>
            <w:r>
              <w:t xml:space="preserve">Ídem litio</w:t>
            </w:r>
          </w:p>
        </w:tc>
        <w:tc>
          <w:p>
            <w:pPr>
              <w:pStyle w:val="Compact"/>
              <w:jc w:val="left"/>
            </w:pPr>
            <w:r>
              <w:t xml:space="preserve">10-ago-2026 · Dr. Ortega</w:t>
            </w:r>
          </w:p>
        </w:tc>
        <w:tc>
          <w:p>
            <w:pPr>
              <w:pStyle w:val="Compact"/>
              <w:jc w:val="left"/>
            </w:pPr>
            <w:r>
              <w:t xml:space="preserve">Caso 50 (edge-cases)</w:t>
            </w:r>
          </w:p>
        </w:tc>
      </w:tr>
    </w:tbl>
    <w:p>
      <w:pPr>
        <w:pStyle w:val="BodyText"/>
      </w:pPr>
      <w:r>
        <w:rPr>
          <w:b/>
        </w:rPr>
        <w:t xml:space="preserve">Fuente general de la sección:</w:t>
      </w:r>
      <w:r>
        <w:t xml:space="preserve"> </w:t>
      </w:r>
      <w:r>
        <w:t xml:space="preserve">AACE Algorithm for Management of Adults With T2D — 2026 Update (Fig. 6/7), citada en el comentario de cabecera del bloque completo de comorbilidades (línea 631 del archivo).</w:t>
      </w:r>
    </w:p>
    <w:p>
      <w:pPr>
        <w:pStyle w:val="BodyText"/>
      </w:pPr>
      <w:r>
        <w:rPr>
          <w:b/>
        </w:rPr>
        <w:t xml:space="preserve">Qué ocurre si faltan datos (patrón transversal de toda la tabla):</w:t>
      </w:r>
      <w:r>
        <w:t xml:space="preserve"> </w:t>
      </w:r>
      <w:r>
        <w:t xml:space="preserve">todas las banderas booleanas basadas en</w:t>
      </w:r>
      <w:r>
        <w:t xml:space="preserve"> </w:t>
      </w:r>
      <w:r>
        <w:rPr>
          <w:rStyle w:val="VerbatimChar"/>
        </w:rPr>
        <w:t xml:space="preserve">hasComorb</w:t>
      </w:r>
      <w:r>
        <w:t xml:space="preserve">/</w:t>
      </w:r>
      <w:r>
        <w:rPr>
          <w:rStyle w:val="VerbatimChar"/>
        </w:rPr>
        <w:t xml:space="preserve">hasFamHx</w:t>
      </w:r>
      <w:r>
        <w:t xml:space="preserve"> </w:t>
      </w:r>
      <w:r>
        <w:t xml:space="preserve">regresan</w:t>
      </w:r>
      <w:r>
        <w:t xml:space="preserve"> </w:t>
      </w:r>
      <w:r>
        <w:rPr>
          <w:rStyle w:val="VerbatimChar"/>
        </w:rPr>
        <w:t xml:space="preserve">false</w:t>
      </w:r>
      <w:r>
        <w:t xml:space="preserve"> </w:t>
      </w:r>
      <w:r>
        <w:t xml:space="preserve">si el arreglo</w:t>
      </w:r>
      <w:r>
        <w:t xml:space="preserve"> </w:t>
      </w:r>
      <w:r>
        <w:rPr>
          <w:rStyle w:val="VerbatimChar"/>
        </w:rPr>
        <w:t xml:space="preserve">p.comorbilidades</w:t>
      </w:r>
      <w:r>
        <w:t xml:space="preserve">/</w:t>
      </w:r>
      <w:r>
        <w:rPr>
          <w:rStyle w:val="VerbatimChar"/>
        </w:rPr>
        <w:t xml:space="preserve">p.antecedentesFamiliares</w:t>
      </w:r>
      <w:r>
        <w:t xml:space="preserve"> </w:t>
      </w:r>
      <w:r>
        <w:t xml:space="preserve">no existe o no incluye el código — comportamiento correcto y esperado para un checkbox no marcado, PERO</w:t>
      </w:r>
      <w:r>
        <w:t xml:space="preserve"> </w:t>
      </w:r>
      <w:r>
        <w:rPr>
          <w:b/>
        </w:rPr>
        <w:t xml:space="preserve">no distingue</w:t>
      </w:r>
      <w:r>
        <w:rPr>
          <w:b/>
        </w:rPr>
        <w:t xml:space="preserve"> </w:t>
      </w:r>
      <w:r>
        <w:rPr>
          <w:b/>
        </w:rPr>
        <w:t xml:space="preserve">“</w:t>
      </w:r>
      <w:r>
        <w:rPr>
          <w:b/>
        </w:rPr>
        <w:t xml:space="preserve">el médico revisó y no está presente</w:t>
      </w:r>
      <w:r>
        <w:rPr>
          <w:b/>
        </w:rPr>
        <w:t xml:space="preserve">”</w:t>
      </w:r>
      <w:r>
        <w:rPr>
          <w:b/>
        </w:rPr>
        <w:t xml:space="preserve"> </w:t>
      </w:r>
      <w:r>
        <w:rPr>
          <w:b/>
        </w:rPr>
        <w:t xml:space="preserve">de</w:t>
      </w:r>
      <w:r>
        <w:rPr>
          <w:b/>
        </w:rPr>
        <w:t xml:space="preserve"> </w:t>
      </w:r>
      <w:r>
        <w:rPr>
          <w:b/>
        </w:rPr>
        <w:t xml:space="preserve">“</w:t>
      </w:r>
      <w:r>
        <w:rPr>
          <w:b/>
        </w:rPr>
        <w:t xml:space="preserve">el médico nunca llegó a esa sección del formulario</w:t>
      </w:r>
      <w:r>
        <w:rPr>
          <w:b/>
        </w:rPr>
        <w:t xml:space="preserve">”</w:t>
      </w:r>
      <w:r>
        <w:t xml:space="preserve">. No hay ningún campo de</w:t>
      </w:r>
      <w:r>
        <w:t xml:space="preserve"> </w:t>
      </w:r>
      <w:r>
        <w:t xml:space="preserve">“</w:t>
      </w:r>
      <w:r>
        <w:t xml:space="preserve">no evaluado</w:t>
      </w:r>
      <w:r>
        <w:t xml:space="preserve">”</w:t>
      </w:r>
      <w:r>
        <w:t xml:space="preserve"> </w:t>
      </w:r>
      <w:r>
        <w:t xml:space="preserve">en el esquema de datos para estas banderas — a diferencia de</w:t>
      </w:r>
      <w:r>
        <w:t xml:space="preserve"> </w:t>
      </w:r>
      <w:r>
        <w:rPr>
          <w:rStyle w:val="VerbatimChar"/>
        </w:rPr>
        <w:t xml:space="preserve">getA1cEfectiva</w:t>
      </w:r>
      <w:r>
        <w:t xml:space="preserve">, que sí registra</w:t>
      </w:r>
      <w:r>
        <w:t xml:space="preserve"> </w:t>
      </w:r>
      <w:r>
        <w:rPr>
          <w:rStyle w:val="VerbatimChar"/>
        </w:rPr>
        <w:t xml:space="preserve">source: null</w:t>
      </w:r>
      <w:r>
        <w:t xml:space="preserve"> </w:t>
      </w:r>
      <w:r>
        <w:t xml:space="preserve">cuando no hay dato.</w:t>
      </w:r>
    </w:p>
    <w:p>
      <w:pPr>
        <w:pStyle w:val="BodyText"/>
      </w:pPr>
      <w:r>
        <w:rPr>
          <w:b/>
        </w:rPr>
        <w:t xml:space="preserve">Qué ocurre si dos guías discrepan:</w:t>
      </w:r>
      <w:r>
        <w:t xml:space="preserve"> </w:t>
      </w:r>
      <w:r>
        <w:t xml:space="preserve">no se documenta ningún caso de discrepancia entre guías dentro de esta función específica (las discrepancias relevantes están en</w:t>
      </w:r>
      <w:r>
        <w:t xml:space="preserve"> </w:t>
      </w:r>
      <w:r>
        <w:rPr>
          <w:rStyle w:val="VerbatimChar"/>
        </w:rPr>
        <w:t xml:space="preserve">classifyLipidRisk</w:t>
      </w:r>
      <w:r>
        <w:t xml:space="preserve">, ya documentada en 2.2).</w:t>
      </w:r>
    </w:p>
    <w:p>
      <w:r>
        <w:pict>
          <v:rect style="width:0;height:1.5pt" o:hralign="center" o:hrstd="t" o:hr="t"/>
        </w:pict>
      </w:r>
    </w:p>
    <w:p>
      <w:pPr>
        <w:pStyle w:val="Heading2"/>
      </w:pPr>
      <w:bookmarkStart w:id="48" w:name="X39fe02c15af6c64ed066efb67f5f767edd89887"/>
      <w:r>
        <w:t xml:space="preserve">4. Filtro de seguridad por fármaco (</w:t>
      </w:r>
      <w:r>
        <w:rPr>
          <w:rStyle w:val="VerbatimChar"/>
        </w:rPr>
        <w:t xml:space="preserve">currentDrugIssue</w:t>
      </w:r>
      <w:r>
        <w:t xml:space="preserve"> </w:t>
      </w:r>
      <w:r>
        <w:t xml:space="preserve">/</w:t>
      </w:r>
      <w:r>
        <w:t xml:space="preserve"> </w:t>
      </w:r>
      <w:r>
        <w:rPr>
          <w:rStyle w:val="VerbatimChar"/>
        </w:rPr>
        <w:t xml:space="preserve">filterSafe</w:t>
      </w:r>
      <w:r>
        <w:t xml:space="preserve">)</w:t>
      </w:r>
      <w:bookmarkEnd w:id="48"/>
    </w:p>
    <w:p>
      <w:pPr>
        <w:pStyle w:val="FirstParagraph"/>
      </w:pPr>
      <w:r>
        <w:rPr>
          <w:rStyle w:val="VerbatimChar"/>
        </w:rPr>
        <w:t xml:space="preserve">currentDrugIssue(drug, flags)</w:t>
      </w:r>
      <w:r>
        <w:t xml:space="preserve"> </w:t>
      </w:r>
      <w:r>
        <w:t xml:space="preserve">regresa el motivo textual de contraindicación de UN fármaco dado el estado clínico actual, o</w:t>
      </w:r>
      <w:r>
        <w:t xml:space="preserve"> </w:t>
      </w:r>
      <w:r>
        <w:rPr>
          <w:rStyle w:val="VerbatimChar"/>
        </w:rPr>
        <w:t xml:space="preserve">null</w:t>
      </w:r>
      <w:r>
        <w:t xml:space="preserve"> </w:t>
      </w:r>
      <w:r>
        <w:t xml:space="preserve">si no hay problema.</w:t>
      </w:r>
      <w:r>
        <w:t xml:space="preserve"> </w:t>
      </w:r>
      <w:r>
        <w:rPr>
          <w:rStyle w:val="VerbatimChar"/>
        </w:rPr>
        <w:t xml:space="preserve">filterSafe</w:t>
      </w:r>
      <w:r>
        <w:t xml:space="preserve"> </w:t>
      </w:r>
      <w:r>
        <w:t xml:space="preserve">lo usa para filtrar el pool completo antes de recomendar un fármaco nuevo. Cada</w:t>
      </w:r>
      <w:r>
        <w:t xml:space="preserve"> </w:t>
      </w:r>
      <w:r>
        <w:rPr>
          <w:rStyle w:val="VerbatimChar"/>
        </w:rPr>
        <w:t xml:space="preserve">if</w:t>
      </w:r>
      <w:r>
        <w:t xml:space="preserve"> </w:t>
      </w:r>
      <w:r>
        <w:t xml:space="preserve">es una regla discreta.</w:t>
      </w:r>
    </w:p>
    <w:p>
      <w:pPr>
        <w:pStyle w:val="Heading3"/>
      </w:pPr>
      <w:bookmarkStart w:id="49" w:name="regla-de-egfr-mínimo-seguro"/>
      <w:r>
        <w:t xml:space="preserve">4.1 Regla de eGFR mínimo seguro</w:t>
      </w:r>
      <w:bookmarkEnd w:id="49"/>
    </w:p>
    <w:p>
      <w:pPr>
        <w:numPr>
          <w:ilvl w:val="0"/>
          <w:numId w:val="1026"/>
        </w:numPr>
        <w:pStyle w:val="Compact"/>
      </w:pPr>
      <w:r>
        <w:rPr>
          <w:b/>
        </w:rPr>
        <w:t xml:space="preserve">Qué hace:</w:t>
      </w:r>
      <w:r>
        <w:t xml:space="preserve"> </w:t>
      </w:r>
      <w:r>
        <w:rPr>
          <w:rStyle w:val="VerbatimChar"/>
        </w:rPr>
        <w:t xml:space="preserve">if (drug.egfrMin &amp;&amp; flags.egfr &gt; 0 &amp;&amp; flags.egfr &lt; drug.egfrMin) return "eGFR ... por debajo del mínimo seguro..."</w:t>
      </w:r>
      <w:r>
        <w:t xml:space="preserve">.</w:t>
      </w:r>
    </w:p>
    <w:p>
      <w:pPr>
        <w:numPr>
          <w:ilvl w:val="0"/>
          <w:numId w:val="1026"/>
        </w:numPr>
        <w:pStyle w:val="Compact"/>
      </w:pPr>
      <w:r>
        <w:rPr>
          <w:b/>
        </w:rPr>
        <w:t xml:space="preserve">Por qué:</w:t>
      </w:r>
      <w:r>
        <w:t xml:space="preserve"> </w:t>
      </w:r>
      <w:r>
        <w:t xml:space="preserve">cada fármaco en</w:t>
      </w:r>
      <w:r>
        <w:t xml:space="preserve"> </w:t>
      </w:r>
      <w:r>
        <w:rPr>
          <w:rStyle w:val="VerbatimChar"/>
        </w:rPr>
        <w:t xml:space="preserve">pharma-db.js</w:t>
      </w:r>
      <w:r>
        <w:t xml:space="preserve"> </w:t>
      </w:r>
      <w:r>
        <w:t xml:space="preserve">declara su propio</w:t>
      </w:r>
      <w:r>
        <w:t xml:space="preserve"> </w:t>
      </w:r>
      <w:r>
        <w:rPr>
          <w:rStyle w:val="VerbatimChar"/>
        </w:rPr>
        <w:t xml:space="preserve">egfrMin</w:t>
      </w:r>
      <w:r>
        <w:t xml:space="preserve"> </w:t>
      </w:r>
      <w:r>
        <w:t xml:space="preserve">(ej. metformina 30, algunos iSGLT2 con umbrales distintos); esta regla generaliza el bloqueo renal a TODO el catálogo, no solo a metformina.</w:t>
      </w:r>
    </w:p>
    <w:p>
      <w:pPr>
        <w:numPr>
          <w:ilvl w:val="0"/>
          <w:numId w:val="1026"/>
        </w:numPr>
        <w:pStyle w:val="Compact"/>
      </w:pPr>
      <w:r>
        <w:rPr>
          <w:b/>
        </w:rPr>
        <w:t xml:space="preserve">Fuente:</w:t>
      </w:r>
      <w:r>
        <w:t xml:space="preserve"> </w:t>
      </w:r>
      <w:r>
        <w:t xml:space="preserve">fichas técnicas por fármaco en</w:t>
      </w:r>
      <w:r>
        <w:t xml:space="preserve"> </w:t>
      </w:r>
      <w:r>
        <w:rPr>
          <w:rStyle w:val="VerbatimChar"/>
        </w:rPr>
        <w:t xml:space="preserve">pharma-db.js</w:t>
      </w:r>
      <w:r>
        <w:t xml:space="preserve"> </w:t>
      </w:r>
      <w:r>
        <w:t xml:space="preserve">(no se cita una guía única aquí; el umbral vive en la base de datos de fármacos, fuera de este archivo).</w:t>
      </w:r>
    </w:p>
    <w:p>
      <w:pPr>
        <w:numPr>
          <w:ilvl w:val="0"/>
          <w:numId w:val="1026"/>
        </w:numPr>
        <w:pStyle w:val="Compact"/>
      </w:pPr>
      <w:r>
        <w:rPr>
          <w:b/>
        </w:rPr>
        <w:t xml:space="preserve">Versión de la fuente:</w:t>
      </w:r>
      <w:r>
        <w:t xml:space="preserve"> </w:t>
      </w:r>
      <w:r>
        <w:t xml:space="preserve">No especificada en el código — pendiente de documentar (depende del</w:t>
      </w:r>
      <w:r>
        <w:t xml:space="preserve"> </w:t>
      </w:r>
      <w:r>
        <w:rPr>
          <w:rStyle w:val="VerbatimChar"/>
        </w:rPr>
        <w:t xml:space="preserve">egfrMin</w:t>
      </w:r>
      <w:r>
        <w:t xml:space="preserve"> </w:t>
      </w:r>
      <w:r>
        <w:t xml:space="preserve">de cada fármaco en</w:t>
      </w:r>
      <w:r>
        <w:t xml:space="preserve"> </w:t>
      </w:r>
      <w:r>
        <w:rPr>
          <w:rStyle w:val="VerbatimChar"/>
        </w:rPr>
        <w:t xml:space="preserve">pharma-db.js</w:t>
      </w:r>
      <w:r>
        <w:t xml:space="preserve">).</w:t>
      </w:r>
    </w:p>
    <w:p>
      <w:pPr>
        <w:numPr>
          <w:ilvl w:val="0"/>
          <w:numId w:val="1026"/>
        </w:numPr>
        <w:pStyle w:val="Compact"/>
      </w:pPr>
      <w:r>
        <w:rPr>
          <w:b/>
        </w:rPr>
        <w:t xml:space="preserve">Fecha de revisión:</w:t>
      </w:r>
      <w:r>
        <w:t xml:space="preserve"> </w:t>
      </w:r>
      <w:r>
        <w:t xml:space="preserve">la generalización de este chequeo a TODOS los puntos de continuación (no solo al armar el pool de un fármaco nuevo) se documenta como corrección de</w:t>
      </w:r>
      <w:r>
        <w:t xml:space="preserve"> </w:t>
      </w:r>
      <w:r>
        <w:t xml:space="preserve">“</w:t>
      </w:r>
      <w:r>
        <w:t xml:space="preserve">la misma ronda de auditoría que el hallazgo de metformina/eGFR&lt;30</w:t>
      </w:r>
      <w:r>
        <w:t xml:space="preserve">”</w:t>
      </w:r>
      <w:r>
        <w:t xml:space="preserve"> </w:t>
      </w:r>
      <w:r>
        <w:t xml:space="preserve">— sin fecha exacta en este comentario específico, pero el hallazgo hermano de metformina sí tiene fecha (ver Plan Antidiabético, sección 5.9:</w:t>
      </w:r>
      <w:r>
        <w:t xml:space="preserve"> </w:t>
      </w:r>
      <w:r>
        <w:t xml:space="preserve">“</w:t>
      </w:r>
      <w:r>
        <w:t xml:space="preserve">misma ronda de auditoría</w:t>
      </w:r>
      <w:r>
        <w:t xml:space="preserve">”</w:t>
      </w:r>
      <w:r>
        <w:t xml:space="preserve">).</w:t>
      </w:r>
    </w:p>
    <w:p>
      <w:pPr>
        <w:numPr>
          <w:ilvl w:val="0"/>
          <w:numId w:val="1026"/>
        </w:numPr>
        <w:pStyle w:val="Compact"/>
      </w:pPr>
      <w:r>
        <w:rPr>
          <w:b/>
        </w:rPr>
        <w:t xml:space="preserve">Quién revisó:</w:t>
      </w:r>
      <w:r>
        <w:t xml:space="preserve"> </w:t>
      </w:r>
      <w:r>
        <w:t xml:space="preserve">No especificado nominalmente en este comentario puntual (el comentario de cabecera de la función dice</w:t>
      </w:r>
      <w:r>
        <w:t xml:space="preserve"> </w:t>
      </w:r>
      <w:r>
        <w:t xml:space="preserve">“</w:t>
      </w:r>
      <w:r>
        <w:t xml:space="preserve">auditoría</w:t>
      </w:r>
      <w:r>
        <w:t xml:space="preserve">”</w:t>
      </w:r>
      <w:r>
        <w:t xml:space="preserve">).</w:t>
      </w:r>
    </w:p>
    <w:p>
      <w:pPr>
        <w:numPr>
          <w:ilvl w:val="0"/>
          <w:numId w:val="1026"/>
        </w:numPr>
        <w:pStyle w:val="Compact"/>
      </w:pPr>
      <w:r>
        <w:rPr>
          <w:b/>
        </w:rPr>
        <w:t xml:space="preserve">Casos que la validan:</w:t>
      </w:r>
      <w:r>
        <w:t xml:space="preserve"> </w:t>
      </w:r>
      <w:r>
        <w:t xml:space="preserve">indirectamente por Caso 51 (litio bloquea RAAS, no eGFR, pero ejercita</w:t>
      </w:r>
      <w:r>
        <w:t xml:space="preserve"> </w:t>
      </w:r>
      <w:r>
        <w:rPr>
          <w:rStyle w:val="VerbatimChar"/>
        </w:rPr>
        <w:t xml:space="preserve">currentDrugIssue</w:t>
      </w:r>
      <w:r>
        <w:t xml:space="preserve">); metformina eGFR&lt;30/30-45 se valida en el motor antidiabético (ver 5.9) pero</w:t>
      </w:r>
      <w:r>
        <w:t xml:space="preserve"> </w:t>
      </w:r>
      <w:r>
        <w:rPr>
          <w:b/>
        </w:rPr>
        <w:t xml:space="preserve">usa su propia lógica explícita duplicada, no pasa por esta regla genérica de</w:t>
      </w:r>
      <w:r>
        <w:rPr>
          <w:b/>
        </w:rPr>
        <w:t xml:space="preserve"> </w:t>
      </w:r>
      <w:r>
        <w:rPr>
          <w:rStyle w:val="VerbatimChar"/>
          <w:b/>
        </w:rPr>
        <w:t xml:space="preserve">currentDrugIssue</w:t>
      </w:r>
      <w:r>
        <w:t xml:space="preserve"> </w:t>
      </w:r>
      <w:r>
        <w:t xml:space="preserve">— Sin caso de prueba identificado que ejercite específicamente</w:t>
      </w:r>
      <w:r>
        <w:t xml:space="preserve"> </w:t>
      </w:r>
      <w:r>
        <w:rPr>
          <w:rStyle w:val="VerbatimChar"/>
        </w:rPr>
        <w:t xml:space="preserve">egfrMin</w:t>
      </w:r>
      <w:r>
        <w:t xml:space="preserve"> </w:t>
      </w:r>
      <w:r>
        <w:t xml:space="preserve">de un fármaco NO-metformina (ej. un iSGLT2 con eGFR por debajo de su propio umbral).</w:t>
      </w:r>
    </w:p>
    <w:p>
      <w:pPr>
        <w:numPr>
          <w:ilvl w:val="0"/>
          <w:numId w:val="1026"/>
        </w:numPr>
        <w:pStyle w:val="Compact"/>
      </w:pPr>
      <w:r>
        <w:rPr>
          <w:b/>
        </w:rPr>
        <w:t xml:space="preserve">Excepciones:</w:t>
      </w:r>
      <w:r>
        <w:t xml:space="preserve"> </w:t>
      </w:r>
      <w:r>
        <w:t xml:space="preserve">ninguna — aplica a cualquier fármaco con</w:t>
      </w:r>
      <w:r>
        <w:t xml:space="preserve"> </w:t>
      </w:r>
      <w:r>
        <w:rPr>
          <w:rStyle w:val="VerbatimChar"/>
        </w:rPr>
        <w:t xml:space="preserve">egfrMin</w:t>
      </w:r>
      <w:r>
        <w:t xml:space="preserve"> </w:t>
      </w:r>
      <w:r>
        <w:t xml:space="preserve">definido en su ficha.</w:t>
      </w:r>
    </w:p>
    <w:p>
      <w:pPr>
        <w:numPr>
          <w:ilvl w:val="0"/>
          <w:numId w:val="1026"/>
        </w:numPr>
        <w:pStyle w:val="Compact"/>
      </w:pPr>
      <w:r>
        <w:rPr>
          <w:b/>
        </w:rPr>
        <w:t xml:space="preserve">Qué faltan datos — HUECO CONOCIDO Y EXPLÍCITAMENTE SEÑALADO POR EL EQUIPO:</w:t>
      </w:r>
      <w:r>
        <w:t xml:space="preserve"> </w:t>
      </w:r>
      <w:r>
        <w:t xml:space="preserve">la guarda es</w:t>
      </w:r>
      <w:r>
        <w:t xml:space="preserve"> </w:t>
      </w:r>
      <w:r>
        <w:rPr>
          <w:rStyle w:val="VerbatimChar"/>
        </w:rPr>
        <w:t xml:space="preserve">flags.egfr &gt; 0 &amp;&amp; flags.egfr &lt; drug.egfrMin</w:t>
      </w:r>
      <w:r>
        <w:t xml:space="preserve">. Si falta la creatinina (y no hay</w:t>
      </w:r>
      <w:r>
        <w:t xml:space="preserve"> </w:t>
      </w:r>
      <w:r>
        <w:rPr>
          <w:rStyle w:val="VerbatimChar"/>
        </w:rPr>
        <w:t xml:space="preserve">p.tfg</w:t>
      </w:r>
      <w:r>
        <w:t xml:space="preserve"> </w:t>
      </w:r>
      <w:r>
        <w:t xml:space="preserve">manual),</w:t>
      </w:r>
      <w:r>
        <w:t xml:space="preserve"> </w:t>
      </w:r>
      <w:r>
        <w:rPr>
          <w:rStyle w:val="VerbatimChar"/>
        </w:rPr>
        <w:t xml:space="preserve">calcEGFR</w:t>
      </w:r>
      <w:r>
        <w:t xml:space="preserve"> </w:t>
      </w:r>
      <w:r>
        <w:t xml:space="preserve">regresa</w:t>
      </w:r>
      <w:r>
        <w:t xml:space="preserve"> </w:t>
      </w:r>
      <w:r>
        <w:rPr>
          <w:rStyle w:val="VerbatimChar"/>
        </w:rPr>
        <w:t xml:space="preserve">0</w:t>
      </w:r>
      <w:r>
        <w:t xml:space="preserve">, y</w:t>
      </w:r>
      <w:r>
        <w:t xml:space="preserve"> </w:t>
      </w:r>
      <w:r>
        <w:rPr>
          <w:rStyle w:val="VerbatimChar"/>
        </w:rPr>
        <w:t xml:space="preserve">flags.egfr &gt; 0</w:t>
      </w:r>
      <w:r>
        <w:t xml:space="preserve"> </w:t>
      </w:r>
      <w:r>
        <w:t xml:space="preserve">es</w:t>
      </w:r>
      <w:r>
        <w:t xml:space="preserve"> </w:t>
      </w:r>
      <w:r>
        <w:rPr>
          <w:rStyle w:val="VerbatimChar"/>
        </w:rPr>
        <w:t xml:space="preserve">false</w:t>
      </w:r>
      <w:r>
        <w:t xml:space="preserve"> </w:t>
      </w:r>
      <w:r>
        <w:t xml:space="preserve">—</w:t>
      </w:r>
      <w:r>
        <w:t xml:space="preserve"> </w:t>
      </w:r>
      <w:r>
        <w:rPr>
          <w:b/>
        </w:rPr>
        <w:t xml:space="preserve">el chequeo de eGFR mínimo seguro se OMITE POR COMPLETO EN SILENCIO</w:t>
      </w:r>
      <w:r>
        <w:t xml:space="preserve">, sin generar ninguna advertencia de</w:t>
      </w:r>
      <w:r>
        <w:t xml:space="preserve"> </w:t>
      </w:r>
      <w:r>
        <w:t xml:space="preserve">“</w:t>
      </w:r>
      <w:r>
        <w:t xml:space="preserve">no se pudo verificar seguridad renal</w:t>
      </w:r>
      <w:r>
        <w:t xml:space="preserve">”</w:t>
      </w:r>
      <w:r>
        <w:t xml:space="preserve">. Un fármaco realmente inseguro para un paciente con función renal desconocida (que podría estar muy deteriorada) pasaría el filtro</w:t>
      </w:r>
      <w:r>
        <w:t xml:space="preserve"> </w:t>
      </w:r>
      <w:r>
        <w:rPr>
          <w:rStyle w:val="VerbatimChar"/>
        </w:rPr>
        <w:t xml:space="preserve">filterSafe</w:t>
      </w:r>
      <w:r>
        <w:t xml:space="preserve"> </w:t>
      </w:r>
      <w:r>
        <w:t xml:space="preserve">como si fuera seguro. Este es el hueco que el propio prompt de esta auditoría identificó como</w:t>
      </w:r>
      <w:r>
        <w:t xml:space="preserve"> </w:t>
      </w:r>
      <w:r>
        <w:t xml:space="preserve">“</w:t>
      </w:r>
      <w:r>
        <w:t xml:space="preserve">ya conocido e importante</w:t>
      </w:r>
      <w:r>
        <w:t xml:space="preserve">”</w:t>
      </w:r>
      <w:r>
        <w:t xml:space="preserve">, y se confirma leyendo el código: no existe ninguna rama</w:t>
      </w:r>
      <w:r>
        <w:t xml:space="preserve"> </w:t>
      </w:r>
      <w:r>
        <w:rPr>
          <w:rStyle w:val="VerbatimChar"/>
        </w:rPr>
        <w:t xml:space="preserve">else</w:t>
      </w:r>
      <w:r>
        <w:t xml:space="preserve"> </w:t>
      </w:r>
      <w:r>
        <w:t xml:space="preserve">que distinga</w:t>
      </w:r>
      <w:r>
        <w:t xml:space="preserve"> </w:t>
      </w:r>
      <w:r>
        <w:t xml:space="preserve">“</w:t>
      </w:r>
      <w:r>
        <w:t xml:space="preserve">eGFR=0 porque es sano</w:t>
      </w:r>
      <w:r>
        <w:t xml:space="preserve">”</w:t>
      </w:r>
      <w:r>
        <w:t xml:space="preserve"> </w:t>
      </w:r>
      <w:r>
        <w:t xml:space="preserve">de</w:t>
      </w:r>
      <w:r>
        <w:t xml:space="preserve"> </w:t>
      </w:r>
      <w:r>
        <w:t xml:space="preserve">“</w:t>
      </w:r>
      <w:r>
        <w:t xml:space="preserve">eGFR=0 porque no se midió</w:t>
      </w:r>
      <w:r>
        <w:t xml:space="preserve">”</w:t>
      </w:r>
      <w:r>
        <w:t xml:space="preserve">.</w:t>
      </w:r>
    </w:p>
    <w:p>
      <w:pPr>
        <w:numPr>
          <w:ilvl w:val="0"/>
          <w:numId w:val="1026"/>
        </w:numPr>
        <w:pStyle w:val="Compact"/>
      </w:pPr>
      <w:r>
        <w:rPr>
          <w:b/>
        </w:rPr>
        <w:t xml:space="preserve">Discrepancia entre guías:</w:t>
      </w:r>
      <w:r>
        <w:t xml:space="preserve"> </w:t>
      </w:r>
      <w:r>
        <w:t xml:space="preserve">no aplica (no hay conflicto entre guías en esta regla puntual).</w:t>
      </w:r>
    </w:p>
    <w:p>
      <w:pPr>
        <w:pStyle w:val="Heading3"/>
      </w:pPr>
      <w:bookmarkStart w:id="50" w:name="X34cb0640fcae0d773db2204e1248b54f03cbe8d"/>
      <w:r>
        <w:t xml:space="preserve">4.2 Interacción con litio (delegada a</w:t>
      </w:r>
      <w:r>
        <w:t xml:space="preserve"> </w:t>
      </w:r>
      <w:r>
        <w:rPr>
          <w:rStyle w:val="VerbatimChar"/>
        </w:rPr>
        <w:t xml:space="preserve">psychiatry.js</w:t>
      </w:r>
      <w:r>
        <w:t xml:space="preserve">)</w:t>
      </w:r>
      <w:bookmarkEnd w:id="50"/>
    </w:p>
    <w:p>
      <w:pPr>
        <w:numPr>
          <w:ilvl w:val="0"/>
          <w:numId w:val="1027"/>
        </w:numPr>
        <w:pStyle w:val="Compact"/>
      </w:pPr>
      <w:r>
        <w:rPr>
          <w:b/>
        </w:rPr>
        <w:t xml:space="preserve">Qué hace:</w:t>
      </w:r>
      <w:r>
        <w:t xml:space="preserve"> </w:t>
      </w:r>
      <w:r>
        <w:t xml:space="preserve">llama a</w:t>
      </w:r>
      <w:r>
        <w:t xml:space="preserve"> </w:t>
      </w:r>
      <w:r>
        <w:rPr>
          <w:rStyle w:val="VerbatimChar"/>
        </w:rPr>
        <w:t xml:space="preserve">getLithiumInteractionReason(drug, flags)</w:t>
      </w:r>
      <w:r>
        <w:t xml:space="preserve"> </w:t>
      </w:r>
      <w:r>
        <w:t xml:space="preserve">— bloqueo de CLASE (IECA/ARA-II/Tiazida) cuando hay litio concurrente, evaluado por</w:t>
      </w:r>
      <w:r>
        <w:t xml:space="preserve"> </w:t>
      </w:r>
      <w:r>
        <w:rPr>
          <w:rStyle w:val="VerbatimChar"/>
        </w:rPr>
        <w:t xml:space="preserve">drug.grp</w:t>
      </w:r>
      <w:r>
        <w:t xml:space="preserve">, no por fármaco individual.</w:t>
      </w:r>
    </w:p>
    <w:p>
      <w:pPr>
        <w:numPr>
          <w:ilvl w:val="0"/>
          <w:numId w:val="1027"/>
        </w:numPr>
        <w:pStyle w:val="Compact"/>
      </w:pPr>
      <w:r>
        <w:rPr>
          <w:b/>
        </w:rPr>
        <w:t xml:space="preserve">Por qué:</w:t>
      </w:r>
      <w:r>
        <w:t xml:space="preserve"> </w:t>
      </w:r>
      <w:r>
        <w:t xml:space="preserve">litio + estas 3 clases eleva litemia por mecanismos distintos según la clase (reducción de eliminación renal de litio).</w:t>
      </w:r>
    </w:p>
    <w:p>
      <w:pPr>
        <w:numPr>
          <w:ilvl w:val="0"/>
          <w:numId w:val="1027"/>
        </w:numPr>
        <w:pStyle w:val="Compact"/>
      </w:pPr>
      <w:r>
        <w:rPr>
          <w:b/>
        </w:rPr>
        <w:t xml:space="preserve">Fuente:</w:t>
      </w:r>
      <w:r>
        <w:t xml:space="preserve"> </w:t>
      </w:r>
      <w:r>
        <w:t xml:space="preserve">delegada a</w:t>
      </w:r>
      <w:r>
        <w:t xml:space="preserve"> </w:t>
      </w:r>
      <w:r>
        <w:rPr>
          <w:rStyle w:val="VerbatimChar"/>
        </w:rPr>
        <w:t xml:space="preserve">psychiatry.js</w:t>
      </w:r>
      <w:r>
        <w:t xml:space="preserve"> </w:t>
      </w:r>
      <w:r>
        <w:t xml:space="preserve">— no se repite la cita aquí; el comentario referencia</w:t>
      </w:r>
      <w:r>
        <w:t xml:space="preserve"> </w:t>
      </w:r>
      <w:r>
        <w:t xml:space="preserve">“</w:t>
      </w:r>
      <w:r>
        <w:t xml:space="preserve">DOMINIO 3 — Caso 51</w:t>
      </w:r>
      <w:r>
        <w:t xml:space="preserve">”</w:t>
      </w:r>
      <w:r>
        <w:t xml:space="preserve">.</w:t>
      </w:r>
    </w:p>
    <w:p>
      <w:pPr>
        <w:numPr>
          <w:ilvl w:val="0"/>
          <w:numId w:val="1027"/>
        </w:numPr>
        <w:pStyle w:val="Compact"/>
      </w:pPr>
      <w:r>
        <w:rPr>
          <w:b/>
        </w:rPr>
        <w:t xml:space="preserve">Versión de la fuente:</w:t>
      </w:r>
      <w:r>
        <w:t xml:space="preserve"> </w:t>
      </w:r>
      <w:r>
        <w:t xml:space="preserve">No especificada en este archivo (vive en</w:t>
      </w:r>
      <w:r>
        <w:t xml:space="preserve"> </w:t>
      </w:r>
      <w:r>
        <w:rPr>
          <w:rStyle w:val="VerbatimChar"/>
        </w:rPr>
        <w:t xml:space="preserve">psychiatry.js</w:t>
      </w:r>
      <w:r>
        <w:t xml:space="preserve">, fuera de alcance de esta auditoría).</w:t>
      </w:r>
    </w:p>
    <w:p>
      <w:pPr>
        <w:numPr>
          <w:ilvl w:val="0"/>
          <w:numId w:val="1027"/>
        </w:numPr>
        <w:pStyle w:val="Compact"/>
      </w:pPr>
      <w:r>
        <w:rPr>
          <w:b/>
        </w:rPr>
        <w:t xml:space="preserve">Fecha de revisión:</w:t>
      </w:r>
      <w:r>
        <w:t xml:space="preserve"> </w:t>
      </w:r>
      <w:r>
        <w:t xml:space="preserve">10-ago-2026 (Caso 51, Dr. Ortega, según el comentario de esta línea).</w:t>
      </w:r>
    </w:p>
    <w:p>
      <w:pPr>
        <w:numPr>
          <w:ilvl w:val="0"/>
          <w:numId w:val="1027"/>
        </w:numPr>
        <w:pStyle w:val="Compact"/>
      </w:pPr>
      <w:r>
        <w:rPr>
          <w:b/>
        </w:rPr>
        <w:t xml:space="preserve">Quién revisó:</w:t>
      </w:r>
      <w:r>
        <w:t xml:space="preserve"> </w:t>
      </w:r>
      <w:r>
        <w:t xml:space="preserve">Dr. Ortega.</w:t>
      </w:r>
    </w:p>
    <w:p>
      <w:pPr>
        <w:numPr>
          <w:ilvl w:val="0"/>
          <w:numId w:val="1027"/>
        </w:numPr>
        <w:pStyle w:val="Compact"/>
      </w:pPr>
      <w:r>
        <w:rPr>
          <w:b/>
        </w:rPr>
        <w:t xml:space="preserve">Casos que la validan:</w:t>
      </w:r>
      <w:r>
        <w:t xml:space="preserve"> </w:t>
      </w:r>
      <w:r>
        <w:rPr>
          <w:rStyle w:val="VerbatimChar"/>
        </w:rPr>
        <w:t xml:space="preserve">tests/edge-cases.test.mjs</w:t>
      </w:r>
      <w:r>
        <w:t xml:space="preserve"> </w:t>
      </w:r>
      <w:r>
        <w:t xml:space="preserve">Caso 51 (</w:t>
      </w:r>
      <w:r>
        <w:t xml:space="preserve">“</w:t>
      </w:r>
      <w:r>
        <w:t xml:space="preserve">litio + necesidad de RAAS (ERC) → bloquea IECA/ARA-II, usa BCC-DHP</w:t>
      </w:r>
      <w:r>
        <w:t xml:space="preserve">”</w:t>
      </w:r>
      <w:r>
        <w:t xml:space="preserve">;</w:t>
      </w:r>
      <w:r>
        <w:t xml:space="preserve"> </w:t>
      </w:r>
      <w:r>
        <w:t xml:space="preserve">“</w:t>
      </w:r>
      <w:r>
        <w:t xml:space="preserve">Losartán YA prescrito + litio nuevo → REVALORAR/SUSPENDER</w:t>
      </w:r>
      <w:r>
        <w:t xml:space="preserve">”</w:t>
      </w:r>
      <w:r>
        <w:t xml:space="preserve">).</w:t>
      </w:r>
    </w:p>
    <w:p>
      <w:pPr>
        <w:numPr>
          <w:ilvl w:val="0"/>
          <w:numId w:val="1027"/>
        </w:numPr>
        <w:pStyle w:val="Compact"/>
      </w:pPr>
      <w:r>
        <w:rPr>
          <w:b/>
        </w:rPr>
        <w:t xml:space="preserve">Excepciones:</w:t>
      </w:r>
      <w:r>
        <w:t xml:space="preserve"> </w:t>
      </w:r>
      <w:r>
        <w:t xml:space="preserve">ninguna documentada en este archivo (detalle completo vive en</w:t>
      </w:r>
      <w:r>
        <w:t xml:space="preserve"> </w:t>
      </w:r>
      <w:r>
        <w:rPr>
          <w:rStyle w:val="VerbatimChar"/>
        </w:rPr>
        <w:t xml:space="preserve">psychiatry.js</w:t>
      </w:r>
      <w:r>
        <w:t xml:space="preserve">, fuera de alcance).</w:t>
      </w:r>
    </w:p>
    <w:p>
      <w:pPr>
        <w:numPr>
          <w:ilvl w:val="0"/>
          <w:numId w:val="1027"/>
        </w:numPr>
        <w:pStyle w:val="Compact"/>
      </w:pPr>
      <w:r>
        <w:rPr>
          <w:b/>
        </w:rPr>
        <w:t xml:space="preserve">Qué faltan datos:</w:t>
      </w:r>
      <w:r>
        <w:t xml:space="preserve"> </w:t>
      </w:r>
      <w:r>
        <w:t xml:space="preserve">no evaluable desde este archivo sin leer</w:t>
      </w:r>
      <w:r>
        <w:t xml:space="preserve"> </w:t>
      </w:r>
      <w:r>
        <w:rPr>
          <w:rStyle w:val="VerbatimChar"/>
        </w:rPr>
        <w:t xml:space="preserve">psychiatry.js</w:t>
      </w:r>
      <w:r>
        <w:t xml:space="preserve">.</w:t>
      </w:r>
    </w:p>
    <w:p>
      <w:pPr>
        <w:numPr>
          <w:ilvl w:val="0"/>
          <w:numId w:val="1027"/>
        </w:numPr>
        <w:pStyle w:val="Compact"/>
      </w:pPr>
      <w:r>
        <w:rPr>
          <w:b/>
        </w:rPr>
        <w:t xml:space="preserve">Discrepancia entre guías:</w:t>
      </w:r>
      <w:r>
        <w:t xml:space="preserve"> </w:t>
      </w:r>
      <w:r>
        <w:t xml:space="preserve">no aplica en este archivo.</w:t>
      </w:r>
    </w:p>
    <w:p>
      <w:pPr>
        <w:pStyle w:val="Heading3"/>
      </w:pPr>
      <w:bookmarkStart w:id="51" w:name="X7b7da8436f6d53b2c4dc84533fff1d700d57f18"/>
      <w:r>
        <w:t xml:space="preserve">4.3 Bloqueo TARV inhibidor de proteasa + Simvastatina (delegada a</w:t>
      </w:r>
      <w:r>
        <w:t xml:space="preserve"> </w:t>
      </w:r>
      <w:r>
        <w:rPr>
          <w:rStyle w:val="VerbatimChar"/>
        </w:rPr>
        <w:t xml:space="preserve">hiv-art.js</w:t>
      </w:r>
      <w:r>
        <w:t xml:space="preserve">)</w:t>
      </w:r>
      <w:bookmarkEnd w:id="51"/>
    </w:p>
    <w:p>
      <w:pPr>
        <w:numPr>
          <w:ilvl w:val="0"/>
          <w:numId w:val="1028"/>
        </w:numPr>
        <w:pStyle w:val="Compact"/>
      </w:pPr>
      <w:r>
        <w:rPr>
          <w:b/>
        </w:rPr>
        <w:t xml:space="preserve">Qué hace:</w:t>
      </w:r>
      <w:r>
        <w:t xml:space="preserve"> </w:t>
      </w:r>
      <w:r>
        <w:t xml:space="preserve">llama a</w:t>
      </w:r>
      <w:r>
        <w:t xml:space="preserve"> </w:t>
      </w:r>
      <w:r>
        <w:rPr>
          <w:rStyle w:val="VerbatimChar"/>
        </w:rPr>
        <w:t xml:space="preserve">getHivArtStatinBlockReason(drug, flags)</w:t>
      </w:r>
      <w:r>
        <w:t xml:space="preserve"> </w:t>
      </w:r>
      <w:r>
        <w:t xml:space="preserve">— bloqueo absoluto por</w:t>
      </w:r>
      <w:r>
        <w:t xml:space="preserve"> </w:t>
      </w:r>
      <w:r>
        <w:rPr>
          <w:rStyle w:val="VerbatimChar"/>
        </w:rPr>
        <w:t xml:space="preserve">drug.id</w:t>
      </w:r>
      <w:r>
        <w:t xml:space="preserve"> </w:t>
      </w:r>
      <w:r>
        <w:t xml:space="preserve">(solo Simvastatina), no por</w:t>
      </w:r>
      <w:r>
        <w:t xml:space="preserve"> </w:t>
      </w:r>
      <w:r>
        <w:rPr>
          <w:rStyle w:val="VerbatimChar"/>
        </w:rPr>
        <w:t xml:space="preserve">drug.grp</w:t>
      </w:r>
      <w:r>
        <w:t xml:space="preserve"> </w:t>
      </w:r>
      <w:r>
        <w:t xml:space="preserve">(Pravastatina/Pitavastatina comparten grupo y SÍ son alternativas seguras).</w:t>
      </w:r>
    </w:p>
    <w:p>
      <w:pPr>
        <w:numPr>
          <w:ilvl w:val="0"/>
          <w:numId w:val="1028"/>
        </w:numPr>
        <w:pStyle w:val="Compact"/>
      </w:pPr>
      <w:r>
        <w:rPr>
          <w:b/>
        </w:rPr>
        <w:t xml:space="preserve">Por qué:</w:t>
      </w:r>
      <w:r>
        <w:t xml:space="preserve"> </w:t>
      </w:r>
      <w:r>
        <w:t xml:space="preserve">interacción CYP3A4 específica de Simvastatina con inhibidores de proteasa/cobicistat.</w:t>
      </w:r>
    </w:p>
    <w:p>
      <w:pPr>
        <w:numPr>
          <w:ilvl w:val="0"/>
          <w:numId w:val="1028"/>
        </w:numPr>
        <w:pStyle w:val="Compact"/>
      </w:pPr>
      <w:r>
        <w:rPr>
          <w:b/>
        </w:rPr>
        <w:t xml:space="preserve">Fuente:</w:t>
      </w:r>
      <w:r>
        <w:t xml:space="preserve"> </w:t>
      </w:r>
      <w:r>
        <w:t xml:space="preserve">delegada a</w:t>
      </w:r>
      <w:r>
        <w:t xml:space="preserve"> </w:t>
      </w:r>
      <w:r>
        <w:rPr>
          <w:rStyle w:val="VerbatimChar"/>
        </w:rPr>
        <w:t xml:space="preserve">hiv-art.js</w:t>
      </w:r>
      <w:r>
        <w:t xml:space="preserve">.</w:t>
      </w:r>
    </w:p>
    <w:p>
      <w:pPr>
        <w:numPr>
          <w:ilvl w:val="0"/>
          <w:numId w:val="1028"/>
        </w:numPr>
        <w:pStyle w:val="Compact"/>
      </w:pPr>
      <w:r>
        <w:rPr>
          <w:b/>
        </w:rPr>
        <w:t xml:space="preserve">Versión de la fuente:</w:t>
      </w:r>
      <w:r>
        <w:t xml:space="preserve"> </w:t>
      </w:r>
      <w:r>
        <w:t xml:space="preserve">No especificada en este archivo.</w:t>
      </w:r>
    </w:p>
    <w:p>
      <w:pPr>
        <w:numPr>
          <w:ilvl w:val="0"/>
          <w:numId w:val="1028"/>
        </w:numPr>
        <w:pStyle w:val="Compact"/>
      </w:pPr>
      <w:r>
        <w:rPr>
          <w:b/>
        </w:rPr>
        <w:t xml:space="preserve">Fecha de revisión:</w:t>
      </w:r>
      <w:r>
        <w:t xml:space="preserve"> </w:t>
      </w:r>
      <w:r>
        <w:t xml:space="preserve">10-ago-2026 (Caso 54, según referencia</w:t>
      </w:r>
      <w:r>
        <w:t xml:space="preserve"> </w:t>
      </w:r>
      <w:r>
        <w:t xml:space="preserve">“</w:t>
      </w:r>
      <w:r>
        <w:t xml:space="preserve">DOMINIO 5</w:t>
      </w:r>
      <w:r>
        <w:t xml:space="preserve">”</w:t>
      </w:r>
      <w:r>
        <w:t xml:space="preserve">).</w:t>
      </w:r>
    </w:p>
    <w:p>
      <w:pPr>
        <w:numPr>
          <w:ilvl w:val="0"/>
          <w:numId w:val="1028"/>
        </w:numPr>
        <w:pStyle w:val="Compact"/>
      </w:pPr>
      <w:r>
        <w:rPr>
          <w:b/>
        </w:rPr>
        <w:t xml:space="preserve">Quién revisó:</w:t>
      </w:r>
      <w:r>
        <w:t xml:space="preserve"> </w:t>
      </w:r>
      <w:r>
        <w:t xml:space="preserve">No especificado nominalmente en este comentario puntual (a diferencia del litio, este no dice</w:t>
      </w:r>
      <w:r>
        <w:t xml:space="preserve"> </w:t>
      </w:r>
      <w:r>
        <w:t xml:space="preserve">“</w:t>
      </w:r>
      <w:r>
        <w:t xml:space="preserve">Dr. Ortega</w:t>
      </w:r>
      <w:r>
        <w:t xml:space="preserve">”</w:t>
      </w:r>
      <w:r>
        <w:t xml:space="preserve"> </w:t>
      </w:r>
      <w:r>
        <w:t xml:space="preserve">explícitamente en la línea de</w:t>
      </w:r>
      <w:r>
        <w:t xml:space="preserve"> </w:t>
      </w:r>
      <w:r>
        <w:rPr>
          <w:rStyle w:val="VerbatimChar"/>
        </w:rPr>
        <w:t xml:space="preserve">currentDrugIssue</w:t>
      </w:r>
      <w:r>
        <w:t xml:space="preserve">, aunque el patrón de atribución del resto del bloque sugiere la misma autoría).</w:t>
      </w:r>
    </w:p>
    <w:p>
      <w:pPr>
        <w:numPr>
          <w:ilvl w:val="0"/>
          <w:numId w:val="1028"/>
        </w:numPr>
        <w:pStyle w:val="Compact"/>
      </w:pPr>
      <w:r>
        <w:rPr>
          <w:b/>
        </w:rPr>
        <w:t xml:space="preserve">Casos que la validan:</w:t>
      </w:r>
      <w:r>
        <w:t xml:space="preserve"> </w:t>
      </w:r>
      <w:r>
        <w:rPr>
          <w:rStyle w:val="VerbatimChar"/>
        </w:rPr>
        <w:t xml:space="preserve">tests/edge-cases.test.mjs</w:t>
      </w:r>
      <w:r>
        <w:t xml:space="preserve"> </w:t>
      </w:r>
      <w:r>
        <w:t xml:space="preserve">Caso 54 (</w:t>
      </w:r>
      <w:r>
        <w:t xml:space="preserve">“</w:t>
      </w:r>
      <w:r>
        <w:t xml:space="preserve">riesgo alto + TARV IP → evita Atorvastatina, prefiere Rosuvastatina</w:t>
      </w:r>
      <w:r>
        <w:t xml:space="preserve">”</w:t>
      </w:r>
      <w:r>
        <w:t xml:space="preserve">;</w:t>
      </w:r>
      <w:r>
        <w:t xml:space="preserve"> </w:t>
      </w:r>
      <w:r>
        <w:t xml:space="preserve">“</w:t>
      </w:r>
      <w:r>
        <w:t xml:space="preserve">Simvastatina ya prescrita + TARV IP → REVALORAR/SUSPENDER</w:t>
      </w:r>
      <w:r>
        <w:t xml:space="preserve">”</w:t>
      </w:r>
      <w:r>
        <w:t xml:space="preserve">).</w:t>
      </w:r>
    </w:p>
    <w:p>
      <w:pPr>
        <w:numPr>
          <w:ilvl w:val="0"/>
          <w:numId w:val="1028"/>
        </w:numPr>
        <w:pStyle w:val="Compact"/>
      </w:pPr>
      <w:r>
        <w:rPr>
          <w:b/>
        </w:rPr>
        <w:t xml:space="preserve">Excepciones:</w:t>
      </w:r>
      <w:r>
        <w:t xml:space="preserve"> </w:t>
      </w:r>
      <w:r>
        <w:t xml:space="preserve">deliberadamente restringido a Simvastatina por</w:t>
      </w:r>
      <w:r>
        <w:t xml:space="preserve"> </w:t>
      </w:r>
      <w:r>
        <w:rPr>
          <w:rStyle w:val="VerbatimChar"/>
        </w:rPr>
        <w:t xml:space="preserve">drug.id</w:t>
      </w:r>
      <w:r>
        <w:t xml:space="preserve">, no a toda la clase de estatinas.</w:t>
      </w:r>
    </w:p>
    <w:p>
      <w:pPr>
        <w:numPr>
          <w:ilvl w:val="0"/>
          <w:numId w:val="1028"/>
        </w:numPr>
        <w:pStyle w:val="Compact"/>
      </w:pPr>
      <w:r>
        <w:rPr>
          <w:b/>
        </w:rPr>
        <w:t xml:space="preserve">Qué faltan datos:</w:t>
      </w:r>
      <w:r>
        <w:t xml:space="preserve"> </w:t>
      </w:r>
      <w:r>
        <w:t xml:space="preserve">no evaluable desde este archivo.</w:t>
      </w:r>
    </w:p>
    <w:p>
      <w:pPr>
        <w:numPr>
          <w:ilvl w:val="0"/>
          <w:numId w:val="1028"/>
        </w:numPr>
        <w:pStyle w:val="Compact"/>
      </w:pPr>
      <w:r>
        <w:rPr>
          <w:b/>
        </w:rPr>
        <w:t xml:space="preserve">Discrepancia entre guías:</w:t>
      </w:r>
      <w:r>
        <w:t xml:space="preserve"> </w:t>
      </w:r>
      <w:r>
        <w:t xml:space="preserve">no aplica en este archivo.</w:t>
      </w:r>
    </w:p>
    <w:p>
      <w:pPr>
        <w:pStyle w:val="Heading3"/>
      </w:pPr>
      <w:bookmarkStart w:id="52" w:name="X6df72e299fb6ecc00d0260fbe4dedb1a588fd4e"/>
      <w:r>
        <w:t xml:space="preserve">4.4 Contraindicaciones por lista</w:t>
      </w:r>
      <w:r>
        <w:t xml:space="preserve"> </w:t>
      </w:r>
      <w:r>
        <w:rPr>
          <w:rStyle w:val="VerbatimChar"/>
        </w:rPr>
        <w:t xml:space="preserve">drug.contra</w:t>
      </w:r>
      <w:r>
        <w:t xml:space="preserve"> </w:t>
      </w:r>
      <w:r>
        <w:t xml:space="preserve">(7 códigos)</w:t>
      </w:r>
      <w:bookmarkEnd w:id="52"/>
    </w:p>
    <w:p>
      <w:pPr>
        <w:numPr>
          <w:ilvl w:val="0"/>
          <w:numId w:val="1029"/>
        </w:numPr>
        <w:pStyle w:val="Compact"/>
      </w:pPr>
      <w:r>
        <w:rPr>
          <w:b/>
        </w:rPr>
        <w:t xml:space="preserve">Qué hace:</w:t>
      </w:r>
      <w:r>
        <w:t xml:space="preserve"> </w:t>
      </w:r>
      <w:r>
        <w:t xml:space="preserve">revisa si</w:t>
      </w:r>
      <w:r>
        <w:t xml:space="preserve"> </w:t>
      </w:r>
      <w:r>
        <w:rPr>
          <w:rStyle w:val="VerbatimChar"/>
        </w:rPr>
        <w:t xml:space="preserve">drug.contra</w:t>
      </w:r>
      <w:r>
        <w:t xml:space="preserve"> </w:t>
      </w:r>
      <w:r>
        <w:t xml:space="preserve">incluye alguno de:</w:t>
      </w:r>
      <w:r>
        <w:t xml:space="preserve"> </w:t>
      </w:r>
      <w:r>
        <w:rPr>
          <w:rStyle w:val="VerbatimChar"/>
        </w:rPr>
        <w:t xml:space="preserve">IC</w:t>
      </w:r>
      <w:r>
        <w:t xml:space="preserve"> </w:t>
      </w:r>
      <w:r>
        <w:t xml:space="preserve">(bloquea si</w:t>
      </w:r>
      <w:r>
        <w:t xml:space="preserve"> </w:t>
      </w:r>
      <w:r>
        <w:rPr>
          <w:rStyle w:val="VerbatimChar"/>
        </w:rPr>
        <w:t xml:space="preserve">flags.ic</w:t>
      </w:r>
      <w:r>
        <w:t xml:space="preserve">),</w:t>
      </w:r>
      <w:r>
        <w:t xml:space="preserve"> </w:t>
      </w:r>
      <w:r>
        <w:rPr>
          <w:rStyle w:val="VerbatimChar"/>
        </w:rPr>
        <w:t xml:space="preserve">MEN2</w:t>
      </w:r>
      <w:r>
        <w:t xml:space="preserve"> </w:t>
      </w:r>
      <w:r>
        <w:t xml:space="preserve">(si</w:t>
      </w:r>
      <w:r>
        <w:t xml:space="preserve"> </w:t>
      </w:r>
      <w:r>
        <w:rPr>
          <w:rStyle w:val="VerbatimChar"/>
        </w:rPr>
        <w:t xml:space="preserve">flags.men2</w:t>
      </w:r>
      <w:r>
        <w:t xml:space="preserve">),</w:t>
      </w:r>
      <w:r>
        <w:t xml:space="preserve"> </w:t>
      </w:r>
      <w:r>
        <w:rPr>
          <w:rStyle w:val="VerbatimChar"/>
        </w:rPr>
        <w:t xml:space="preserve">HIPOGLUCEMIA</w:t>
      </w:r>
      <w:r>
        <w:t xml:space="preserve"> </w:t>
      </w:r>
      <w:r>
        <w:t xml:space="preserve">(si</w:t>
      </w:r>
      <w:r>
        <w:t xml:space="preserve"> </w:t>
      </w:r>
      <w:r>
        <w:rPr>
          <w:rStyle w:val="VerbatimChar"/>
        </w:rPr>
        <w:t xml:space="preserve">flags.hipoRisk</w:t>
      </w:r>
      <w:r>
        <w:t xml:space="preserve">),</w:t>
      </w:r>
      <w:r>
        <w:t xml:space="preserve"> </w:t>
      </w:r>
      <w:r>
        <w:rPr>
          <w:rStyle w:val="VerbatimChar"/>
        </w:rPr>
        <w:t xml:space="preserve">GLP1_GIP</w:t>
      </w:r>
      <w:r>
        <w:t xml:space="preserve"> </w:t>
      </w:r>
      <w:r>
        <w:t xml:space="preserve">(si</w:t>
      </w:r>
      <w:r>
        <w:t xml:space="preserve"> </w:t>
      </w:r>
      <w:r>
        <w:rPr>
          <w:rStyle w:val="VerbatimChar"/>
        </w:rPr>
        <w:t xml:space="preserve">flags.pancreatitis</w:t>
      </w:r>
      <w:r>
        <w:t xml:space="preserve"> </w:t>
      </w:r>
      <w:r>
        <w:t xml:space="preserve">O</w:t>
      </w:r>
      <w:r>
        <w:t xml:space="preserve"> </w:t>
      </w:r>
      <w:r>
        <w:rPr>
          <w:rStyle w:val="VerbatimChar"/>
        </w:rPr>
        <w:t xml:space="preserve">flags.gastroparesia</w:t>
      </w:r>
      <w:r>
        <w:t xml:space="preserve">),</w:t>
      </w:r>
      <w:r>
        <w:t xml:space="preserve"> </w:t>
      </w:r>
      <w:r>
        <w:rPr>
          <w:rStyle w:val="VerbatimChar"/>
        </w:rPr>
        <w:t xml:space="preserve">ANGIOEDEMA</w:t>
      </w:r>
      <w:r>
        <w:t xml:space="preserve"> </w:t>
      </w:r>
      <w:r>
        <w:t xml:space="preserve">(si</w:t>
      </w:r>
      <w:r>
        <w:t xml:space="preserve"> </w:t>
      </w:r>
      <w:r>
        <w:rPr>
          <w:rStyle w:val="VerbatimChar"/>
        </w:rPr>
        <w:t xml:space="preserve">flags.angioedemaIeca</w:t>
      </w:r>
      <w:r>
        <w:t xml:space="preserve">),</w:t>
      </w:r>
      <w:r>
        <w:t xml:space="preserve"> </w:t>
      </w:r>
      <w:r>
        <w:rPr>
          <w:rStyle w:val="VerbatimChar"/>
        </w:rPr>
        <w:t xml:space="preserve">TOS_IECA</w:t>
      </w:r>
      <w:r>
        <w:t xml:space="preserve"> </w:t>
      </w:r>
      <w:r>
        <w:t xml:space="preserve">(si</w:t>
      </w:r>
      <w:r>
        <w:t xml:space="preserve"> </w:t>
      </w:r>
      <w:r>
        <w:rPr>
          <w:rStyle w:val="VerbatimChar"/>
        </w:rPr>
        <w:t xml:space="preserve">flags.tosIeca</w:t>
      </w:r>
      <w:r>
        <w:t xml:space="preserve">),</w:t>
      </w:r>
      <w:r>
        <w:t xml:space="preserve"> </w:t>
      </w:r>
      <w:r>
        <w:rPr>
          <w:rStyle w:val="VerbatimChar"/>
        </w:rPr>
        <w:t xml:space="preserve">ESTIMULANTE_CV</w:t>
      </w:r>
      <w:r>
        <w:t xml:space="preserve"> </w:t>
      </w:r>
      <w:r>
        <w:t xml:space="preserve">(si</w:t>
      </w:r>
      <w:r>
        <w:t xml:space="preserve"> </w:t>
      </w:r>
      <w:r>
        <w:rPr>
          <w:rStyle w:val="VerbatimChar"/>
        </w:rPr>
        <w:t xml:space="preserve">flags.ascvd</w:t>
      </w:r>
      <w:r>
        <w:t xml:space="preserve"> </w:t>
      </w:r>
      <w:r>
        <w:t xml:space="preserve">O</w:t>
      </w:r>
      <w:r>
        <w:t xml:space="preserve"> </w:t>
      </w:r>
      <w:r>
        <w:rPr>
          <w:rStyle w:val="VerbatimChar"/>
        </w:rPr>
        <w:t xml:space="preserve">flags.htnDescontrolada</w:t>
      </w:r>
      <w:r>
        <w:t xml:space="preserve">),</w:t>
      </w:r>
      <w:r>
        <w:t xml:space="preserve"> </w:t>
      </w:r>
      <w:r>
        <w:rPr>
          <w:rStyle w:val="VerbatimChar"/>
        </w:rPr>
        <w:t xml:space="preserve">EMBARAZO</w:t>
      </w:r>
      <w:r>
        <w:t xml:space="preserve"> </w:t>
      </w:r>
      <w:r>
        <w:t xml:space="preserve">(si</w:t>
      </w:r>
      <w:r>
        <w:t xml:space="preserve"> </w:t>
      </w:r>
      <w:r>
        <w:rPr>
          <w:rStyle w:val="VerbatimChar"/>
        </w:rPr>
        <w:t xml:space="preserve">flags.embarazo</w:t>
      </w:r>
      <w:r>
        <w:t xml:space="preserve">).</w:t>
      </w:r>
    </w:p>
    <w:p>
      <w:pPr>
        <w:numPr>
          <w:ilvl w:val="0"/>
          <w:numId w:val="1029"/>
        </w:numPr>
        <w:pStyle w:val="Compact"/>
      </w:pPr>
      <w:r>
        <w:rPr>
          <w:b/>
        </w:rPr>
        <w:t xml:space="preserve">Por qué:</w:t>
      </w:r>
      <w:r>
        <w:t xml:space="preserve"> </w:t>
      </w:r>
      <w:r>
        <w:t xml:space="preserve">cada código representa una contraindicación de clase reconocida — el diseño explícito documentado (ver comentario de cabecera del bloque, línea 654-661) es que angioedema/tos con IECA son efecto de CLASE (mediado por bradicinina),</w:t>
      </w:r>
      <w:r>
        <w:t xml:space="preserve"> </w:t>
      </w:r>
      <w:r>
        <w:t xml:space="preserve">“</w:t>
      </w:r>
      <w:r>
        <w:t xml:space="preserve">no hay IECA más seguro dentro de la clase</w:t>
      </w:r>
      <w:r>
        <w:t xml:space="preserve">”</w:t>
      </w:r>
      <w:r>
        <w:t xml:space="preserve">.</w:t>
      </w:r>
    </w:p>
    <w:p>
      <w:pPr>
        <w:numPr>
          <w:ilvl w:val="0"/>
          <w:numId w:val="1029"/>
        </w:numPr>
        <w:pStyle w:val="Compact"/>
      </w:pPr>
      <w:r>
        <w:rPr>
          <w:b/>
        </w:rPr>
        <w:t xml:space="preserve">Fuente:</w:t>
      </w:r>
      <w:r>
        <w:t xml:space="preserve"> </w:t>
      </w:r>
      <w:r>
        <w:t xml:space="preserve">ninguna cita puntual por código individual en este archivo — las contraindicaciones específicas viven como metadata en</w:t>
      </w:r>
      <w:r>
        <w:t xml:space="preserve"> </w:t>
      </w:r>
      <w:r>
        <w:rPr>
          <w:rStyle w:val="VerbatimChar"/>
        </w:rPr>
        <w:t xml:space="preserve">pharma-db.js</w:t>
      </w:r>
      <w:r>
        <w:t xml:space="preserve">; el razonamiento de clase (bradicinina) sí se explica en el comentario de cabecera.</w:t>
      </w:r>
    </w:p>
    <w:p>
      <w:pPr>
        <w:numPr>
          <w:ilvl w:val="0"/>
          <w:numId w:val="1029"/>
        </w:numPr>
        <w:pStyle w:val="Compact"/>
      </w:pPr>
      <w:r>
        <w:rPr>
          <w:b/>
        </w:rPr>
        <w:t xml:space="preserve">Versión de la fuente:</w:t>
      </w:r>
      <w:r>
        <w:t xml:space="preserve"> </w:t>
      </w:r>
      <w:r>
        <w:t xml:space="preserve">No especificada en el código.</w:t>
      </w:r>
    </w:p>
    <w:p>
      <w:pPr>
        <w:numPr>
          <w:ilvl w:val="0"/>
          <w:numId w:val="1029"/>
        </w:numPr>
        <w:pStyle w:val="Compact"/>
      </w:pPr>
      <w:r>
        <w:rPr>
          <w:b/>
        </w:rPr>
        <w:t xml:space="preserve">Fecha de revisión:</w:t>
      </w:r>
      <w:r>
        <w:t xml:space="preserve"> </w:t>
      </w:r>
      <w:r>
        <w:t xml:space="preserve">el flag</w:t>
      </w:r>
      <w:r>
        <w:t xml:space="preserve"> </w:t>
      </w:r>
      <w:r>
        <w:rPr>
          <w:rStyle w:val="VerbatimChar"/>
        </w:rPr>
        <w:t xml:space="preserve">embarazo</w:t>
      </w:r>
      <w:r>
        <w:t xml:space="preserve"> </w:t>
      </w:r>
      <w:r>
        <w:t xml:space="preserve">(más reciente de este bloque) tiene fecha 11-ago-2026 / 12-ago-2026; el resto de los códigos de contraindicación no tienen fecha de auditoría propia en el comentario de</w:t>
      </w:r>
      <w:r>
        <w:t xml:space="preserve"> </w:t>
      </w:r>
      <w:r>
        <w:rPr>
          <w:rStyle w:val="VerbatimChar"/>
        </w:rPr>
        <w:t xml:space="preserve">currentDrugIssue</w:t>
      </w:r>
      <w:r>
        <w:t xml:space="preserve">.</w:t>
      </w:r>
    </w:p>
    <w:p>
      <w:pPr>
        <w:numPr>
          <w:ilvl w:val="0"/>
          <w:numId w:val="1029"/>
        </w:numPr>
        <w:pStyle w:val="Compact"/>
      </w:pPr>
      <w:r>
        <w:rPr>
          <w:b/>
        </w:rPr>
        <w:t xml:space="preserve">Quién revisó:</w:t>
      </w:r>
      <w:r>
        <w:t xml:space="preserve"> </w:t>
      </w:r>
      <w:r>
        <w:t xml:space="preserve">Dr. Ortega (para</w:t>
      </w:r>
      <w:r>
        <w:t xml:space="preserve"> </w:t>
      </w:r>
      <w:r>
        <w:rPr>
          <w:rStyle w:val="VerbatimChar"/>
        </w:rPr>
        <w:t xml:space="preserve">EMBARAZO</w:t>
      </w:r>
      <w:r>
        <w:t xml:space="preserve">, explícitamente atribuido en</w:t>
      </w:r>
      <w:r>
        <w:t xml:space="preserve"> </w:t>
      </w:r>
      <w:r>
        <w:rPr>
          <w:rStyle w:val="VerbatimChar"/>
        </w:rPr>
        <w:t xml:space="preserve">getPatientFlags</w:t>
      </w:r>
      <w:r>
        <w:t xml:space="preserve">); el resto no atribuye nombre en este comentario puntual.</w:t>
      </w:r>
    </w:p>
    <w:p>
      <w:pPr>
        <w:numPr>
          <w:ilvl w:val="0"/>
          <w:numId w:val="1029"/>
        </w:numPr>
        <w:pStyle w:val="Compact"/>
      </w:pPr>
      <w:r>
        <w:rPr>
          <w:b/>
        </w:rPr>
        <w:t xml:space="preserve">Casos que la validan:</w:t>
      </w:r>
      <w:r>
        <w:t xml:space="preserve"> </w:t>
      </w:r>
      <w:r>
        <w:rPr>
          <w:rStyle w:val="VerbatimChar"/>
        </w:rPr>
        <w:t xml:space="preserve">IC</w:t>
      </w:r>
      <w:r>
        <w:t xml:space="preserve"> </w:t>
      </w:r>
      <w:r>
        <w:t xml:space="preserve">— Caso 1 (edge-cases, contraindicado por IC, ver A1 de clinical-cases usa IC como beneficio, no contraindicación — contextos distintos);</w:t>
      </w:r>
      <w:r>
        <w:t xml:space="preserve"> </w:t>
      </w:r>
      <w:r>
        <w:rPr>
          <w:rStyle w:val="VerbatimChar"/>
        </w:rPr>
        <w:t xml:space="preserve">GLP1_GIP</w:t>
      </w:r>
      <w:r>
        <w:t xml:space="preserve"> </w:t>
      </w:r>
      <w:r>
        <w:t xml:space="preserve">(pancreatitis/gastroparesia) — referenciado en comentario H2 de multimorbid pero sin verificación explícita</w:t>
      </w:r>
      <w:r>
        <w:t xml:space="preserve"> </w:t>
      </w:r>
      <w:r>
        <w:rPr>
          <w:rStyle w:val="VerbatimChar"/>
        </w:rPr>
        <w:t xml:space="preserve">check()</w:t>
      </w:r>
      <w:r>
        <w:t xml:space="preserve"> </w:t>
      </w:r>
      <w:r>
        <w:t xml:space="preserve">en los 3 archivos leídos;</w:t>
      </w:r>
      <w:r>
        <w:t xml:space="preserve"> </w:t>
      </w:r>
      <w:r>
        <w:rPr>
          <w:rStyle w:val="VerbatimChar"/>
        </w:rPr>
        <w:t xml:space="preserve">ESTIMULANTE_CV</w:t>
      </w:r>
      <w:r>
        <w:t xml:space="preserve"> </w:t>
      </w:r>
      <w:r>
        <w:t xml:space="preserve">— sin caso de prueba identificado directo;</w:t>
      </w:r>
      <w:r>
        <w:t xml:space="preserve"> </w:t>
      </w:r>
      <w:r>
        <w:rPr>
          <w:rStyle w:val="VerbatimChar"/>
        </w:rPr>
        <w:t xml:space="preserve">EMBARAZO</w:t>
      </w:r>
      <w:r>
        <w:t xml:space="preserve"> </w:t>
      </w:r>
      <w:r>
        <w:t xml:space="preserve">— Sin caso de prueba identificado en los 3 archivos revisados;</w:t>
      </w:r>
      <w:r>
        <w:t xml:space="preserve"> </w:t>
      </w:r>
      <w:r>
        <w:rPr>
          <w:rStyle w:val="VerbatimChar"/>
        </w:rPr>
        <w:t xml:space="preserve">MEN2</w:t>
      </w:r>
      <w:r>
        <w:t xml:space="preserve">,</w:t>
      </w:r>
      <w:r>
        <w:t xml:space="preserve"> </w:t>
      </w:r>
      <w:r>
        <w:rPr>
          <w:rStyle w:val="VerbatimChar"/>
        </w:rPr>
        <w:t xml:space="preserve">HIPOGLUCEMIA</w:t>
      </w:r>
      <w:r>
        <w:t xml:space="preserve">,</w:t>
      </w:r>
      <w:r>
        <w:t xml:space="preserve"> </w:t>
      </w:r>
      <w:r>
        <w:rPr>
          <w:rStyle w:val="VerbatimChar"/>
        </w:rPr>
        <w:t xml:space="preserve">ANGIOEDEMA</w:t>
      </w:r>
      <w:r>
        <w:t xml:space="preserve">,</w:t>
      </w:r>
      <w:r>
        <w:t xml:space="preserve"> </w:t>
      </w:r>
      <w:r>
        <w:rPr>
          <w:rStyle w:val="VerbatimChar"/>
        </w:rPr>
        <w:t xml:space="preserve">TOS_IECA</w:t>
      </w:r>
      <w:r>
        <w:t xml:space="preserve"> </w:t>
      </w:r>
      <w:r>
        <w:t xml:space="preserve">— Sin caso de prueba identificado directo sobre</w:t>
      </w:r>
      <w:r>
        <w:t xml:space="preserve"> </w:t>
      </w:r>
      <w:r>
        <w:rPr>
          <w:rStyle w:val="VerbatimChar"/>
        </w:rPr>
        <w:t xml:space="preserve">currentDrugIssue</w:t>
      </w:r>
      <w:r>
        <w:t xml:space="preserve"> </w:t>
      </w:r>
      <w:r>
        <w:t xml:space="preserve">para estos códigos específicos en los archivos de test leídos (se infiere cobertura indirecta a través de</w:t>
      </w:r>
      <w:r>
        <w:t xml:space="preserve"> </w:t>
      </w:r>
      <w:r>
        <w:rPr>
          <w:rStyle w:val="VerbatimChar"/>
        </w:rPr>
        <w:t xml:space="preserve">filterSafe</w:t>
      </w:r>
      <w:r>
        <w:t xml:space="preserve"> </w:t>
      </w:r>
      <w:r>
        <w:t xml:space="preserve">en los planes, pero no hay una aserción</w:t>
      </w:r>
      <w:r>
        <w:t xml:space="preserve"> </w:t>
      </w:r>
      <w:r>
        <w:rPr>
          <w:rStyle w:val="VerbatimChar"/>
        </w:rPr>
        <w:t xml:space="preserve">check()</w:t>
      </w:r>
      <w:r>
        <w:t xml:space="preserve"> </w:t>
      </w:r>
      <w:r>
        <w:t xml:space="preserve">dedicada a cada código en los 3 archivos revisados).</w:t>
      </w:r>
    </w:p>
    <w:p>
      <w:pPr>
        <w:numPr>
          <w:ilvl w:val="0"/>
          <w:numId w:val="1029"/>
        </w:numPr>
        <w:pStyle w:val="Compact"/>
      </w:pPr>
      <w:r>
        <w:rPr>
          <w:b/>
        </w:rPr>
        <w:t xml:space="preserve">Excepciones:</w:t>
      </w:r>
      <w:r>
        <w:t xml:space="preserve"> </w:t>
      </w:r>
      <w:r>
        <w:t xml:space="preserve">el código</w:t>
      </w:r>
      <w:r>
        <w:t xml:space="preserve"> </w:t>
      </w:r>
      <w:r>
        <w:rPr>
          <w:rStyle w:val="VerbatimChar"/>
        </w:rPr>
        <w:t xml:space="preserve">EMBARAZO</w:t>
      </w:r>
      <w:r>
        <w:t xml:space="preserve"> </w:t>
      </w:r>
      <w:r>
        <w:t xml:space="preserve">no distingue entre</w:t>
      </w:r>
      <w:r>
        <w:t xml:space="preserve"> </w:t>
      </w:r>
      <w:r>
        <w:t xml:space="preserve">“</w:t>
      </w:r>
      <w:r>
        <w:t xml:space="preserve">embarazo actual</w:t>
      </w:r>
      <w:r>
        <w:t xml:space="preserve">”</w:t>
      </w:r>
      <w:r>
        <w:t xml:space="preserve"> </w:t>
      </w:r>
      <w:r>
        <w:t xml:space="preserve">y</w:t>
      </w:r>
      <w:r>
        <w:t xml:space="preserve"> </w:t>
      </w:r>
      <w:r>
        <w:t xml:space="preserve">“</w:t>
      </w:r>
      <w:r>
        <w:t xml:space="preserve">posibilidad de embarazo</w:t>
      </w:r>
      <w:r>
        <w:t xml:space="preserve">”</w:t>
      </w:r>
      <w:r>
        <w:t xml:space="preserve"> </w:t>
      </w:r>
      <w:r>
        <w:t xml:space="preserve">— el motor aplica el mismo bloqueo a ambos, documentado explícitamente (</w:t>
      </w:r>
      <w:r>
        <w:t xml:space="preserve">“</w:t>
      </w:r>
      <w:r>
        <w:t xml:space="preserve">el motor no distingue entre ellos para efectos de riesgo farmacológico</w:t>
      </w:r>
      <w:r>
        <w:t xml:space="preserve">”</w:t>
      </w:r>
      <w:r>
        <w:t xml:space="preserve">).</w:t>
      </w:r>
    </w:p>
    <w:p>
      <w:pPr>
        <w:numPr>
          <w:ilvl w:val="0"/>
          <w:numId w:val="1029"/>
        </w:numPr>
        <w:pStyle w:val="Compact"/>
      </w:pPr>
      <w:r>
        <w:rPr>
          <w:b/>
        </w:rPr>
        <w:t xml:space="preserve">Qué faltan datos:</w:t>
      </w:r>
      <w:r>
        <w:t xml:space="preserve"> </w:t>
      </w:r>
      <w:r>
        <w:t xml:space="preserve">todas estas banderas booleanas (</w:t>
      </w:r>
      <w:r>
        <w:rPr>
          <w:rStyle w:val="VerbatimChar"/>
        </w:rPr>
        <w:t xml:space="preserve">flags.ic</w:t>
      </w:r>
      <w:r>
        <w:t xml:space="preserve">,</w:t>
      </w:r>
      <w:r>
        <w:t xml:space="preserve"> </w:t>
      </w:r>
      <w:r>
        <w:rPr>
          <w:rStyle w:val="VerbatimChar"/>
        </w:rPr>
        <w:t xml:space="preserve">flags.men2</w:t>
      </w:r>
      <w:r>
        <w:t xml:space="preserve">, etc.) son</w:t>
      </w:r>
      <w:r>
        <w:t xml:space="preserve"> </w:t>
      </w:r>
      <w:r>
        <w:rPr>
          <w:rStyle w:val="VerbatimChar"/>
        </w:rPr>
        <w:t xml:space="preserve">false</w:t>
      </w:r>
      <w:r>
        <w:t xml:space="preserve"> </w:t>
      </w:r>
      <w:r>
        <w:t xml:space="preserve">por defecto si el campo de origen no fue capturado — mismo patrón que la sección 3:</w:t>
      </w:r>
      <w:r>
        <w:t xml:space="preserve"> </w:t>
      </w:r>
      <w:r>
        <w:t xml:space="preserve">“</w:t>
      </w:r>
      <w:r>
        <w:t xml:space="preserve">no marcado</w:t>
      </w:r>
      <w:r>
        <w:t xml:space="preserve">”</w:t>
      </w:r>
      <w:r>
        <w:t xml:space="preserve"> </w:t>
      </w:r>
      <w:r>
        <w:t xml:space="preserve">y</w:t>
      </w:r>
      <w:r>
        <w:t xml:space="preserve"> </w:t>
      </w:r>
      <w:r>
        <w:t xml:space="preserve">“</w:t>
      </w:r>
      <w:r>
        <w:t xml:space="preserve">no preguntado</w:t>
      </w:r>
      <w:r>
        <w:t xml:space="preserve">”</w:t>
      </w:r>
      <w:r>
        <w:t xml:space="preserve"> </w:t>
      </w:r>
      <w:r>
        <w:t xml:space="preserve">son indistinguibles, sin bandera de dato faltante.</w:t>
      </w:r>
    </w:p>
    <w:p>
      <w:pPr>
        <w:numPr>
          <w:ilvl w:val="0"/>
          <w:numId w:val="1029"/>
        </w:numPr>
        <w:pStyle w:val="Compact"/>
      </w:pPr>
      <w:r>
        <w:rPr>
          <w:b/>
        </w:rPr>
        <w:t xml:space="preserve">Discrepancia entre guías:</w:t>
      </w:r>
      <w:r>
        <w:t xml:space="preserve"> </w:t>
      </w:r>
      <w:r>
        <w:t xml:space="preserve">no aplica dentro de esta lista puntual (las discrepancias relevantes de fuente están documentadas en</w:t>
      </w:r>
      <w:r>
        <w:t xml:space="preserve"> </w:t>
      </w:r>
      <w:r>
        <w:rPr>
          <w:rStyle w:val="VerbatimChar"/>
        </w:rPr>
        <w:t xml:space="preserve">classifyLipidRisk</w:t>
      </w:r>
      <w:r>
        <w:t xml:space="preserve">, sección 2.2).</w:t>
      </w:r>
    </w:p>
    <w:p>
      <w:pPr>
        <w:pStyle w:val="Heading3"/>
      </w:pPr>
      <w:bookmarkStart w:id="53" w:name="filtersafe-filtro-de-pool"/>
      <w:r>
        <w:t xml:space="preserve">4.5</w:t>
      </w:r>
      <w:r>
        <w:t xml:space="preserve"> </w:t>
      </w:r>
      <w:r>
        <w:rPr>
          <w:rStyle w:val="VerbatimChar"/>
        </w:rPr>
        <w:t xml:space="preserve">filterSafe</w:t>
      </w:r>
      <w:r>
        <w:t xml:space="preserve"> </w:t>
      </w:r>
      <w:r>
        <w:t xml:space="preserve">— Filtro de pool</w:t>
      </w:r>
      <w:bookmarkEnd w:id="53"/>
    </w:p>
    <w:p>
      <w:pPr>
        <w:numPr>
          <w:ilvl w:val="0"/>
          <w:numId w:val="1030"/>
        </w:numPr>
        <w:pStyle w:val="Compact"/>
      </w:pPr>
      <w:r>
        <w:rPr>
          <w:b/>
        </w:rPr>
        <w:t xml:space="preserve">Qué hace:</w:t>
      </w:r>
      <w:r>
        <w:t xml:space="preserve"> </w:t>
      </w:r>
      <w:r>
        <w:rPr>
          <w:rStyle w:val="VerbatimChar"/>
        </w:rPr>
        <w:t xml:space="preserve">list.filter(f =&gt; currentDrugIssue(f, flags) === null)</w:t>
      </w:r>
      <w:r>
        <w:t xml:space="preserve"> </w:t>
      </w:r>
      <w:r>
        <w:t xml:space="preserve">— aplica las 4.1-4.4 a un array completo de candidatos.</w:t>
      </w:r>
    </w:p>
    <w:p>
      <w:pPr>
        <w:numPr>
          <w:ilvl w:val="0"/>
          <w:numId w:val="1030"/>
        </w:numPr>
        <w:pStyle w:val="Compact"/>
      </w:pPr>
      <w:r>
        <w:rPr>
          <w:b/>
        </w:rPr>
        <w:t xml:space="preserve">Por qué:</w:t>
      </w:r>
      <w:r>
        <w:t xml:space="preserve"> </w:t>
      </w:r>
      <w:r>
        <w:t xml:space="preserve">único punto de entrada para</w:t>
      </w:r>
      <w:r>
        <w:t xml:space="preserve"> </w:t>
      </w:r>
      <w:r>
        <w:t xml:space="preserve">“</w:t>
      </w:r>
      <w:r>
        <w:t xml:space="preserve">candidatos seguros</w:t>
      </w:r>
      <w:r>
        <w:t xml:space="preserve">”</w:t>
      </w:r>
      <w:r>
        <w:t xml:space="preserve"> </w:t>
      </w:r>
      <w:r>
        <w:t xml:space="preserve">al armar una recomendación NUEVA.</w:t>
      </w:r>
    </w:p>
    <w:p>
      <w:pPr>
        <w:numPr>
          <w:ilvl w:val="0"/>
          <w:numId w:val="1030"/>
        </w:numPr>
        <w:pStyle w:val="Compact"/>
      </w:pPr>
      <w:r>
        <w:rPr>
          <w:b/>
        </w:rPr>
        <w:t xml:space="preserve">Fuente:</w:t>
      </w:r>
      <w:r>
        <w:t xml:space="preserve"> </w:t>
      </w:r>
      <w:r>
        <w:t xml:space="preserve">agregación de las reglas anteriores.</w:t>
      </w:r>
    </w:p>
    <w:p>
      <w:pPr>
        <w:numPr>
          <w:ilvl w:val="0"/>
          <w:numId w:val="1030"/>
        </w:numPr>
        <w:pStyle w:val="Compact"/>
      </w:pPr>
      <w:r>
        <w:rPr>
          <w:b/>
        </w:rPr>
        <w:t xml:space="preserve">Versión de la fuente:</w:t>
      </w:r>
      <w:r>
        <w:t xml:space="preserve"> </w:t>
      </w:r>
      <w:r>
        <w:t xml:space="preserve">No aplica (función agregadora).</w:t>
      </w:r>
    </w:p>
    <w:p>
      <w:pPr>
        <w:numPr>
          <w:ilvl w:val="0"/>
          <w:numId w:val="1030"/>
        </w:numPr>
        <w:pStyle w:val="Compact"/>
      </w:pPr>
      <w:r>
        <w:rPr>
          <w:b/>
        </w:rPr>
        <w:t xml:space="preserve">Fecha de revisión:</w:t>
      </w:r>
      <w:r>
        <w:t xml:space="preserve"> </w:t>
      </w:r>
      <w:r>
        <w:t xml:space="preserve">Sin fecha propia (hereda las de sus componentes).</w:t>
      </w:r>
    </w:p>
    <w:p>
      <w:pPr>
        <w:numPr>
          <w:ilvl w:val="0"/>
          <w:numId w:val="1030"/>
        </w:numPr>
        <w:pStyle w:val="Compact"/>
      </w:pPr>
      <w:r>
        <w:rPr>
          <w:b/>
        </w:rPr>
        <w:t xml:space="preserve">Quién revisó:</w:t>
      </w:r>
      <w:r>
        <w:t xml:space="preserve"> </w:t>
      </w:r>
      <w:r>
        <w:t xml:space="preserve">No especificado.</w:t>
      </w:r>
    </w:p>
    <w:p>
      <w:pPr>
        <w:numPr>
          <w:ilvl w:val="0"/>
          <w:numId w:val="1030"/>
        </w:numPr>
        <w:pStyle w:val="Compact"/>
      </w:pPr>
      <w:r>
        <w:rPr>
          <w:b/>
        </w:rPr>
        <w:t xml:space="preserve">Casos que la validan:</w:t>
      </w:r>
      <w:r>
        <w:t xml:space="preserve"> </w:t>
      </w:r>
      <w:r>
        <w:t xml:space="preserve">usada implícitamente en TODOS los tests de</w:t>
      </w:r>
      <w:r>
        <w:t xml:space="preserve"> </w:t>
      </w:r>
      <w:r>
        <w:rPr>
          <w:rStyle w:val="VerbatimChar"/>
        </w:rPr>
        <w:t xml:space="preserve">build*Plan</w:t>
      </w:r>
      <w:r>
        <w:t xml:space="preserve">.</w:t>
      </w:r>
    </w:p>
    <w:p>
      <w:pPr>
        <w:numPr>
          <w:ilvl w:val="0"/>
          <w:numId w:val="1030"/>
        </w:numPr>
        <w:pStyle w:val="Compact"/>
      </w:pPr>
      <w:r>
        <w:rPr>
          <w:b/>
        </w:rPr>
        <w:t xml:space="preserve">Excepciones:</w:t>
      </w:r>
      <w:r>
        <w:t xml:space="preserve"> </w:t>
      </w:r>
      <w:r>
        <w:t xml:space="preserve">el comentario de cabecera de</w:t>
      </w:r>
      <w:r>
        <w:t xml:space="preserve"> </w:t>
      </w:r>
      <w:r>
        <w:rPr>
          <w:rStyle w:val="VerbatimChar"/>
        </w:rPr>
        <w:t xml:space="preserve">currentDrugIssue</w:t>
      </w:r>
      <w:r>
        <w:t xml:space="preserve"> </w:t>
      </w:r>
      <w:r>
        <w:t xml:space="preserve">documenta explícitamente que ANTES</w:t>
      </w:r>
      <w:r>
        <w:t xml:space="preserve"> </w:t>
      </w:r>
      <w:r>
        <w:rPr>
          <w:rStyle w:val="VerbatimChar"/>
        </w:rPr>
        <w:t xml:space="preserve">filterSafe</w:t>
      </w:r>
      <w:r>
        <w:t xml:space="preserve"> </w:t>
      </w:r>
      <w:r>
        <w:t xml:space="preserve">era el ÚNICO punto de chequeo de seguridad — las ramas de</w:t>
      </w:r>
      <w:r>
        <w:t xml:space="preserve"> </w:t>
      </w:r>
      <w:r>
        <w:t xml:space="preserve">“</w:t>
      </w:r>
      <w:r>
        <w:t xml:space="preserve">ya en tratamiento</w:t>
      </w:r>
      <w:r>
        <w:t xml:space="preserve">”</w:t>
      </w:r>
      <w:r>
        <w:t xml:space="preserve"> </w:t>
      </w:r>
      <w:r>
        <w:t xml:space="preserve">(continuación/titulación) nunca pasaban por ningún filtro, por lo que un fármaco vigente que se volvía contraindicado por una condición NUEVA seguía recibiendo</w:t>
      </w:r>
      <w:r>
        <w:t xml:space="preserve"> </w:t>
      </w:r>
      <w:r>
        <w:t xml:space="preserve">“</w:t>
      </w:r>
      <w:r>
        <w:t xml:space="preserve">titular a dosis máxima</w:t>
      </w:r>
      <w:r>
        <w:t xml:space="preserve">”</w:t>
      </w:r>
      <w:r>
        <w:t xml:space="preserve"> </w:t>
      </w:r>
      <w:r>
        <w:t xml:space="preserve">sin advertencia. Esto se corrigió agregando</w:t>
      </w:r>
      <w:r>
        <w:t xml:space="preserve"> </w:t>
      </w:r>
      <w:r>
        <w:rPr>
          <w:rStyle w:val="VerbatimChar"/>
        </w:rPr>
        <w:t xml:space="preserve">currentDrugIssue</w:t>
      </w:r>
      <w:r>
        <w:t xml:space="preserve"> </w:t>
      </w:r>
      <w:r>
        <w:t xml:space="preserve">también en cada punto de continuación de los 4 planes (ver catch-alls documentados en secciones 5-8).</w:t>
      </w:r>
    </w:p>
    <w:p>
      <w:pPr>
        <w:numPr>
          <w:ilvl w:val="0"/>
          <w:numId w:val="1030"/>
        </w:numPr>
        <w:pStyle w:val="Compact"/>
      </w:pPr>
      <w:r>
        <w:rPr>
          <w:b/>
        </w:rPr>
        <w:t xml:space="preserve">Qué faltan datos:</w:t>
      </w:r>
      <w:r>
        <w:t xml:space="preserve"> </w:t>
      </w:r>
      <w:r>
        <w:t xml:space="preserve">hereda el hueco de 4.1 (eGFR) y el patrón de 4.4 (banderas false por defecto).</w:t>
      </w:r>
    </w:p>
    <w:p>
      <w:pPr>
        <w:numPr>
          <w:ilvl w:val="0"/>
          <w:numId w:val="1030"/>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54" w:name="plan-antidiabético-buildantidiabeticplan"/>
      <w:r>
        <w:t xml:space="preserve">5. Plan Antidiabético (</w:t>
      </w:r>
      <w:r>
        <w:rPr>
          <w:rStyle w:val="VerbatimChar"/>
        </w:rPr>
        <w:t xml:space="preserve">buildAntidiabeticPlan</w:t>
      </w:r>
      <w:r>
        <w:t xml:space="preserve">)</w:t>
      </w:r>
      <w:bookmarkEnd w:id="54"/>
    </w:p>
    <w:p>
      <w:pPr>
        <w:pStyle w:val="FirstParagraph"/>
      </w:pPr>
      <w:r>
        <w:t xml:space="preserve">Basado en AACE Algorithm for Management of Adults With T2D — 2026 Update, Fig. 6 (Comorbidities-Centric) y Fig. 7 (Glucose-Centric).</w:t>
      </w:r>
    </w:p>
    <w:p>
      <w:pPr>
        <w:pStyle w:val="Heading3"/>
      </w:pPr>
      <w:bookmarkStart w:id="55" w:name="X584d30c6bc33245187a355970efef2a7cae7fb6"/>
      <w:r>
        <w:t xml:space="preserve">5.1 Jerarquía de comorbilidades (IC/ERC/ASCVD/stroke/MASLD)</w:t>
      </w:r>
      <w:bookmarkEnd w:id="55"/>
    </w:p>
    <w:p>
      <w:pPr>
        <w:numPr>
          <w:ilvl w:val="0"/>
          <w:numId w:val="1031"/>
        </w:numPr>
        <w:pStyle w:val="Compact"/>
      </w:pPr>
      <w:r>
        <w:rPr>
          <w:b/>
        </w:rPr>
        <w:t xml:space="preserve">Qué hace:</w:t>
      </w:r>
      <w:r>
        <w:t xml:space="preserve"> </w:t>
      </w:r>
      <w:r>
        <w:t xml:space="preserve">define 5 comorbilidades objetivo con beneficio farmacológico probado (</w:t>
      </w:r>
      <w:r>
        <w:rPr>
          <w:rStyle w:val="VerbatimChar"/>
        </w:rPr>
        <w:t xml:space="preserve">flags.ic</w:t>
      </w:r>
      <w:r>
        <w:t xml:space="preserve">,</w:t>
      </w:r>
      <w:r>
        <w:t xml:space="preserve"> </w:t>
      </w:r>
      <w:r>
        <w:rPr>
          <w:rStyle w:val="VerbatimChar"/>
        </w:rPr>
        <w:t xml:space="preserve">.erc</w:t>
      </w:r>
      <w:r>
        <w:t xml:space="preserve">,</w:t>
      </w:r>
      <w:r>
        <w:t xml:space="preserve"> </w:t>
      </w:r>
      <w:r>
        <w:rPr>
          <w:rStyle w:val="VerbatimChar"/>
        </w:rPr>
        <w:t xml:space="preserve">.ascvd</w:t>
      </w:r>
      <w:r>
        <w:t xml:space="preserve">,</w:t>
      </w:r>
      <w:r>
        <w:t xml:space="preserve"> </w:t>
      </w:r>
      <w:r>
        <w:rPr>
          <w:rStyle w:val="VerbatimChar"/>
        </w:rPr>
        <w:t xml:space="preserve">.stroke</w:t>
      </w:r>
      <w:r>
        <w:t xml:space="preserve">,</w:t>
      </w:r>
      <w:r>
        <w:t xml:space="preserve"> </w:t>
      </w:r>
      <w:r>
        <w:rPr>
          <w:rStyle w:val="VerbatimChar"/>
        </w:rPr>
        <w:t xml:space="preserve">.masld</w:t>
      </w:r>
      <w:r>
        <w:t xml:space="preserve">) y arma la lista de las que aplican al paciente (</w:t>
      </w:r>
      <w:r>
        <w:rPr>
          <w:rStyle w:val="VerbatimChar"/>
        </w:rPr>
        <w:t xml:space="preserve">matched</w:t>
      </w:r>
      <w:r>
        <w:t xml:space="preserve">).</w:t>
      </w:r>
    </w:p>
    <w:p>
      <w:pPr>
        <w:numPr>
          <w:ilvl w:val="0"/>
          <w:numId w:val="1031"/>
        </w:numPr>
        <w:pStyle w:val="Compact"/>
      </w:pPr>
      <w:r>
        <w:rPr>
          <w:b/>
        </w:rPr>
        <w:t xml:space="preserve">Por qué:</w:t>
      </w:r>
      <w:r>
        <w:t xml:space="preserve"> </w:t>
      </w:r>
      <w:r>
        <w:t xml:space="preserve">filosofía AACE</w:t>
      </w:r>
      <w:r>
        <w:t xml:space="preserve"> </w:t>
      </w:r>
      <w:r>
        <w:t xml:space="preserve">“</w:t>
      </w:r>
      <w:r>
        <w:t xml:space="preserve">comorbilidad-driven</w:t>
      </w:r>
      <w:r>
        <w:t xml:space="preserve">”</w:t>
      </w:r>
      <w:r>
        <w:t xml:space="preserve"> </w:t>
      </w:r>
      <w:r>
        <w:t xml:space="preserve">— agrega SGLT2i/GLP-1/etc. de forma temprana según comorbilidad, sin esperar a que metformina esté a dosis máxima (a diferencia del manejo de lípidos, que sí escalona secuencialmente).</w:t>
      </w:r>
    </w:p>
    <w:p>
      <w:pPr>
        <w:numPr>
          <w:ilvl w:val="0"/>
          <w:numId w:val="1031"/>
        </w:numPr>
        <w:pStyle w:val="Compact"/>
      </w:pPr>
      <w:r>
        <w:rPr>
          <w:b/>
        </w:rPr>
        <w:t xml:space="preserve">Fuente:</w:t>
      </w:r>
      <w:r>
        <w:t xml:space="preserve"> </w:t>
      </w:r>
      <w:r>
        <w:t xml:space="preserve">AACE Algorithm 2026, Fig. 6.</w:t>
      </w:r>
    </w:p>
    <w:p>
      <w:pPr>
        <w:numPr>
          <w:ilvl w:val="0"/>
          <w:numId w:val="1031"/>
        </w:numPr>
        <w:pStyle w:val="Compact"/>
      </w:pPr>
      <w:r>
        <w:rPr>
          <w:b/>
        </w:rPr>
        <w:t xml:space="preserve">Versión de la fuente:</w:t>
      </w:r>
      <w:r>
        <w:t xml:space="preserve"> </w:t>
      </w:r>
      <w:r>
        <w:t xml:space="preserve">2026 Update.</w:t>
      </w:r>
    </w:p>
    <w:p>
      <w:pPr>
        <w:numPr>
          <w:ilvl w:val="0"/>
          <w:numId w:val="1031"/>
        </w:numPr>
        <w:pStyle w:val="Compact"/>
      </w:pPr>
      <w:r>
        <w:rPr>
          <w:b/>
        </w:rPr>
        <w:t xml:space="preserve">Fecha de revisión:</w:t>
      </w:r>
      <w:r>
        <w:t xml:space="preserve"> </w:t>
      </w:r>
      <w:r>
        <w:t xml:space="preserve">Sin fecha de auditoría específica para esta jerarquía en sí (es la estructura original de la función).</w:t>
      </w:r>
    </w:p>
    <w:p>
      <w:pPr>
        <w:numPr>
          <w:ilvl w:val="0"/>
          <w:numId w:val="1031"/>
        </w:numPr>
        <w:pStyle w:val="Compact"/>
      </w:pPr>
      <w:r>
        <w:rPr>
          <w:b/>
        </w:rPr>
        <w:t xml:space="preserve">Quién revisó:</w:t>
      </w:r>
      <w:r>
        <w:t xml:space="preserve"> </w:t>
      </w:r>
      <w:r>
        <w:t xml:space="preserve">No especificado.</w:t>
      </w:r>
    </w:p>
    <w:p>
      <w:pPr>
        <w:numPr>
          <w:ilvl w:val="0"/>
          <w:numId w:val="1031"/>
        </w:numPr>
        <w:pStyle w:val="Compact"/>
      </w:pPr>
      <w:r>
        <w:rPr>
          <w:b/>
        </w:rPr>
        <w:t xml:space="preserve">Casos que la validan:</w:t>
      </w:r>
      <w:r>
        <w:t xml:space="preserve"> </w:t>
      </w:r>
      <w:r>
        <w:t xml:space="preserve">A1 (IC), A2 (ERC), A3 (ASCVD); Caso 4 multimórbido (IC+ERC+ASCVD+MASLD simultáneos).</w:t>
      </w:r>
    </w:p>
    <w:p>
      <w:pPr>
        <w:numPr>
          <w:ilvl w:val="0"/>
          <w:numId w:val="1031"/>
        </w:numPr>
        <w:pStyle w:val="Compact"/>
      </w:pPr>
      <w:r>
        <w:rPr>
          <w:b/>
        </w:rPr>
        <w:t xml:space="preserve">Excepciones:</w:t>
      </w:r>
      <w:r>
        <w:t xml:space="preserve"> </w:t>
      </w:r>
      <w:r>
        <w:t xml:space="preserve">ninguna en esta regla puntual.</w:t>
      </w:r>
    </w:p>
    <w:p>
      <w:pPr>
        <w:numPr>
          <w:ilvl w:val="0"/>
          <w:numId w:val="1031"/>
        </w:numPr>
        <w:pStyle w:val="Compact"/>
      </w:pPr>
      <w:r>
        <w:rPr>
          <w:b/>
        </w:rPr>
        <w:t xml:space="preserve">Qué faltan datos:</w:t>
      </w:r>
      <w:r>
        <w:t xml:space="preserve"> </w:t>
      </w:r>
      <w:r>
        <w:t xml:space="preserve">cada flag depende de checkboxes/cálculos ya documentados en la sección 3 (mismo patrón de</w:t>
      </w:r>
      <w:r>
        <w:t xml:space="preserve"> </w:t>
      </w:r>
      <w:r>
        <w:t xml:space="preserve">“</w:t>
      </w:r>
      <w:r>
        <w:t xml:space="preserve">false por defecto si no capturado</w:t>
      </w:r>
      <w:r>
        <w:t xml:space="preserve">”</w:t>
      </w:r>
      <w:r>
        <w:t xml:space="preserve">).</w:t>
      </w:r>
    </w:p>
    <w:p>
      <w:pPr>
        <w:numPr>
          <w:ilvl w:val="0"/>
          <w:numId w:val="1031"/>
        </w:numPr>
        <w:pStyle w:val="Compact"/>
      </w:pPr>
      <w:r>
        <w:rPr>
          <w:b/>
        </w:rPr>
        <w:t xml:space="preserve">Discrepancia entre guías:</w:t>
      </w:r>
      <w:r>
        <w:t xml:space="preserve"> </w:t>
      </w:r>
      <w:r>
        <w:t xml:space="preserve">no aplica.</w:t>
      </w:r>
    </w:p>
    <w:p>
      <w:pPr>
        <w:pStyle w:val="Heading3"/>
      </w:pPr>
      <w:bookmarkStart w:id="56" w:name="Xa5aa1c2301d24aa56270d363e318b71d8c00554"/>
      <w:r>
        <w:t xml:space="preserve">5.2 Cobertura por fármaco actual (no duplicar, recordar titular o revalorar)</w:t>
      </w:r>
      <w:bookmarkEnd w:id="56"/>
    </w:p>
    <w:p>
      <w:pPr>
        <w:numPr>
          <w:ilvl w:val="0"/>
          <w:numId w:val="1032"/>
        </w:numPr>
        <w:pStyle w:val="Compact"/>
      </w:pPr>
      <w:r>
        <w:rPr>
          <w:b/>
        </w:rPr>
        <w:t xml:space="preserve">Qué hace:</w:t>
      </w:r>
      <w:r>
        <w:t xml:space="preserve"> </w:t>
      </w:r>
      <w:r>
        <w:t xml:space="preserve">si un fármaco YA prescrito cubre una comorbilidad</w:t>
      </w:r>
      <w:r>
        <w:t xml:space="preserve"> </w:t>
      </w:r>
      <w:r>
        <w:rPr>
          <w:rStyle w:val="VerbatimChar"/>
        </w:rPr>
        <w:t xml:space="preserve">matched</w:t>
      </w:r>
      <w:r>
        <w:t xml:space="preserve">, en vez de agregar uno nuevo: si el fármaco actual se volvió inseguro (</w:t>
      </w:r>
      <w:r>
        <w:rPr>
          <w:rStyle w:val="VerbatimChar"/>
        </w:rPr>
        <w:t xml:space="preserve">currentDrugIssue</w:t>
      </w:r>
      <w:r>
        <w:t xml:space="preserve"> </w:t>
      </w:r>
      <w:r>
        <w:t xml:space="preserve">no-null), agrega tarjeta</w:t>
      </w:r>
      <w:r>
        <w:t xml:space="preserve"> </w:t>
      </w:r>
      <w:r>
        <w:t xml:space="preserve">“</w:t>
      </w:r>
      <w:r>
        <w:t xml:space="preserve">REVALORAR/SUSPENDER</w:t>
      </w:r>
      <w:r>
        <w:t xml:space="preserve">”</w:t>
      </w:r>
      <w:r>
        <w:t xml:space="preserve"> </w:t>
      </w:r>
      <w:r>
        <w:t xml:space="preserve">y deja la comorbilidad como sin cubrir (</w:t>
      </w:r>
      <w:r>
        <w:rPr>
          <w:rStyle w:val="VerbatimChar"/>
        </w:rPr>
        <w:t xml:space="preserve">remaining</w:t>
      </w:r>
      <w:r>
        <w:t xml:space="preserve">); si sigue seguro y no está a dosis máxima, agrega</w:t>
      </w:r>
      <w:r>
        <w:t xml:space="preserve"> </w:t>
      </w:r>
      <w:r>
        <w:t xml:space="preserve">“</w:t>
      </w:r>
      <w:r>
        <w:t xml:space="preserve">Titular a [dosis máxima]</w:t>
      </w:r>
      <w:r>
        <w:t xml:space="preserve">”</w:t>
      </w:r>
      <w:r>
        <w:t xml:space="preserve">; si ya está a dosis máxima, no agrega nada (beneficio ya optimizado).</w:t>
      </w:r>
    </w:p>
    <w:p>
      <w:pPr>
        <w:numPr>
          <w:ilvl w:val="0"/>
          <w:numId w:val="1032"/>
        </w:numPr>
        <w:pStyle w:val="Compact"/>
      </w:pPr>
      <w:r>
        <w:rPr>
          <w:b/>
        </w:rPr>
        <w:t xml:space="preserve">Por qué:</w:t>
      </w:r>
      <w:r>
        <w:t xml:space="preserve"> </w:t>
      </w:r>
      <w:r>
        <w:t xml:space="preserve">evitar recomendar un fármaco nuevo redundante cuando el paciente ya tiene cobertura farmacológica de esa comorbilidad.</w:t>
      </w:r>
    </w:p>
    <w:p>
      <w:pPr>
        <w:numPr>
          <w:ilvl w:val="0"/>
          <w:numId w:val="1032"/>
        </w:numPr>
        <w:pStyle w:val="Compact"/>
      </w:pPr>
      <w:r>
        <w:rPr>
          <w:b/>
        </w:rPr>
        <w:t xml:space="preserve">Fuente:</w:t>
      </w:r>
      <w:r>
        <w:t xml:space="preserve"> </w:t>
      </w:r>
      <w:r>
        <w:t xml:space="preserve">lógica de consolidación propia del proyecto (no cita guía externa puntual).</w:t>
      </w:r>
    </w:p>
    <w:p>
      <w:pPr>
        <w:numPr>
          <w:ilvl w:val="0"/>
          <w:numId w:val="1032"/>
        </w:numPr>
        <w:pStyle w:val="Compact"/>
      </w:pPr>
      <w:r>
        <w:rPr>
          <w:b/>
        </w:rPr>
        <w:t xml:space="preserve">Versión de la fuente:</w:t>
      </w:r>
      <w:r>
        <w:t xml:space="preserve"> </w:t>
      </w:r>
      <w:r>
        <w:t xml:space="preserve">No aplica.</w:t>
      </w:r>
    </w:p>
    <w:p>
      <w:pPr>
        <w:numPr>
          <w:ilvl w:val="0"/>
          <w:numId w:val="1032"/>
        </w:numPr>
        <w:pStyle w:val="Compact"/>
      </w:pPr>
      <w:r>
        <w:rPr>
          <w:b/>
        </w:rPr>
        <w:t xml:space="preserve">Fecha de revisión:</w:t>
      </w:r>
      <w:r>
        <w:t xml:space="preserve"> </w:t>
      </w:r>
      <w:r>
        <w:t xml:space="preserve">la rama de</w:t>
      </w:r>
      <w:r>
        <w:t xml:space="preserve"> </w:t>
      </w:r>
      <w:r>
        <w:t xml:space="preserve">“</w:t>
      </w:r>
      <w:r>
        <w:t xml:space="preserve">REVALORAR/SUSPENDER si el cobertor se volvió inseguro</w:t>
      </w:r>
      <w:r>
        <w:t xml:space="preserve">”</w:t>
      </w:r>
      <w:r>
        <w:t xml:space="preserve"> </w:t>
      </w:r>
      <w:r>
        <w:t xml:space="preserve">es corrección de</w:t>
      </w:r>
      <w:r>
        <w:t xml:space="preserve"> </w:t>
      </w:r>
      <w:r>
        <w:t xml:space="preserve">“</w:t>
      </w:r>
      <w:r>
        <w:t xml:space="preserve">la misma ronda de auditoría que el hallazgo de metformina/eGFR&lt;30</w:t>
      </w:r>
      <w:r>
        <w:t xml:space="preserve">”</w:t>
      </w:r>
      <w:r>
        <w:t xml:space="preserve"> </w:t>
      </w:r>
      <w:r>
        <w:t xml:space="preserve">(ver 5.9).</w:t>
      </w:r>
    </w:p>
    <w:p>
      <w:pPr>
        <w:numPr>
          <w:ilvl w:val="0"/>
          <w:numId w:val="1032"/>
        </w:numPr>
        <w:pStyle w:val="Compact"/>
      </w:pPr>
      <w:r>
        <w:rPr>
          <w:b/>
        </w:rPr>
        <w:t xml:space="preserve">Quién revisó:</w:t>
      </w:r>
      <w:r>
        <w:t xml:space="preserve"> </w:t>
      </w:r>
      <w:r>
        <w:t xml:space="preserve">No especificado nominalmente en este bloque puntual.</w:t>
      </w:r>
    </w:p>
    <w:p>
      <w:pPr>
        <w:numPr>
          <w:ilvl w:val="0"/>
          <w:numId w:val="1032"/>
        </w:numPr>
        <w:pStyle w:val="Compact"/>
      </w:pPr>
      <w:r>
        <w:rPr>
          <w:b/>
        </w:rPr>
        <w:t xml:space="preserve">Casos que la validan:</w:t>
      </w:r>
      <w:r>
        <w:t xml:space="preserve"> </w:t>
      </w:r>
      <w:r>
        <w:t xml:space="preserve">A5 (</w:t>
      </w:r>
      <w:r>
        <w:t xml:space="preserve">“</w:t>
      </w:r>
      <w:r>
        <w:t xml:space="preserve">T2D en Met+Dapa (no max) + IC → solo recordatorios de TITULAR, sin fármaco nuevo</w:t>
      </w:r>
      <w:r>
        <w:t xml:space="preserve">”</w:t>
      </w:r>
      <w:r>
        <w:t xml:space="preserve">).</w:t>
      </w:r>
    </w:p>
    <w:p>
      <w:pPr>
        <w:numPr>
          <w:ilvl w:val="0"/>
          <w:numId w:val="1032"/>
        </w:numPr>
        <w:pStyle w:val="Compact"/>
      </w:pPr>
      <w:r>
        <w:rPr>
          <w:b/>
        </w:rPr>
        <w:t xml:space="preserve">Excepciones:</w:t>
      </w:r>
      <w:r>
        <w:t xml:space="preserve"> </w:t>
      </w:r>
      <w:r>
        <w:t xml:space="preserve">un mismo fármaco actual puede cubrir &gt;1 comorbilidad a la vez — se recuerda titular UNA sola vez (</w:t>
      </w:r>
      <w:r>
        <w:rPr>
          <w:rStyle w:val="VerbatimChar"/>
        </w:rPr>
        <w:t xml:space="preserve">remindedIds</w:t>
      </w:r>
      <w:r>
        <w:t xml:space="preserve">), no una vez por comorbilidad cubierta.</w:t>
      </w:r>
    </w:p>
    <w:p>
      <w:pPr>
        <w:numPr>
          <w:ilvl w:val="0"/>
          <w:numId w:val="1032"/>
        </w:numPr>
        <w:pStyle w:val="Compact"/>
      </w:pPr>
      <w:r>
        <w:rPr>
          <w:b/>
        </w:rPr>
        <w:t xml:space="preserve">Qué faltan datos:</w:t>
      </w:r>
      <w:r>
        <w:t xml:space="preserve"> </w:t>
      </w:r>
      <w:r>
        <w:t xml:space="preserve">depende de</w:t>
      </w:r>
      <w:r>
        <w:t xml:space="preserve"> </w:t>
      </w:r>
      <w:r>
        <w:rPr>
          <w:rStyle w:val="VerbatimChar"/>
        </w:rPr>
        <w:t xml:space="preserve">p.medicacionActual</w:t>
      </w:r>
      <w:r>
        <w:t xml:space="preserve"> </w:t>
      </w:r>
      <w:r>
        <w:t xml:space="preserve">— si el campo no existe,</w:t>
      </w:r>
      <w:r>
        <w:t xml:space="preserve"> </w:t>
      </w:r>
      <w:r>
        <w:rPr>
          <w:rStyle w:val="VerbatimChar"/>
        </w:rPr>
        <w:t xml:space="preserve">getMedicationState</w:t>
      </w:r>
      <w:r>
        <w:t xml:space="preserve"> </w:t>
      </w:r>
      <w:r>
        <w:t xml:space="preserve">trata al paciente como</w:t>
      </w:r>
      <w:r>
        <w:t xml:space="preserve"> </w:t>
      </w:r>
      <w:r>
        <w:t xml:space="preserve">“</w:t>
      </w:r>
      <w:r>
        <w:t xml:space="preserve">virgen</w:t>
      </w:r>
      <w:r>
        <w:t xml:space="preserve">”</w:t>
      </w:r>
      <w:r>
        <w:t xml:space="preserve"> </w:t>
      </w:r>
      <w:r>
        <w:t xml:space="preserve">(</w:t>
      </w:r>
      <w:r>
        <w:rPr>
          <w:rStyle w:val="VerbatimChar"/>
        </w:rPr>
        <w:t xml:space="preserve">isVirgen=true</w:t>
      </w:r>
      <w:r>
        <w:t xml:space="preserve">) y esta rama nunca se activa; comportamiento documentado explícitamente como intencional (</w:t>
      </w:r>
      <w:r>
        <w:t xml:space="preserve">“</w:t>
      </w:r>
      <w:r>
        <w:t xml:space="preserve">el motor se comporta exactamente igual que antes de que este concepto existiera</w:t>
      </w:r>
      <w:r>
        <w:t xml:space="preserve">”</w:t>
      </w:r>
      <w:r>
        <w:t xml:space="preserve">).</w:t>
      </w:r>
    </w:p>
    <w:p>
      <w:pPr>
        <w:numPr>
          <w:ilvl w:val="0"/>
          <w:numId w:val="1032"/>
        </w:numPr>
        <w:pStyle w:val="Compact"/>
      </w:pPr>
      <w:r>
        <w:rPr>
          <w:b/>
        </w:rPr>
        <w:t xml:space="preserve">Discrepancia entre guías:</w:t>
      </w:r>
      <w:r>
        <w:t xml:space="preserve"> </w:t>
      </w:r>
      <w:r>
        <w:t xml:space="preserve">no aplica.</w:t>
      </w:r>
    </w:p>
    <w:p>
      <w:pPr>
        <w:pStyle w:val="Heading3"/>
      </w:pPr>
      <w:bookmarkStart w:id="57" w:name="Xdd73e3bde8af19c8c0de0222256986e18c4f0c3"/>
      <w:r>
        <w:t xml:space="preserve">5.3 Algoritmo de cobertura máxima greedy (set cover) para comorbilidades múltiples</w:t>
      </w:r>
      <w:bookmarkEnd w:id="57"/>
    </w:p>
    <w:p>
      <w:pPr>
        <w:numPr>
          <w:ilvl w:val="0"/>
          <w:numId w:val="1033"/>
        </w:numPr>
        <w:pStyle w:val="Compact"/>
      </w:pPr>
      <w:r>
        <w:rPr>
          <w:b/>
        </w:rPr>
        <w:t xml:space="preserve">Qué hace:</w:t>
      </w:r>
      <w:r>
        <w:t xml:space="preserve"> </w:t>
      </w:r>
      <w:r>
        <w:t xml:space="preserve">en cada ronda, elige el fármaco NUEVO que cubre el mayor número de comorbilidades AÚN sin cubrir; desempata primero por evidencia fuerte (</w:t>
      </w:r>
      <w:r>
        <w:rPr>
          <w:rStyle w:val="VerbatimChar"/>
        </w:rPr>
        <w:t xml:space="preserve">evid==="fuerte"</w:t>
      </w:r>
      <w:r>
        <w:t xml:space="preserve"> </w:t>
      </w:r>
      <w:r>
        <w:t xml:space="preserve">— ensayos de desenlace duro como DAPA-HF/EMPA-KIDNEY/CREDENCE/FLOW/LEADER/REWIND/SOUL/IRIS/SUMMIT) sobre evidencia de clase (</w:t>
      </w:r>
      <w:r>
        <w:rPr>
          <w:rStyle w:val="VerbatimChar"/>
        </w:rPr>
        <w:t xml:space="preserve">evid==="clase"</w:t>
      </w:r>
      <w:r>
        <w:t xml:space="preserve">); luego por</w:t>
      </w:r>
      <w:r>
        <w:t xml:space="preserve"> </w:t>
      </w:r>
      <w:r>
        <w:rPr>
          <w:rStyle w:val="VerbatimChar"/>
        </w:rPr>
        <w:t xml:space="preserve">rankByAccess</w:t>
      </w:r>
      <w:r>
        <w:t xml:space="preserve"> </w:t>
      </w:r>
      <w:r>
        <w:t xml:space="preserve">(costo si</w:t>
      </w:r>
      <w:r>
        <w:t xml:space="preserve"> </w:t>
      </w:r>
      <w:r>
        <w:rPr>
          <w:rStyle w:val="VerbatimChar"/>
        </w:rPr>
        <w:t xml:space="preserve">accesoTier===1</w:t>
      </w:r>
      <w:r>
        <w:t xml:space="preserve">, luego menor riesgo de hipoglucemia); agrega el fármaco con TODAS las razones que cubre en una sola tarjeta y repite con lo que quede.</w:t>
      </w:r>
    </w:p>
    <w:p>
      <w:pPr>
        <w:numPr>
          <w:ilvl w:val="0"/>
          <w:numId w:val="1033"/>
        </w:numPr>
        <w:pStyle w:val="Compact"/>
      </w:pPr>
      <w:r>
        <w:rPr>
          <w:b/>
        </w:rPr>
        <w:t xml:space="preserve">Por qué:</w:t>
      </w:r>
      <w:r>
        <w:t xml:space="preserve"> </w:t>
      </w:r>
      <w:r>
        <w:t xml:space="preserve">corrige un bug detectado por el Dr. Ortega en un paciente</w:t>
      </w:r>
      <w:r>
        <w:t xml:space="preserve"> </w:t>
      </w:r>
      <w:r>
        <w:t xml:space="preserve">“</w:t>
      </w:r>
      <w:r>
        <w:t xml:space="preserve">outlier</w:t>
      </w:r>
      <w:r>
        <w:t xml:space="preserve">”</w:t>
      </w:r>
      <w:r>
        <w:t xml:space="preserve"> </w:t>
      </w:r>
      <w:r>
        <w:t xml:space="preserve">(IC+ERC+ASCVD+MASLD simultáneos) donde el algoritmo anterior (independiente por comorbilidad) producía tarjetas duplicadas — ej. Dapagliflozina para IC+ERC+MASLD y por separado Empagliflozina para ASCVD, cuando Empagliflozina sola cubre las 4.</w:t>
      </w:r>
    </w:p>
    <w:p>
      <w:pPr>
        <w:numPr>
          <w:ilvl w:val="0"/>
          <w:numId w:val="1033"/>
        </w:numPr>
        <w:pStyle w:val="Compact"/>
      </w:pPr>
      <w:r>
        <w:rPr>
          <w:b/>
        </w:rPr>
        <w:t xml:space="preserve">Fuente:</w:t>
      </w:r>
      <w:r>
        <w:t xml:space="preserve"> </w:t>
      </w:r>
      <w:r>
        <w:t xml:space="preserve">algoritmo estándar de</w:t>
      </w:r>
      <w:r>
        <w:t xml:space="preserve"> </w:t>
      </w:r>
      <w:r>
        <w:t xml:space="preserve">“</w:t>
      </w:r>
      <w:r>
        <w:t xml:space="preserve">set cover</w:t>
      </w:r>
      <w:r>
        <w:t xml:space="preserve">”</w:t>
      </w:r>
      <w:r>
        <w:t xml:space="preserve"> </w:t>
      </w:r>
      <w:r>
        <w:t xml:space="preserve">(mencionado explícitamente por nombre) aplicado sobre los datos de beneficio/evidencia de</w:t>
      </w:r>
      <w:r>
        <w:t xml:space="preserve"> </w:t>
      </w:r>
      <w:r>
        <w:rPr>
          <w:rStyle w:val="VerbatimChar"/>
        </w:rPr>
        <w:t xml:space="preserve">pharma-db.js</w:t>
      </w:r>
      <w:r>
        <w:t xml:space="preserve">; el desempate por evidencia fuerte vs. de clase fue</w:t>
      </w:r>
      <w:r>
        <w:t xml:space="preserve"> </w:t>
      </w:r>
      <w:r>
        <w:t xml:space="preserve">“</w:t>
      </w:r>
      <w:r>
        <w:t xml:space="preserve">a petición del Dr. Ortega tras revisar el motor:</w:t>
      </w:r>
      <w:r>
        <w:t xml:space="preserve"> </w:t>
      </w:r>
      <w:r>
        <w:t xml:space="preserve">‘</w:t>
      </w:r>
      <w:r>
        <w:t xml:space="preserve">dejemos la evidencia sobre el costo</w:t>
      </w:r>
      <w:r>
        <w:t xml:space="preserve">’</w:t>
      </w:r>
      <w:r>
        <w:t xml:space="preserve">”</w:t>
      </w:r>
      <w:r>
        <w:t xml:space="preserve">.</w:t>
      </w:r>
    </w:p>
    <w:p>
      <w:pPr>
        <w:numPr>
          <w:ilvl w:val="0"/>
          <w:numId w:val="1033"/>
        </w:numPr>
        <w:pStyle w:val="Compact"/>
      </w:pPr>
      <w:r>
        <w:rPr>
          <w:b/>
        </w:rPr>
        <w:t xml:space="preserve">Versión de la fuente:</w:t>
      </w:r>
      <w:r>
        <w:t xml:space="preserve"> </w:t>
      </w:r>
      <w:r>
        <w:t xml:space="preserve">No aplica (algoritmo de optimización, no guía clínica per se).</w:t>
      </w:r>
    </w:p>
    <w:p>
      <w:pPr>
        <w:numPr>
          <w:ilvl w:val="0"/>
          <w:numId w:val="1033"/>
        </w:numPr>
        <w:pStyle w:val="Compact"/>
      </w:pPr>
      <w:r>
        <w:rPr>
          <w:b/>
        </w:rPr>
        <w:t xml:space="preserve">Fecha de revisión:</w:t>
      </w:r>
      <w:r>
        <w:t xml:space="preserve"> </w:t>
      </w:r>
      <w:r>
        <w:t xml:space="preserve">11-ago-2026 (desempate por evidencia fuerte).</w:t>
      </w:r>
    </w:p>
    <w:p>
      <w:pPr>
        <w:numPr>
          <w:ilvl w:val="0"/>
          <w:numId w:val="1033"/>
        </w:numPr>
        <w:pStyle w:val="Compact"/>
      </w:pPr>
      <w:r>
        <w:rPr>
          <w:b/>
        </w:rPr>
        <w:t xml:space="preserve">Quién revisó:</w:t>
      </w:r>
      <w:r>
        <w:t xml:space="preserve"> </w:t>
      </w:r>
      <w:r>
        <w:t xml:space="preserve">Dr. Ortega.</w:t>
      </w:r>
    </w:p>
    <w:p>
      <w:pPr>
        <w:numPr>
          <w:ilvl w:val="0"/>
          <w:numId w:val="1033"/>
        </w:numPr>
        <w:pStyle w:val="Compact"/>
      </w:pPr>
      <w:r>
        <w:rPr>
          <w:b/>
        </w:rPr>
        <w:t xml:space="preserve">Casos que la validan:</w:t>
      </w:r>
      <w:r>
        <w:t xml:space="preserve"> </w:t>
      </w:r>
      <w:r>
        <w:rPr>
          <w:rStyle w:val="VerbatimChar"/>
        </w:rPr>
        <w:t xml:space="preserve">tests/multimorbid-cases.test.mjs</w:t>
      </w:r>
      <w:r>
        <w:t xml:space="preserve"> </w:t>
      </w:r>
      <w:r>
        <w:t xml:space="preserve">Caso 4 (</w:t>
      </w:r>
      <w:r>
        <w:t xml:space="preserve">“</w:t>
      </w:r>
      <w:r>
        <w:t xml:space="preserve">ningún subgrupo farmacológico se repite dentro de la misma categoría — sin redundancia tipo Caso 4</w:t>
      </w:r>
      <w:r>
        <w:t xml:space="preserve">”</w:t>
      </w:r>
      <w:r>
        <w:t xml:space="preserve">), verificación explícita</w:t>
      </w:r>
      <w:r>
        <w:t xml:space="preserve"> </w:t>
      </w:r>
      <w:r>
        <w:rPr>
          <w:rStyle w:val="VerbatimChar"/>
        </w:rPr>
        <w:t xml:space="preserve">noDuplicateGroupsWithinCategory</w:t>
      </w:r>
      <w:r>
        <w:t xml:space="preserve">.</w:t>
      </w:r>
    </w:p>
    <w:p>
      <w:pPr>
        <w:numPr>
          <w:ilvl w:val="0"/>
          <w:numId w:val="1033"/>
        </w:numPr>
        <w:pStyle w:val="Compact"/>
      </w:pPr>
      <w:r>
        <w:rPr>
          <w:b/>
        </w:rPr>
        <w:t xml:space="preserve">Excepciones:</w:t>
      </w:r>
      <w:r>
        <w:t xml:space="preserve"> </w:t>
      </w:r>
      <w:r>
        <w:t xml:space="preserve">documentadas en 5.4 (exclusión de familia incretina) y 5.5 (advertencia de ganancia de peso).</w:t>
      </w:r>
    </w:p>
    <w:p>
      <w:pPr>
        <w:numPr>
          <w:ilvl w:val="0"/>
          <w:numId w:val="1033"/>
        </w:numPr>
        <w:pStyle w:val="Compact"/>
      </w:pPr>
      <w:r>
        <w:rPr>
          <w:b/>
        </w:rPr>
        <w:t xml:space="preserve">Qué faltan datos:</w:t>
      </w:r>
      <w:r>
        <w:t xml:space="preserve"> </w:t>
      </w:r>
      <w:r>
        <w:t xml:space="preserve">si</w:t>
      </w:r>
      <w:r>
        <w:t xml:space="preserve"> </w:t>
      </w:r>
      <w:r>
        <w:rPr>
          <w:rStyle w:val="VerbatimChar"/>
        </w:rPr>
        <w:t xml:space="preserve">pending.length &gt; 0</w:t>
      </w:r>
      <w:r>
        <w:t xml:space="preserve"> </w:t>
      </w:r>
      <w:r>
        <w:t xml:space="preserve">pero ningún candidato cubre lo que falta (</w:t>
      </w:r>
      <w:r>
        <w:rPr>
          <w:rStyle w:val="VerbatimChar"/>
        </w:rPr>
        <w:t xml:space="preserve">scored.length === 0</w:t>
      </w:r>
      <w:r>
        <w:t xml:space="preserve">), el bucle simplemente</w:t>
      </w:r>
      <w:r>
        <w:t xml:space="preserve"> </w:t>
      </w:r>
      <w:r>
        <w:rPr>
          <w:rStyle w:val="VerbatimChar"/>
        </w:rPr>
        <w:t xml:space="preserve">break</w:t>
      </w:r>
      <w:r>
        <w:t xml:space="preserve"> </w:t>
      </w:r>
      <w:r>
        <w:t xml:space="preserve">— la comorbilidad queda sin fármaco antidiabético adicional, sin ninguna tarjeta de</w:t>
      </w:r>
      <w:r>
        <w:t xml:space="preserve"> </w:t>
      </w:r>
      <w:r>
        <w:t xml:space="preserve">“</w:t>
      </w:r>
      <w:r>
        <w:t xml:space="preserve">no se encontró tratamiento para X</w:t>
      </w:r>
      <w:r>
        <w:t xml:space="preserve">”</w:t>
      </w:r>
      <w:r>
        <w:t xml:space="preserve"> </w:t>
      </w:r>
      <w:r>
        <w:t xml:space="preserve">— es un silencio funcional similar al patrón de guardas</w:t>
      </w:r>
      <w:r>
        <w:t xml:space="preserve"> </w:t>
      </w:r>
      <w:r>
        <w:rPr>
          <w:rStyle w:val="VerbatimChar"/>
        </w:rPr>
        <w:t xml:space="preserve">&gt;0</w:t>
      </w:r>
      <w:r>
        <w:t xml:space="preserve">, aunque aquí está mitigado parcialmente por el catch-all (5.11) que sí revisa fármacos YA activos.</w:t>
      </w:r>
    </w:p>
    <w:p>
      <w:pPr>
        <w:numPr>
          <w:ilvl w:val="0"/>
          <w:numId w:val="1033"/>
        </w:numPr>
        <w:pStyle w:val="Compact"/>
      </w:pPr>
      <w:r>
        <w:rPr>
          <w:b/>
        </w:rPr>
        <w:t xml:space="preserve">Discrepancia entre guías:</w:t>
      </w:r>
      <w:r>
        <w:t xml:space="preserve"> </w:t>
      </w:r>
      <w:r>
        <w:t xml:space="preserve">no aplica.</w:t>
      </w:r>
    </w:p>
    <w:p>
      <w:pPr>
        <w:pStyle w:val="Heading3"/>
      </w:pPr>
      <w:bookmarkStart w:id="58" w:name="Xd3403d99fcf6be76a5f093eb186be38a87bcf63"/>
      <w:r>
        <w:t xml:space="preserve">5.4 Exclusión de familia incretina duplicada (GLP-1 RA + GIP/GLP-1 RA)</w:t>
      </w:r>
      <w:bookmarkEnd w:id="58"/>
    </w:p>
    <w:p>
      <w:pPr>
        <w:numPr>
          <w:ilvl w:val="0"/>
          <w:numId w:val="1034"/>
        </w:numPr>
        <w:pStyle w:val="Compact"/>
      </w:pPr>
      <w:r>
        <w:rPr>
          <w:b/>
        </w:rPr>
        <w:t xml:space="preserve">Qué hace:</w:t>
      </w:r>
      <w:r>
        <w:t xml:space="preserve"> </w:t>
      </w:r>
      <w:r>
        <w:t xml:space="preserve">una vez elegido un agente de familia incretina (GLP-1 RA o GIP/GLP-1 RA) en el greedy, excluye TODA esa familia de rondas posteriores del mismo plan — si ninguna otra clase cubre lo que falta, esa comorbilidad queda sin fármaco antidiabético adicional en vez de apilar dos incretinas.</w:t>
      </w:r>
    </w:p>
    <w:p>
      <w:pPr>
        <w:numPr>
          <w:ilvl w:val="0"/>
          <w:numId w:val="1034"/>
        </w:numPr>
        <w:pStyle w:val="Compact"/>
      </w:pPr>
      <w:r>
        <w:rPr>
          <w:b/>
        </w:rPr>
        <w:t xml:space="preserve">Por qué:</w:t>
      </w:r>
      <w:r>
        <w:t xml:space="preserve"> </w:t>
      </w:r>
      <w:r>
        <w:t xml:space="preserve">corrige un segundo bug (exploración adversarial H3, paciente eGFR=18 + IC+ERC+ASCVD) donde el greedy sin restricciones elegía Semaglutida Y Tirzepatida a la vez para cerrar cobertura — dos agonistas basados en incretina simultáneos, mecanismo redundante/competitivo sin evidencia de combinarlos, y el chequeo</w:t>
      </w:r>
      <w:r>
        <w:t xml:space="preserve"> </w:t>
      </w:r>
      <w:r>
        <w:rPr>
          <w:rStyle w:val="VerbatimChar"/>
        </w:rPr>
        <w:t xml:space="preserve">noDuplicateGroupsWithinCategory</w:t>
      </w:r>
      <w:r>
        <w:t xml:space="preserve"> </w:t>
      </w:r>
      <w:r>
        <w:t xml:space="preserve">no lo detectaba porque son</w:t>
      </w:r>
      <w:r>
        <w:t xml:space="preserve"> </w:t>
      </w:r>
      <w:r>
        <w:rPr>
          <w:rStyle w:val="VerbatimChar"/>
        </w:rPr>
        <w:t xml:space="preserve">grp</w:t>
      </w:r>
      <w:r>
        <w:t xml:space="preserve"> </w:t>
      </w:r>
      <w:r>
        <w:t xml:space="preserve">distintos (</w:t>
      </w:r>
      <w:r>
        <w:t xml:space="preserve">“</w:t>
      </w:r>
      <w:r>
        <w:t xml:space="preserve">GLP-1 RA</w:t>
      </w:r>
      <w:r>
        <w:t xml:space="preserve">”</w:t>
      </w:r>
      <w:r>
        <w:t xml:space="preserve"> </w:t>
      </w:r>
      <w:r>
        <w:t xml:space="preserve">vs. </w:t>
      </w:r>
      <w:r>
        <w:t xml:space="preserve">“</w:t>
      </w:r>
      <w:r>
        <w:t xml:space="preserve">GIP/GLP-1 RA</w:t>
      </w:r>
      <w:r>
        <w:t xml:space="preserve">”</w:t>
      </w:r>
      <w:r>
        <w:t xml:space="preserve">).</w:t>
      </w:r>
    </w:p>
    <w:p>
      <w:pPr>
        <w:numPr>
          <w:ilvl w:val="0"/>
          <w:numId w:val="1034"/>
        </w:numPr>
        <w:pStyle w:val="Compact"/>
      </w:pPr>
      <w:r>
        <w:rPr>
          <w:b/>
        </w:rPr>
        <w:t xml:space="preserve">Fuente:</w:t>
      </w:r>
      <w:r>
        <w:t xml:space="preserve"> </w:t>
      </w:r>
      <w:r>
        <w:t xml:space="preserve">razonamiento farmacológico propio del equipo (no cita guía externa puntual para esta exclusión específica).</w:t>
      </w:r>
    </w:p>
    <w:p>
      <w:pPr>
        <w:numPr>
          <w:ilvl w:val="0"/>
          <w:numId w:val="1034"/>
        </w:numPr>
        <w:pStyle w:val="Compact"/>
      </w:pPr>
      <w:r>
        <w:rPr>
          <w:b/>
        </w:rPr>
        <w:t xml:space="preserve">Versión de la fuente:</w:t>
      </w:r>
      <w:r>
        <w:t xml:space="preserve"> </w:t>
      </w:r>
      <w:r>
        <w:t xml:space="preserve">No aplica.</w:t>
      </w:r>
    </w:p>
    <w:p>
      <w:pPr>
        <w:numPr>
          <w:ilvl w:val="0"/>
          <w:numId w:val="1034"/>
        </w:numPr>
        <w:pStyle w:val="Compact"/>
      </w:pPr>
      <w:r>
        <w:rPr>
          <w:b/>
        </w:rPr>
        <w:t xml:space="preserve">Fecha de revisión:</w:t>
      </w:r>
      <w:r>
        <w:t xml:space="preserve"> </w:t>
      </w:r>
      <w:r>
        <w:t xml:space="preserve">exploración adversarial H3, sin fecha exacta citada en este comentario específico (parte de la misma ronda que la corrección del greedy, 11-ago-2026).</w:t>
      </w:r>
    </w:p>
    <w:p>
      <w:pPr>
        <w:numPr>
          <w:ilvl w:val="0"/>
          <w:numId w:val="1034"/>
        </w:numPr>
        <w:pStyle w:val="Compact"/>
      </w:pPr>
      <w:r>
        <w:rPr>
          <w:b/>
        </w:rPr>
        <w:t xml:space="preserve">Quién revisó:</w:t>
      </w:r>
      <w:r>
        <w:t xml:space="preserve"> </w:t>
      </w:r>
      <w:r>
        <w:t xml:space="preserve">Dr. Ortega (</w:t>
      </w:r>
      <w:r>
        <w:t xml:space="preserve">“</w:t>
      </w:r>
      <w:r>
        <w:t xml:space="preserve">verifiquemos dónde puede haber más bugs en el algoritmo</w:t>
      </w:r>
      <w:r>
        <w:t xml:space="preserve">”</w:t>
      </w:r>
      <w:r>
        <w:t xml:space="preserve">).</w:t>
      </w:r>
    </w:p>
    <w:p>
      <w:pPr>
        <w:numPr>
          <w:ilvl w:val="0"/>
          <w:numId w:val="1034"/>
        </w:numPr>
        <w:pStyle w:val="Compact"/>
      </w:pPr>
      <w:r>
        <w:rPr>
          <w:b/>
        </w:rPr>
        <w:t xml:space="preserve">Casos que la validan:</w:t>
      </w:r>
      <w:r>
        <w:t xml:space="preserve"> </w:t>
      </w:r>
      <w:r>
        <w:t xml:space="preserve">el escenario descrito (eGFR=18 + IC+ERC+ASCVD) no aparece como caso</w:t>
      </w:r>
      <w:r>
        <w:t xml:space="preserve"> </w:t>
      </w:r>
      <w:r>
        <w:rPr>
          <w:rStyle w:val="VerbatimChar"/>
        </w:rPr>
        <w:t xml:space="preserve">check()</w:t>
      </w:r>
      <w:r>
        <w:t xml:space="preserve"> </w:t>
      </w:r>
      <w:r>
        <w:t xml:space="preserve">explícito en los 3 archivos de test revisados — Sin caso de prueba identificado con ese perfil exacto (aunque el hallazgo está documentado en el propio código como motivador de la corrección).</w:t>
      </w:r>
    </w:p>
    <w:p>
      <w:pPr>
        <w:numPr>
          <w:ilvl w:val="0"/>
          <w:numId w:val="1034"/>
        </w:numPr>
        <w:pStyle w:val="Compact"/>
      </w:pPr>
      <w:r>
        <w:rPr>
          <w:b/>
        </w:rPr>
        <w:t xml:space="preserve">Excepciones:</w:t>
      </w:r>
      <w:r>
        <w:t xml:space="preserve"> </w:t>
      </w:r>
      <w:r>
        <w:t xml:space="preserve">ninguna — la exclusión es total una vez usada una familia incretina.</w:t>
      </w:r>
    </w:p>
    <w:p>
      <w:pPr>
        <w:numPr>
          <w:ilvl w:val="0"/>
          <w:numId w:val="1034"/>
        </w:numPr>
        <w:pStyle w:val="Compact"/>
      </w:pPr>
      <w:r>
        <w:rPr>
          <w:b/>
        </w:rPr>
        <w:t xml:space="preserve">Qué faltan datos:</w:t>
      </w:r>
      <w:r>
        <w:t xml:space="preserve"> </w:t>
      </w:r>
      <w:r>
        <w:t xml:space="preserve">no depende de datos del paciente sino del estado interno del algoritmo (</w:t>
      </w:r>
      <w:r>
        <w:rPr>
          <w:rStyle w:val="VerbatimChar"/>
        </w:rPr>
        <w:t xml:space="preserve">incretinFamilyUsed</w:t>
      </w:r>
      <w:r>
        <w:t xml:space="preserve">) — no aplica el patrón de guarda por dato faltante.</w:t>
      </w:r>
    </w:p>
    <w:p>
      <w:pPr>
        <w:numPr>
          <w:ilvl w:val="0"/>
          <w:numId w:val="1034"/>
        </w:numPr>
        <w:pStyle w:val="Compact"/>
      </w:pPr>
      <w:r>
        <w:rPr>
          <w:b/>
        </w:rPr>
        <w:t xml:space="preserve">Discrepancia entre guías:</w:t>
      </w:r>
      <w:r>
        <w:t xml:space="preserve"> </w:t>
      </w:r>
      <w:r>
        <w:t xml:space="preserve">no aplica.</w:t>
      </w:r>
    </w:p>
    <w:p>
      <w:pPr>
        <w:pStyle w:val="Heading3"/>
      </w:pPr>
      <w:bookmarkStart w:id="59" w:name="Xe4f85cb70892cbb0acbfde066b26c87b1f9151a"/>
      <w:r>
        <w:t xml:space="preserve">5.5 Advertencia de ganancia de peso en agente forzado por set-cover</w:t>
      </w:r>
      <w:bookmarkEnd w:id="59"/>
    </w:p>
    <w:p>
      <w:pPr>
        <w:numPr>
          <w:ilvl w:val="0"/>
          <w:numId w:val="1035"/>
        </w:numPr>
        <w:pStyle w:val="Compact"/>
      </w:pPr>
      <w:r>
        <w:rPr>
          <w:b/>
        </w:rPr>
        <w:t xml:space="preserve">Qué hace:</w:t>
      </w:r>
      <w:r>
        <w:t xml:space="preserve"> </w:t>
      </w:r>
      <w:r>
        <w:t xml:space="preserve">si el greedy elige un agente con</w:t>
      </w:r>
      <w:r>
        <w:t xml:space="preserve"> </w:t>
      </w:r>
      <w:r>
        <w:rPr>
          <w:rStyle w:val="VerbatimChar"/>
        </w:rPr>
        <w:t xml:space="preserve">drug.peso === "ganancia"</w:t>
      </w:r>
      <w:r>
        <w:t xml:space="preserve"> </w:t>
      </w:r>
      <w:r>
        <w:t xml:space="preserve">(ej. Pioglitazona) en un paciente con</w:t>
      </w:r>
      <w:r>
        <w:t xml:space="preserve"> </w:t>
      </w:r>
      <w:r>
        <w:rPr>
          <w:rStyle w:val="VerbatimChar"/>
        </w:rPr>
        <w:t xml:space="preserve">flags.obesidad</w:t>
      </w:r>
      <w:r>
        <w:t xml:space="preserve">, agrega advertencia explícita en el texto de la razón (</w:t>
      </w:r>
      <w:r>
        <w:t xml:space="preserve">“</w:t>
      </w:r>
      <w:r>
        <w:t xml:space="preserve">⚠ Este agente favorece ganancia de peso…</w:t>
      </w:r>
      <w:r>
        <w:t xml:space="preserve">”</w:t>
      </w:r>
      <w:r>
        <w:t xml:space="preserve">).</w:t>
      </w:r>
    </w:p>
    <w:p>
      <w:pPr>
        <w:numPr>
          <w:ilvl w:val="0"/>
          <w:numId w:val="1035"/>
        </w:numPr>
        <w:pStyle w:val="Compact"/>
      </w:pPr>
      <w:r>
        <w:rPr>
          <w:b/>
        </w:rPr>
        <w:t xml:space="preserve">Por qué:</w:t>
      </w:r>
      <w:r>
        <w:t xml:space="preserve"> </w:t>
      </w:r>
      <w:r>
        <w:t xml:space="preserve">corrige un tercer hallazgo (exploración H2, paciente Stroke+MASLD+Pancreatitis+Obesidad IMC 34) donde, con GLP-1/GIP contraindicado por pancreatitis, el greedy podía quedar forzado a un agente que favorece ganancia de peso sin avisar que es contrario a la meta del paciente obeso.</w:t>
      </w:r>
    </w:p>
    <w:p>
      <w:pPr>
        <w:numPr>
          <w:ilvl w:val="0"/>
          <w:numId w:val="1035"/>
        </w:numPr>
        <w:pStyle w:val="Compact"/>
      </w:pPr>
      <w:r>
        <w:rPr>
          <w:b/>
        </w:rPr>
        <w:t xml:space="preserve">Fuente:</w:t>
      </w:r>
      <w:r>
        <w:t xml:space="preserve"> </w:t>
      </w:r>
      <w:r>
        <w:t xml:space="preserve">razonamiento clínico propio (no cita guía puntual).</w:t>
      </w:r>
    </w:p>
    <w:p>
      <w:pPr>
        <w:numPr>
          <w:ilvl w:val="0"/>
          <w:numId w:val="1035"/>
        </w:numPr>
        <w:pStyle w:val="Compact"/>
      </w:pPr>
      <w:r>
        <w:rPr>
          <w:b/>
        </w:rPr>
        <w:t xml:space="preserve">Versión de la fuente:</w:t>
      </w:r>
      <w:r>
        <w:t xml:space="preserve"> </w:t>
      </w:r>
      <w:r>
        <w:t xml:space="preserve">No aplica.</w:t>
      </w:r>
    </w:p>
    <w:p>
      <w:pPr>
        <w:numPr>
          <w:ilvl w:val="0"/>
          <w:numId w:val="1035"/>
        </w:numPr>
        <w:pStyle w:val="Compact"/>
      </w:pPr>
      <w:r>
        <w:rPr>
          <w:b/>
        </w:rPr>
        <w:t xml:space="preserve">Fecha de revisión:</w:t>
      </w:r>
      <w:r>
        <w:t xml:space="preserve"> </w:t>
      </w:r>
      <w:r>
        <w:t xml:space="preserve">Sin fecha exacta en este comentario específico (misma ronda de exploración H2/H3).</w:t>
      </w:r>
    </w:p>
    <w:p>
      <w:pPr>
        <w:numPr>
          <w:ilvl w:val="0"/>
          <w:numId w:val="1035"/>
        </w:numPr>
        <w:pStyle w:val="Compact"/>
      </w:pPr>
      <w:r>
        <w:rPr>
          <w:b/>
        </w:rPr>
        <w:t xml:space="preserve">Quién revisó:</w:t>
      </w:r>
      <w:r>
        <w:t xml:space="preserve"> </w:t>
      </w:r>
      <w:r>
        <w:t xml:space="preserve">referenciado como hallazgo de</w:t>
      </w:r>
      <w:r>
        <w:t xml:space="preserve"> </w:t>
      </w:r>
      <w:r>
        <w:t xml:space="preserve">“</w:t>
      </w:r>
      <w:r>
        <w:t xml:space="preserve">exploración adversarial</w:t>
      </w:r>
      <w:r>
        <w:t xml:space="preserve">”</w:t>
      </w:r>
      <w:r>
        <w:t xml:space="preserve">, sin atribución nominal en este comentario puntual (aunque el patrón de la sesión es de Dr. Ortega).</w:t>
      </w:r>
    </w:p>
    <w:p>
      <w:pPr>
        <w:numPr>
          <w:ilvl w:val="0"/>
          <w:numId w:val="1035"/>
        </w:numPr>
        <w:pStyle w:val="Compact"/>
      </w:pPr>
      <w:r>
        <w:rPr>
          <w:b/>
        </w:rPr>
        <w:t xml:space="preserve">Casos que la validan:</w:t>
      </w:r>
      <w:r>
        <w:t xml:space="preserve"> </w:t>
      </w:r>
      <w:r>
        <w:t xml:space="preserve">Sin caso de prueba identificado con ese perfil exacto (Stroke+MASLD+Pancreatitis+Obesidad) en los 3 archivos revisados.</w:t>
      </w:r>
    </w:p>
    <w:p>
      <w:pPr>
        <w:numPr>
          <w:ilvl w:val="0"/>
          <w:numId w:val="1035"/>
        </w:numPr>
        <w:pStyle w:val="Compact"/>
      </w:pPr>
      <w:r>
        <w:rPr>
          <w:b/>
        </w:rPr>
        <w:t xml:space="preserve">Excepciones:</w:t>
      </w:r>
      <w:r>
        <w:t xml:space="preserve"> </w:t>
      </w:r>
      <w:r>
        <w:t xml:space="preserve">solo se activa si</w:t>
      </w:r>
      <w:r>
        <w:t xml:space="preserve"> </w:t>
      </w:r>
      <w:r>
        <w:rPr>
          <w:rStyle w:val="VerbatimChar"/>
        </w:rPr>
        <w:t xml:space="preserve">flags.obesidad</w:t>
      </w:r>
      <w:r>
        <w:t xml:space="preserve"> </w:t>
      </w:r>
      <w:r>
        <w:t xml:space="preserve">es verdadero — en paciente no obeso, un agente con ganancia de peso no genera esta advertencia.</w:t>
      </w:r>
    </w:p>
    <w:p>
      <w:pPr>
        <w:numPr>
          <w:ilvl w:val="0"/>
          <w:numId w:val="1035"/>
        </w:numPr>
        <w:pStyle w:val="Compact"/>
      </w:pPr>
      <w:r>
        <w:rPr>
          <w:b/>
        </w:rPr>
        <w:t xml:space="preserve">Qué faltan datos:</w:t>
      </w:r>
      <w:r>
        <w:t xml:space="preserve"> </w:t>
      </w:r>
      <w:r>
        <w:t xml:space="preserve">depende de</w:t>
      </w:r>
      <w:r>
        <w:t xml:space="preserve"> </w:t>
      </w:r>
      <w:r>
        <w:rPr>
          <w:rStyle w:val="VerbatimChar"/>
        </w:rPr>
        <w:t xml:space="preserve">flags.obesidad</w:t>
      </w:r>
      <w:r>
        <w:t xml:space="preserve">, con el mismo patrón de derivación de IMC documentado en la sección 3.</w:t>
      </w:r>
    </w:p>
    <w:p>
      <w:pPr>
        <w:numPr>
          <w:ilvl w:val="0"/>
          <w:numId w:val="1035"/>
        </w:numPr>
        <w:pStyle w:val="Compact"/>
      </w:pPr>
      <w:r>
        <w:rPr>
          <w:b/>
        </w:rPr>
        <w:t xml:space="preserve">Discrepancia entre guías:</w:t>
      </w:r>
      <w:r>
        <w:t xml:space="preserve"> </w:t>
      </w:r>
      <w:r>
        <w:t xml:space="preserve">no aplica.</w:t>
      </w:r>
    </w:p>
    <w:p>
      <w:pPr>
        <w:pStyle w:val="Heading3"/>
      </w:pPr>
      <w:bookmarkStart w:id="60" w:name="X82811794c83fe9a8c27aff105878f1e18f94cc4"/>
      <w:r>
        <w:t xml:space="preserve">5.6 Rama de obesidad para paciente virgen sin comorbilidad matched</w:t>
      </w:r>
      <w:bookmarkEnd w:id="60"/>
    </w:p>
    <w:p>
      <w:pPr>
        <w:numPr>
          <w:ilvl w:val="0"/>
          <w:numId w:val="1036"/>
        </w:numPr>
        <w:pStyle w:val="Compact"/>
      </w:pPr>
      <w:r>
        <w:rPr>
          <w:b/>
        </w:rPr>
        <w:t xml:space="preserve">Qué hace:</w:t>
      </w:r>
      <w:r>
        <w:t xml:space="preserve"> </w:t>
      </w:r>
      <w:r>
        <w:t xml:space="preserve">si no hay comorbilidades</w:t>
      </w:r>
      <w:r>
        <w:t xml:space="preserve"> </w:t>
      </w:r>
      <w:r>
        <w:rPr>
          <w:rStyle w:val="VerbatimChar"/>
        </w:rPr>
        <w:t xml:space="preserve">matched</w:t>
      </w:r>
      <w:r>
        <w:t xml:space="preserve"> </w:t>
      </w:r>
      <w:r>
        <w:t xml:space="preserve">pero sí</w:t>
      </w:r>
      <w:r>
        <w:t xml:space="preserve"> </w:t>
      </w:r>
      <w:r>
        <w:rPr>
          <w:rStyle w:val="VerbatimChar"/>
        </w:rPr>
        <w:t xml:space="preserve">flags.obesidad</w:t>
      </w:r>
      <w:r>
        <w:t xml:space="preserve">, revisa primero si ya hay un agente de pérdida de peso activo (antidiabético con</w:t>
      </w:r>
      <w:r>
        <w:t xml:space="preserve"> </w:t>
      </w:r>
      <w:r>
        <w:rPr>
          <w:rStyle w:val="VerbatimChar"/>
        </w:rPr>
        <w:t xml:space="preserve">peso:"perdida"</w:t>
      </w:r>
      <w:r>
        <w:t xml:space="preserve"> </w:t>
      </w:r>
      <w:r>
        <w:t xml:space="preserve">o en categoría</w:t>
      </w:r>
      <w:r>
        <w:t xml:space="preserve"> </w:t>
      </w:r>
      <w:r>
        <w:rPr>
          <w:rStyle w:val="VerbatimChar"/>
        </w:rPr>
        <w:t xml:space="preserve">obesity</w:t>
      </w:r>
      <w:r>
        <w:t xml:space="preserve"> </w:t>
      </w:r>
      <w:r>
        <w:t xml:space="preserve">dedicada — evita duplicar con</w:t>
      </w:r>
      <w:r>
        <w:t xml:space="preserve"> </w:t>
      </w:r>
      <w:r>
        <w:rPr>
          <w:rStyle w:val="VerbatimChar"/>
        </w:rPr>
        <w:t xml:space="preserve">buildObesityPlan</w:t>
      </w:r>
      <w:r>
        <w:t xml:space="preserve">); si no, elige un candidato nuevo con</w:t>
      </w:r>
      <w:r>
        <w:t xml:space="preserve"> </w:t>
      </w:r>
      <w:r>
        <w:rPr>
          <w:rStyle w:val="VerbatimChar"/>
        </w:rPr>
        <w:t xml:space="preserve">peso:"perdida"</w:t>
      </w:r>
      <w:r>
        <w:t xml:space="preserve"> </w:t>
      </w:r>
      <w:r>
        <w:t xml:space="preserve">por</w:t>
      </w:r>
      <w:r>
        <w:t xml:space="preserve"> </w:t>
      </w:r>
      <w:r>
        <w:rPr>
          <w:rStyle w:val="VerbatimChar"/>
        </w:rPr>
        <w:t xml:space="preserve">rankByAccess</w:t>
      </w:r>
      <w:r>
        <w:t xml:space="preserve">.</w:t>
      </w:r>
    </w:p>
    <w:p>
      <w:pPr>
        <w:numPr>
          <w:ilvl w:val="0"/>
          <w:numId w:val="1036"/>
        </w:numPr>
        <w:pStyle w:val="Compact"/>
      </w:pPr>
      <w:r>
        <w:rPr>
          <w:b/>
        </w:rPr>
        <w:t xml:space="preserve">Por qué:</w:t>
      </w:r>
      <w:r>
        <w:t xml:space="preserve"> </w:t>
      </w:r>
      <w:r>
        <w:t xml:space="preserve">cubrir el objetivo de pérdida de peso incluso sin una comorbilidad de la jerarquía principal.</w:t>
      </w:r>
    </w:p>
    <w:p>
      <w:pPr>
        <w:numPr>
          <w:ilvl w:val="0"/>
          <w:numId w:val="1036"/>
        </w:numPr>
        <w:pStyle w:val="Compact"/>
      </w:pPr>
      <w:r>
        <w:rPr>
          <w:b/>
        </w:rPr>
        <w:t xml:space="preserve">Fuente:</w:t>
      </w:r>
      <w:r>
        <w:t xml:space="preserve"> </w:t>
      </w:r>
      <w:r>
        <w:t xml:space="preserve">AACE Algorithm 2026 (mismo marco general del bloque antidiabético).</w:t>
      </w:r>
    </w:p>
    <w:p>
      <w:pPr>
        <w:numPr>
          <w:ilvl w:val="0"/>
          <w:numId w:val="1036"/>
        </w:numPr>
        <w:pStyle w:val="Compact"/>
      </w:pPr>
      <w:r>
        <w:rPr>
          <w:b/>
        </w:rPr>
        <w:t xml:space="preserve">Versión de la fuente:</w:t>
      </w:r>
      <w:r>
        <w:t xml:space="preserve"> </w:t>
      </w:r>
      <w:r>
        <w:t xml:space="preserve">2026 Update.</w:t>
      </w:r>
    </w:p>
    <w:p>
      <w:pPr>
        <w:numPr>
          <w:ilvl w:val="0"/>
          <w:numId w:val="1036"/>
        </w:numPr>
        <w:pStyle w:val="Compact"/>
      </w:pPr>
      <w:r>
        <w:rPr>
          <w:b/>
        </w:rPr>
        <w:t xml:space="preserve">Fecha de revisión:</w:t>
      </w:r>
      <w:r>
        <w:t xml:space="preserve"> </w:t>
      </w:r>
      <w:r>
        <w:t xml:space="preserve">la integración con</w:t>
      </w:r>
      <w:r>
        <w:t xml:space="preserve"> </w:t>
      </w:r>
      <w:r>
        <w:rPr>
          <w:rStyle w:val="VerbatimChar"/>
        </w:rPr>
        <w:t xml:space="preserve">buildObesityPlan</w:t>
      </w:r>
      <w:r>
        <w:t xml:space="preserve"> </w:t>
      </w:r>
      <w:r>
        <w:t xml:space="preserve">(evitar duplicar) es de</w:t>
      </w:r>
      <w:r>
        <w:t xml:space="preserve"> </w:t>
      </w:r>
      <w:r>
        <w:t xml:space="preserve">“</w:t>
      </w:r>
      <w:r>
        <w:t xml:space="preserve">la misma ronda de auditoría</w:t>
      </w:r>
      <w:r>
        <w:t xml:space="preserve">”</w:t>
      </w:r>
      <w:r>
        <w:t xml:space="preserve"> </w:t>
      </w:r>
      <w:r>
        <w:t xml:space="preserve">sin fecha exacta en este comentario puntual.</w:t>
      </w:r>
    </w:p>
    <w:p>
      <w:pPr>
        <w:numPr>
          <w:ilvl w:val="0"/>
          <w:numId w:val="1036"/>
        </w:numPr>
        <w:pStyle w:val="Compact"/>
      </w:pPr>
      <w:r>
        <w:rPr>
          <w:b/>
        </w:rPr>
        <w:t xml:space="preserve">Quién revisó:</w:t>
      </w:r>
      <w:r>
        <w:t xml:space="preserve"> </w:t>
      </w:r>
      <w:r>
        <w:t xml:space="preserve">No especificado nominalmente en este bloque.</w:t>
      </w:r>
    </w:p>
    <w:p>
      <w:pPr>
        <w:numPr>
          <w:ilvl w:val="0"/>
          <w:numId w:val="1036"/>
        </w:numPr>
        <w:pStyle w:val="Compact"/>
      </w:pPr>
      <w:r>
        <w:rPr>
          <w:b/>
        </w:rPr>
        <w:t xml:space="preserve">Casos que la validan:</w:t>
      </w:r>
      <w:r>
        <w:t xml:space="preserve"> </w:t>
      </w:r>
      <w:r>
        <w:t xml:space="preserve">A4 (</w:t>
      </w:r>
      <w:r>
        <w:t xml:space="preserve">“</w:t>
      </w:r>
      <w:r>
        <w:t xml:space="preserve">T2D virgen + obesidad sin otras comorbilidades → Metformina + agente de pérdida de peso</w:t>
      </w:r>
      <w:r>
        <w:t xml:space="preserve">”</w:t>
      </w:r>
      <w:r>
        <w:t xml:space="preserve">).</w:t>
      </w:r>
    </w:p>
    <w:p>
      <w:pPr>
        <w:numPr>
          <w:ilvl w:val="0"/>
          <w:numId w:val="1036"/>
        </w:numPr>
        <w:pStyle w:val="Compact"/>
      </w:pPr>
      <w:r>
        <w:rPr>
          <w:b/>
        </w:rPr>
        <w:t xml:space="preserve">Excepciones:</w:t>
      </w:r>
      <w:r>
        <w:t xml:space="preserve"> </w:t>
      </w:r>
      <w:r>
        <w:t xml:space="preserve">solo se evalúa si</w:t>
      </w:r>
      <w:r>
        <w:t xml:space="preserve"> </w:t>
      </w:r>
      <w:r>
        <w:rPr>
          <w:rStyle w:val="VerbatimChar"/>
        </w:rPr>
        <w:t xml:space="preserve">matched.length === 0</w:t>
      </w:r>
      <w:r>
        <w:t xml:space="preserve"> </w:t>
      </w:r>
      <w:r>
        <w:t xml:space="preserve">(rama</w:t>
      </w:r>
      <w:r>
        <w:t xml:space="preserve"> </w:t>
      </w:r>
      <w:r>
        <w:rPr>
          <w:rStyle w:val="VerbatimChar"/>
        </w:rPr>
        <w:t xml:space="preserve">else</w:t>
      </w:r>
      <w:r>
        <w:t xml:space="preserve"> </w:t>
      </w:r>
      <w:r>
        <w:t xml:space="preserve">de la jerarquía principal) — un paciente con IC+obesidad, por ejemplo, no entra aquí, entra a la rama 5.1-5.3.</w:t>
      </w:r>
    </w:p>
    <w:p>
      <w:pPr>
        <w:numPr>
          <w:ilvl w:val="0"/>
          <w:numId w:val="1036"/>
        </w:numPr>
        <w:pStyle w:val="Compact"/>
      </w:pPr>
      <w:r>
        <w:rPr>
          <w:b/>
        </w:rPr>
        <w:t xml:space="preserve">Qué faltan datos:</w:t>
      </w:r>
      <w:r>
        <w:t xml:space="preserve"> </w:t>
      </w:r>
      <w:r>
        <w:t xml:space="preserve">depende de</w:t>
      </w:r>
      <w:r>
        <w:t xml:space="preserve"> </w:t>
      </w:r>
      <w:r>
        <w:rPr>
          <w:rStyle w:val="VerbatimChar"/>
        </w:rPr>
        <w:t xml:space="preserve">flags.obesidad</w:t>
      </w:r>
      <w:r>
        <w:t xml:space="preserve">, ya documentado.</w:t>
      </w:r>
    </w:p>
    <w:p>
      <w:pPr>
        <w:numPr>
          <w:ilvl w:val="0"/>
          <w:numId w:val="1036"/>
        </w:numPr>
        <w:pStyle w:val="Compact"/>
      </w:pPr>
      <w:r>
        <w:rPr>
          <w:b/>
        </w:rPr>
        <w:t xml:space="preserve">Discrepancia entre guías:</w:t>
      </w:r>
      <w:r>
        <w:t xml:space="preserve"> </w:t>
      </w:r>
      <w:r>
        <w:t xml:space="preserve">no aplica.</w:t>
      </w:r>
    </w:p>
    <w:p>
      <w:pPr>
        <w:pStyle w:val="Heading3"/>
      </w:pPr>
      <w:bookmarkStart w:id="61" w:name="X0feed4d58789d110ad628a122bff8c66f953df2"/>
      <w:r>
        <w:t xml:space="preserve">5.7 Rama de hipoglucemia para paciente virgen sin comorbilidad matched ni obesidad</w:t>
      </w:r>
      <w:bookmarkEnd w:id="61"/>
    </w:p>
    <w:p>
      <w:pPr>
        <w:numPr>
          <w:ilvl w:val="0"/>
          <w:numId w:val="1037"/>
        </w:numPr>
        <w:pStyle w:val="Compact"/>
      </w:pPr>
      <w:r>
        <w:rPr>
          <w:b/>
        </w:rPr>
        <w:t xml:space="preserve">Qué hace:</w:t>
      </w:r>
      <w:r>
        <w:t xml:space="preserve"> </w:t>
      </w:r>
      <w:r>
        <w:t xml:space="preserve">si</w:t>
      </w:r>
      <w:r>
        <w:t xml:space="preserve"> </w:t>
      </w:r>
      <w:r>
        <w:rPr>
          <w:rStyle w:val="VerbatimChar"/>
        </w:rPr>
        <w:t xml:space="preserve">matched.length===0</w:t>
      </w:r>
      <w:r>
        <w:t xml:space="preserve"> </w:t>
      </w:r>
      <w:r>
        <w:t xml:space="preserve">y NO hay obesidad pero sí</w:t>
      </w:r>
      <w:r>
        <w:t xml:space="preserve"> </w:t>
      </w:r>
      <w:r>
        <w:rPr>
          <w:rStyle w:val="VerbatimChar"/>
        </w:rPr>
        <w:t xml:space="preserve">flags.hipoRisk</w:t>
      </w:r>
      <w:r>
        <w:t xml:space="preserve">, prioriza agente de</w:t>
      </w:r>
      <w:r>
        <w:t xml:space="preserve"> </w:t>
      </w:r>
      <w:r>
        <w:rPr>
          <w:rStyle w:val="VerbatimChar"/>
        </w:rPr>
        <w:t xml:space="preserve">hipo==="bajo"</w:t>
      </w:r>
      <w:r>
        <w:t xml:space="preserve"> </w:t>
      </w:r>
      <w:r>
        <w:t xml:space="preserve">distinto de metformina.</w:t>
      </w:r>
    </w:p>
    <w:p>
      <w:pPr>
        <w:numPr>
          <w:ilvl w:val="0"/>
          <w:numId w:val="1037"/>
        </w:numPr>
        <w:pStyle w:val="Compact"/>
      </w:pPr>
      <w:r>
        <w:rPr>
          <w:b/>
        </w:rPr>
        <w:t xml:space="preserve">Por qué:</w:t>
      </w:r>
      <w:r>
        <w:t xml:space="preserve"> </w:t>
      </w:r>
      <w:r>
        <w:t xml:space="preserve">minimizar riesgo de hipoglucemia en pacientes con antecedente personal o familiar.</w:t>
      </w:r>
    </w:p>
    <w:p>
      <w:pPr>
        <w:numPr>
          <w:ilvl w:val="0"/>
          <w:numId w:val="1037"/>
        </w:numPr>
        <w:pStyle w:val="Compact"/>
      </w:pPr>
      <w:r>
        <w:rPr>
          <w:b/>
        </w:rPr>
        <w:t xml:space="preserve">Fuente:</w:t>
      </w:r>
      <w:r>
        <w:t xml:space="preserve"> </w:t>
      </w:r>
      <w:r>
        <w:t xml:space="preserve">AACE Algorithm 2026 (marco general).</w:t>
      </w:r>
    </w:p>
    <w:p>
      <w:pPr>
        <w:numPr>
          <w:ilvl w:val="0"/>
          <w:numId w:val="1037"/>
        </w:numPr>
        <w:pStyle w:val="Compact"/>
      </w:pPr>
      <w:r>
        <w:rPr>
          <w:b/>
        </w:rPr>
        <w:t xml:space="preserve">Versión de la fuente:</w:t>
      </w:r>
      <w:r>
        <w:t xml:space="preserve"> </w:t>
      </w:r>
      <w:r>
        <w:t xml:space="preserve">2026 Update.</w:t>
      </w:r>
    </w:p>
    <w:p>
      <w:pPr>
        <w:numPr>
          <w:ilvl w:val="0"/>
          <w:numId w:val="1037"/>
        </w:numPr>
        <w:pStyle w:val="Compact"/>
      </w:pPr>
      <w:r>
        <w:rPr>
          <w:b/>
        </w:rPr>
        <w:t xml:space="preserve">Fecha de revisión:</w:t>
      </w:r>
      <w:r>
        <w:t xml:space="preserve"> </w:t>
      </w:r>
      <w:r>
        <w:t xml:space="preserve">Sin fecha propia en este bloque específico.</w:t>
      </w:r>
    </w:p>
    <w:p>
      <w:pPr>
        <w:numPr>
          <w:ilvl w:val="0"/>
          <w:numId w:val="1037"/>
        </w:numPr>
        <w:pStyle w:val="Compact"/>
      </w:pPr>
      <w:r>
        <w:rPr>
          <w:b/>
        </w:rPr>
        <w:t xml:space="preserve">Quién revisó:</w:t>
      </w:r>
      <w:r>
        <w:t xml:space="preserve"> </w:t>
      </w:r>
      <w:r>
        <w:t xml:space="preserve">No especificado.</w:t>
      </w:r>
    </w:p>
    <w:p>
      <w:pPr>
        <w:numPr>
          <w:ilvl w:val="0"/>
          <w:numId w:val="1037"/>
        </w:numPr>
        <w:pStyle w:val="Compact"/>
      </w:pPr>
      <w:r>
        <w:rPr>
          <w:b/>
        </w:rPr>
        <w:t xml:space="preserve">Casos que la validan:</w:t>
      </w:r>
      <w:r>
        <w:t xml:space="preserve"> </w:t>
      </w:r>
      <w:r>
        <w:t xml:space="preserve">Sin caso de prueba identificado directo sobre esta rama específica (</w:t>
      </w:r>
      <w:r>
        <w:rPr>
          <w:rStyle w:val="VerbatimChar"/>
        </w:rPr>
        <w:t xml:space="preserve">hipoRisk</w:t>
      </w:r>
      <w:r>
        <w:t xml:space="preserve"> </w:t>
      </w:r>
      <w:r>
        <w:t xml:space="preserve">sin obesidad) en los 3 archivos revisados.</w:t>
      </w:r>
    </w:p>
    <w:p>
      <w:pPr>
        <w:numPr>
          <w:ilvl w:val="0"/>
          <w:numId w:val="1037"/>
        </w:numPr>
        <w:pStyle w:val="Compact"/>
      </w:pPr>
      <w:r>
        <w:rPr>
          <w:b/>
        </w:rPr>
        <w:t xml:space="preserve">Excepciones:</w:t>
      </w:r>
      <w:r>
        <w:t xml:space="preserve"> </w:t>
      </w:r>
      <w:r>
        <w:t xml:space="preserve">solo aplica si NO hay obesidad (rama</w:t>
      </w:r>
      <w:r>
        <w:t xml:space="preserve"> </w:t>
      </w:r>
      <w:r>
        <w:rPr>
          <w:rStyle w:val="VerbatimChar"/>
        </w:rPr>
        <w:t xml:space="preserve">else if</w:t>
      </w:r>
      <w:r>
        <w:t xml:space="preserve">, mutuamente excluyente con 5.6).</w:t>
      </w:r>
    </w:p>
    <w:p>
      <w:pPr>
        <w:numPr>
          <w:ilvl w:val="0"/>
          <w:numId w:val="1037"/>
        </w:numPr>
        <w:pStyle w:val="Compact"/>
      </w:pPr>
      <w:r>
        <w:rPr>
          <w:b/>
        </w:rPr>
        <w:t xml:space="preserve">Qué faltan datos:</w:t>
      </w:r>
      <w:r>
        <w:t xml:space="preserve"> </w:t>
      </w:r>
      <w:r>
        <w:t xml:space="preserve">depende de</w:t>
      </w:r>
      <w:r>
        <w:t xml:space="preserve"> </w:t>
      </w:r>
      <w:r>
        <w:rPr>
          <w:rStyle w:val="VerbatimChar"/>
        </w:rPr>
        <w:t xml:space="preserve">flags.hipoRisk</w:t>
      </w:r>
      <w:r>
        <w:t xml:space="preserve">, documentado en sección 3.</w:t>
      </w:r>
    </w:p>
    <w:p>
      <w:pPr>
        <w:numPr>
          <w:ilvl w:val="0"/>
          <w:numId w:val="1037"/>
        </w:numPr>
        <w:pStyle w:val="Compact"/>
      </w:pPr>
      <w:r>
        <w:rPr>
          <w:b/>
        </w:rPr>
        <w:t xml:space="preserve">Discrepancia entre guías:</w:t>
      </w:r>
      <w:r>
        <w:t xml:space="preserve"> </w:t>
      </w:r>
      <w:r>
        <w:t xml:space="preserve">no aplica.</w:t>
      </w:r>
    </w:p>
    <w:p>
      <w:pPr>
        <w:pStyle w:val="Heading3"/>
      </w:pPr>
      <w:bookmarkStart w:id="62" w:name="X0caa57f087babda0cac9a8e59f457fbfb36ef23"/>
      <w:r>
        <w:t xml:space="preserve">5.8 Etiquetado de combinación de inicio (</w:t>
      </w:r>
      <w:r>
        <w:rPr>
          <w:rStyle w:val="VerbatimChar"/>
        </w:rPr>
        <w:t xml:space="preserve">comboGroup</w:t>
      </w:r>
      <w:r>
        <w:t xml:space="preserve">)</w:t>
      </w:r>
      <w:bookmarkEnd w:id="62"/>
    </w:p>
    <w:p>
      <w:pPr>
        <w:numPr>
          <w:ilvl w:val="0"/>
          <w:numId w:val="1038"/>
        </w:numPr>
        <w:pStyle w:val="Compact"/>
      </w:pPr>
      <w:r>
        <w:rPr>
          <w:b/>
        </w:rPr>
        <w:t xml:space="preserve">Qué hace:</w:t>
      </w:r>
      <w:r>
        <w:t xml:space="preserve"> </w:t>
      </w:r>
      <w:r>
        <w:t xml:space="preserve">si en la misma consulta el plan resultó con 2+ fármacos antidiabéticos NUEVOS (</w:t>
      </w:r>
      <w:r>
        <w:rPr>
          <w:rStyle w:val="VerbatimChar"/>
        </w:rPr>
        <w:t xml:space="preserve">_freshStart</w:t>
      </w:r>
      <w:r>
        <w:t xml:space="preserve">), se etiquetan con</w:t>
      </w:r>
      <w:r>
        <w:t xml:space="preserve"> </w:t>
      </w:r>
      <w:r>
        <w:rPr>
          <w:rStyle w:val="VerbatimChar"/>
        </w:rPr>
        <w:t xml:space="preserve">comboGroup: "DM_INIT_COMBO"</w:t>
      </w:r>
      <w:r>
        <w:t xml:space="preserve"> </w:t>
      </w:r>
      <w:r>
        <w:t xml:space="preserve">compartido para que la interfaz los presente como una sola tarjeta de</w:t>
      </w:r>
      <w:r>
        <w:t xml:space="preserve"> </w:t>
      </w:r>
      <w:r>
        <w:t xml:space="preserve">“</w:t>
      </w:r>
      <w:r>
        <w:t xml:space="preserve">combinación de inicio</w:t>
      </w:r>
      <w:r>
        <w:t xml:space="preserve">”</w:t>
      </w:r>
      <w:r>
        <w:t xml:space="preserve">.</w:t>
      </w:r>
    </w:p>
    <w:p>
      <w:pPr>
        <w:numPr>
          <w:ilvl w:val="0"/>
          <w:numId w:val="1038"/>
        </w:numPr>
        <w:pStyle w:val="Compact"/>
      </w:pPr>
      <w:r>
        <w:rPr>
          <w:b/>
        </w:rPr>
        <w:t xml:space="preserve">Por qué:</w:t>
      </w:r>
      <w:r>
        <w:t xml:space="preserve"> </w:t>
      </w:r>
      <w:r>
        <w:t xml:space="preserve">a petición del Dr. Ortega —</w:t>
      </w:r>
      <w:r>
        <w:t xml:space="preserve"> </w:t>
      </w:r>
      <w:r>
        <w:t xml:space="preserve">“</w:t>
      </w:r>
      <w:r>
        <w:t xml:space="preserve">que sugiera la combinación, no solo que saque los medicamentos</w:t>
      </w:r>
      <w:r>
        <w:t xml:space="preserve">”</w:t>
      </w:r>
      <w:r>
        <w:t xml:space="preserve"> </w:t>
      </w:r>
      <w:r>
        <w:t xml:space="preserve">— mejora la claridad de la recomendación sin cambiar</w:t>
      </w:r>
      <w:r>
        <w:t xml:space="preserve"> </w:t>
      </w:r>
      <w:r>
        <w:rPr>
          <w:rStyle w:val="VerbatimChar"/>
        </w:rPr>
        <w:t xml:space="preserve">drug</w:t>
      </w:r>
      <w:r>
        <w:t xml:space="preserve">/</w:t>
      </w:r>
      <w:r>
        <w:rPr>
          <w:rStyle w:val="VerbatimChar"/>
        </w:rPr>
        <w:t xml:space="preserve">dose</w:t>
      </w:r>
      <w:r>
        <w:t xml:space="preserve">/</w:t>
      </w:r>
      <w:r>
        <w:rPr>
          <w:rStyle w:val="VerbatimChar"/>
        </w:rPr>
        <w:t xml:space="preserve">reason</w:t>
      </w:r>
      <w:r>
        <w:t xml:space="preserve">/</w:t>
      </w:r>
      <w:r>
        <w:rPr>
          <w:rStyle w:val="VerbatimChar"/>
        </w:rPr>
        <w:t xml:space="preserve">id</w:t>
      </w:r>
      <w:r>
        <w:t xml:space="preserve"> </w:t>
      </w:r>
      <w:r>
        <w:t xml:space="preserve">de ninguno.</w:t>
      </w:r>
    </w:p>
    <w:p>
      <w:pPr>
        <w:numPr>
          <w:ilvl w:val="0"/>
          <w:numId w:val="1038"/>
        </w:numPr>
        <w:pStyle w:val="Compact"/>
      </w:pPr>
      <w:r>
        <w:rPr>
          <w:b/>
        </w:rPr>
        <w:t xml:space="preserve">Fuente:</w:t>
      </w:r>
      <w:r>
        <w:t xml:space="preserve"> </w:t>
      </w:r>
      <w:r>
        <w:t xml:space="preserve">decisión de UX/producto del Dr. Ortega, no una guía clínica externa.</w:t>
      </w:r>
    </w:p>
    <w:p>
      <w:pPr>
        <w:numPr>
          <w:ilvl w:val="0"/>
          <w:numId w:val="1038"/>
        </w:numPr>
        <w:pStyle w:val="Compact"/>
      </w:pPr>
      <w:r>
        <w:rPr>
          <w:b/>
        </w:rPr>
        <w:t xml:space="preserve">Versión de la fuente:</w:t>
      </w:r>
      <w:r>
        <w:t xml:space="preserve"> </w:t>
      </w:r>
      <w:r>
        <w:t xml:space="preserve">No aplica.</w:t>
      </w:r>
    </w:p>
    <w:p>
      <w:pPr>
        <w:numPr>
          <w:ilvl w:val="0"/>
          <w:numId w:val="1038"/>
        </w:numPr>
        <w:pStyle w:val="Compact"/>
      </w:pPr>
      <w:r>
        <w:rPr>
          <w:b/>
        </w:rPr>
        <w:t xml:space="preserve">Fecha de revisión:</w:t>
      </w:r>
      <w:r>
        <w:t xml:space="preserve"> </w:t>
      </w:r>
      <w:r>
        <w:t xml:space="preserve">11-ago-2026.</w:t>
      </w:r>
    </w:p>
    <w:p>
      <w:pPr>
        <w:numPr>
          <w:ilvl w:val="0"/>
          <w:numId w:val="1038"/>
        </w:numPr>
        <w:pStyle w:val="Compact"/>
      </w:pPr>
      <w:r>
        <w:rPr>
          <w:b/>
        </w:rPr>
        <w:t xml:space="preserve">Quién revisó:</w:t>
      </w:r>
      <w:r>
        <w:t xml:space="preserve"> </w:t>
      </w:r>
      <w:r>
        <w:t xml:space="preserve">Dr. Ortega.</w:t>
      </w:r>
    </w:p>
    <w:p>
      <w:pPr>
        <w:numPr>
          <w:ilvl w:val="0"/>
          <w:numId w:val="1038"/>
        </w:numPr>
        <w:pStyle w:val="Compact"/>
      </w:pPr>
      <w:r>
        <w:rPr>
          <w:b/>
        </w:rPr>
        <w:t xml:space="preserve">Casos que la validan:</w:t>
      </w:r>
      <w:r>
        <w:t xml:space="preserve"> </w:t>
      </w:r>
      <w:r>
        <w:t xml:space="preserve">no hay un</w:t>
      </w:r>
      <w:r>
        <w:t xml:space="preserve"> </w:t>
      </w:r>
      <w:r>
        <w:rPr>
          <w:rStyle w:val="VerbatimChar"/>
        </w:rPr>
        <w:t xml:space="preserve">check()</w:t>
      </w:r>
      <w:r>
        <w:t xml:space="preserve"> </w:t>
      </w:r>
      <w:r>
        <w:t xml:space="preserve">explícito sobre</w:t>
      </w:r>
      <w:r>
        <w:t xml:space="preserve"> </w:t>
      </w:r>
      <w:r>
        <w:rPr>
          <w:rStyle w:val="VerbatimChar"/>
        </w:rPr>
        <w:t xml:space="preserve">comboGroup</w:t>
      </w:r>
      <w:r>
        <w:t xml:space="preserve"> </w:t>
      </w:r>
      <w:r>
        <w:t xml:space="preserve">en los 3 archivos revisados — Sin caso de prueba identificado directo (los tests SÍ verifican los fármacos individuales del combo, ej. A1/A2/A3, pero no la metadata</w:t>
      </w:r>
      <w:r>
        <w:t xml:space="preserve"> </w:t>
      </w:r>
      <w:r>
        <w:rPr>
          <w:rStyle w:val="VerbatimChar"/>
        </w:rPr>
        <w:t xml:space="preserve">comboGroup</w:t>
      </w:r>
      <w:r>
        <w:t xml:space="preserve"> </w:t>
      </w:r>
      <w:r>
        <w:t xml:space="preserve">en sí).</w:t>
      </w:r>
    </w:p>
    <w:p>
      <w:pPr>
        <w:numPr>
          <w:ilvl w:val="0"/>
          <w:numId w:val="1038"/>
        </w:numPr>
        <w:pStyle w:val="Compact"/>
      </w:pPr>
      <w:r>
        <w:rPr>
          <w:b/>
        </w:rPr>
        <w:t xml:space="preserve">Excepciones:</w:t>
      </w:r>
      <w:r>
        <w:t xml:space="preserve"> </w:t>
      </w:r>
      <w:r>
        <w:t xml:space="preserve">“</w:t>
      </w:r>
      <w:r>
        <w:t xml:space="preserve">No aplica a titulaciones, suspensiones ni advertencias — solo a inicios nuevos reales</w:t>
      </w:r>
      <w:r>
        <w:t xml:space="preserve">”</w:t>
      </w:r>
      <w:r>
        <w:t xml:space="preserve"> </w:t>
      </w:r>
      <w:r>
        <w:t xml:space="preserve">(documentado explícitamente).</w:t>
      </w:r>
    </w:p>
    <w:p>
      <w:pPr>
        <w:numPr>
          <w:ilvl w:val="0"/>
          <w:numId w:val="1038"/>
        </w:numPr>
        <w:pStyle w:val="Compact"/>
      </w:pPr>
      <w:r>
        <w:rPr>
          <w:b/>
        </w:rPr>
        <w:t xml:space="preserve">Qué faltan datos:</w:t>
      </w:r>
      <w:r>
        <w:t xml:space="preserve"> </w:t>
      </w:r>
      <w:r>
        <w:t xml:space="preserve">no depende de datos del paciente, es metadata de presentación.</w:t>
      </w:r>
    </w:p>
    <w:p>
      <w:pPr>
        <w:numPr>
          <w:ilvl w:val="0"/>
          <w:numId w:val="1038"/>
        </w:numPr>
        <w:pStyle w:val="Compact"/>
      </w:pPr>
      <w:r>
        <w:rPr>
          <w:b/>
        </w:rPr>
        <w:t xml:space="preserve">Discrepancia entre guías:</w:t>
      </w:r>
      <w:r>
        <w:t xml:space="preserve"> </w:t>
      </w:r>
      <w:r>
        <w:t xml:space="preserve">no aplica.</w:t>
      </w:r>
    </w:p>
    <w:p>
      <w:pPr>
        <w:pStyle w:val="Heading3"/>
      </w:pPr>
      <w:bookmarkStart w:id="63" w:name="X172786621b8d0a83cc60024a7711dafee6ed71c"/>
      <w:r>
        <w:t xml:space="preserve">5.9 Metformina — base de terapia con reglas de eGFR diferenciadas</w:t>
      </w:r>
      <w:bookmarkEnd w:id="63"/>
    </w:p>
    <w:p>
      <w:pPr>
        <w:numPr>
          <w:ilvl w:val="0"/>
          <w:numId w:val="1039"/>
        </w:numPr>
        <w:pStyle w:val="Compact"/>
      </w:pPr>
      <w:r>
        <w:rPr>
          <w:b/>
        </w:rPr>
        <w:t xml:space="preserve">Qué hace:</w:t>
      </w:r>
      <w:r>
        <w:t xml:space="preserve"> </w:t>
      </w:r>
      <w:r>
        <w:t xml:space="preserve">paciente YA en metformina: si</w:t>
      </w:r>
      <w:r>
        <w:t xml:space="preserve"> </w:t>
      </w:r>
      <w:r>
        <w:rPr>
          <w:rStyle w:val="VerbatimChar"/>
        </w:rPr>
        <w:t xml:space="preserve">eGFR&lt;30</w:t>
      </w:r>
      <w:r>
        <w:t xml:space="preserve"> </w:t>
      </w:r>
      <w:r>
        <w:t xml:space="preserve">→</w:t>
      </w:r>
      <w:r>
        <w:t xml:space="preserve"> </w:t>
      </w:r>
      <w:r>
        <w:t xml:space="preserve">“</w:t>
      </w:r>
      <w:r>
        <w:t xml:space="preserve">SUSPENDER</w:t>
      </w:r>
      <w:r>
        <w:t xml:space="preserve">”</w:t>
      </w:r>
      <w:r>
        <w:t xml:space="preserve"> </w:t>
      </w:r>
      <w:r>
        <w:t xml:space="preserve">(contraindicación absoluta); si</w:t>
      </w:r>
      <w:r>
        <w:t xml:space="preserve"> </w:t>
      </w:r>
      <w:r>
        <w:rPr>
          <w:rStyle w:val="VerbatimChar"/>
        </w:rPr>
        <w:t xml:space="preserve">eGFR</w:t>
      </w:r>
      <w:r>
        <w:t xml:space="preserve"> </w:t>
      </w:r>
      <w:r>
        <w:t xml:space="preserve">30-45 →</w:t>
      </w:r>
      <w:r>
        <w:t xml:space="preserve"> </w:t>
      </w:r>
      <w:r>
        <w:t xml:space="preserve">“</w:t>
      </w:r>
      <w:r>
        <w:t xml:space="preserve">Mantener dosis actual (no escalar)</w:t>
      </w:r>
      <w:r>
        <w:t xml:space="preserve">”</w:t>
      </w:r>
      <w:r>
        <w:t xml:space="preserve">, máximo 1000 mg/día; si</w:t>
      </w:r>
      <w:r>
        <w:t xml:space="preserve"> </w:t>
      </w:r>
      <w:r>
        <w:rPr>
          <w:rStyle w:val="VerbatimChar"/>
        </w:rPr>
        <w:t xml:space="preserve">eGFR≥45</w:t>
      </w:r>
      <w:r>
        <w:t xml:space="preserve"> </w:t>
      </w:r>
      <w:r>
        <w:t xml:space="preserve">y no maxeada →</w:t>
      </w:r>
      <w:r>
        <w:t xml:space="preserve"> </w:t>
      </w:r>
      <w:r>
        <w:t xml:space="preserve">“</w:t>
      </w:r>
      <w:r>
        <w:t xml:space="preserve">Titular a dosis máxima</w:t>
      </w:r>
      <w:r>
        <w:t xml:space="preserve">”</w:t>
      </w:r>
      <w:r>
        <w:t xml:space="preserve">. Paciente virgen: inicia 500 mg si</w:t>
      </w:r>
      <w:r>
        <w:t xml:space="preserve"> </w:t>
      </w:r>
      <w:r>
        <w:rPr>
          <w:rStyle w:val="VerbatimChar"/>
        </w:rPr>
        <w:t xml:space="preserve">eGFR===0</w:t>
      </w:r>
      <w:r>
        <w:t xml:space="preserve"> </w:t>
      </w:r>
      <w:r>
        <w:t xml:space="preserve">(no capturado) O</w:t>
      </w:r>
      <w:r>
        <w:t xml:space="preserve"> </w:t>
      </w:r>
      <w:r>
        <w:rPr>
          <w:rStyle w:val="VerbatimChar"/>
        </w:rPr>
        <w:t xml:space="preserve">eGFR≥30</w:t>
      </w:r>
      <w:r>
        <w:t xml:space="preserve">.</w:t>
      </w:r>
    </w:p>
    <w:p>
      <w:pPr>
        <w:numPr>
          <w:ilvl w:val="0"/>
          <w:numId w:val="1039"/>
        </w:numPr>
        <w:pStyle w:val="Compact"/>
      </w:pPr>
      <w:r>
        <w:rPr>
          <w:b/>
        </w:rPr>
        <w:t xml:space="preserve">Por qué:</w:t>
      </w:r>
      <w:r>
        <w:t xml:space="preserve"> </w:t>
      </w:r>
      <w:r>
        <w:t xml:space="preserve">antes la rama</w:t>
      </w:r>
      <w:r>
        <w:t xml:space="preserve"> </w:t>
      </w:r>
      <w:r>
        <w:t xml:space="preserve">“</w:t>
      </w:r>
      <w:r>
        <w:t xml:space="preserve">paciente YA en metformina</w:t>
      </w:r>
      <w:r>
        <w:t xml:space="preserve">”</w:t>
      </w:r>
      <w:r>
        <w:t xml:space="preserve"> </w:t>
      </w:r>
      <w:r>
        <w:t xml:space="preserve">NUNCA revisaba el eGFR actual antes de recomendar titular — el eGFR solo se usaba como filtro para pacientes vírgenes. Un paciente que ya estaba en metformina y cuya función renal se deterioró después seguía recibiendo</w:t>
      </w:r>
      <w:r>
        <w:t xml:space="preserve"> </w:t>
      </w:r>
      <w:r>
        <w:t xml:space="preserve">“</w:t>
      </w:r>
      <w:r>
        <w:t xml:space="preserve">titular a dosis máxima</w:t>
      </w:r>
      <w:r>
        <w:t xml:space="preserve">”</w:t>
      </w:r>
      <w:r>
        <w:t xml:space="preserve"> </w:t>
      </w:r>
      <w:r>
        <w:t xml:space="preserve">en cada consulta.</w:t>
      </w:r>
    </w:p>
    <w:p>
      <w:pPr>
        <w:numPr>
          <w:ilvl w:val="0"/>
          <w:numId w:val="1039"/>
        </w:numPr>
        <w:pStyle w:val="Compact"/>
      </w:pPr>
      <w:r>
        <w:rPr>
          <w:b/>
        </w:rPr>
        <w:t xml:space="preserve">Fuente:</w:t>
      </w:r>
      <w:r>
        <w:t xml:space="preserve"> </w:t>
      </w:r>
      <w:r>
        <w:t xml:space="preserve">FDA/ADA (citada explícitamente para el riesgo de acidosis láctica con eGFR&lt;30); ADA (para el rango 30-45: no iniciar pero continuar con vigilancia, dosis máxima 1000 mg/día).</w:t>
      </w:r>
    </w:p>
    <w:p>
      <w:pPr>
        <w:numPr>
          <w:ilvl w:val="0"/>
          <w:numId w:val="1039"/>
        </w:numPr>
        <w:pStyle w:val="Compact"/>
      </w:pPr>
      <w:r>
        <w:rPr>
          <w:b/>
        </w:rPr>
        <w:t xml:space="preserve">Versión de la fuente:</w:t>
      </w:r>
      <w:r>
        <w:t xml:space="preserve"> </w:t>
      </w:r>
      <w:r>
        <w:t xml:space="preserve">No especificada con año/edición exacta más allá de</w:t>
      </w:r>
      <w:r>
        <w:t xml:space="preserve"> </w:t>
      </w:r>
      <w:r>
        <w:t xml:space="preserve">“</w:t>
      </w:r>
      <w:r>
        <w:t xml:space="preserve">FDA/ADA</w:t>
      </w:r>
      <w:r>
        <w:t xml:space="preserve">”</w:t>
      </w:r>
      <w:r>
        <w:t xml:space="preserve"> </w:t>
      </w:r>
      <w:r>
        <w:t xml:space="preserve">y</w:t>
      </w:r>
      <w:r>
        <w:t xml:space="preserve"> </w:t>
      </w:r>
      <w:r>
        <w:t xml:space="preserve">“</w:t>
      </w:r>
      <w:r>
        <w:t xml:space="preserve">ADA</w:t>
      </w:r>
      <w:r>
        <w:t xml:space="preserve">”</w:t>
      </w:r>
      <w:r>
        <w:t xml:space="preserve"> </w:t>
      </w:r>
      <w:r>
        <w:t xml:space="preserve">genérico.</w:t>
      </w:r>
    </w:p>
    <w:p>
      <w:pPr>
        <w:numPr>
          <w:ilvl w:val="0"/>
          <w:numId w:val="1039"/>
        </w:numPr>
        <w:pStyle w:val="Compact"/>
      </w:pPr>
      <w:r>
        <w:rPr>
          <w:b/>
        </w:rPr>
        <w:t xml:space="preserve">Fecha de revisión:</w:t>
      </w:r>
      <w:r>
        <w:t xml:space="preserve"> </w:t>
      </w:r>
      <w:r>
        <w:t xml:space="preserve">“</w:t>
      </w:r>
      <w:r>
        <w:t xml:space="preserve">misma ronda de auditoría</w:t>
      </w:r>
      <w:r>
        <w:t xml:space="preserve">”</w:t>
      </w:r>
      <w:r>
        <w:t xml:space="preserve"> </w:t>
      </w:r>
      <w:r>
        <w:t xml:space="preserve">que el resto de correcciones de esta sección — sin fecha exacta en este comentario puntual, pero contextualmente ubicada junto a hallazgos del 10/11-ago-2026.</w:t>
      </w:r>
    </w:p>
    <w:p>
      <w:pPr>
        <w:numPr>
          <w:ilvl w:val="0"/>
          <w:numId w:val="1039"/>
        </w:numPr>
        <w:pStyle w:val="Compact"/>
      </w:pPr>
      <w:r>
        <w:rPr>
          <w:b/>
        </w:rPr>
        <w:t xml:space="preserve">Quién revisó:</w:t>
      </w:r>
      <w:r>
        <w:t xml:space="preserve"> </w:t>
      </w:r>
      <w:r>
        <w:t xml:space="preserve">el comentario la describe como</w:t>
      </w:r>
      <w:r>
        <w:t xml:space="preserve"> </w:t>
      </w:r>
      <w:r>
        <w:t xml:space="preserve">“</w:t>
      </w:r>
      <w:r>
        <w:t xml:space="preserve">el hallazgo de seguridad, el más relevante de esta ronda</w:t>
      </w:r>
      <w:r>
        <w:t xml:space="preserve">”</w:t>
      </w:r>
      <w:r>
        <w:t xml:space="preserve"> </w:t>
      </w:r>
      <w:r>
        <w:t xml:space="preserve">sin atribuir nombre explícito en esta línea puntual.</w:t>
      </w:r>
    </w:p>
    <w:p>
      <w:pPr>
        <w:numPr>
          <w:ilvl w:val="0"/>
          <w:numId w:val="1039"/>
        </w:numPr>
        <w:pStyle w:val="Compact"/>
      </w:pPr>
      <w:r>
        <w:rPr>
          <w:b/>
        </w:rPr>
        <w:t xml:space="preserve">Casos que la validan:</w:t>
      </w:r>
      <w:r>
        <w:t xml:space="preserve"> </w:t>
      </w:r>
      <w:r>
        <w:rPr>
          <w:rStyle w:val="VerbatimChar"/>
        </w:rPr>
        <w:t xml:space="preserve">tests/multimorbid-cases.test.mjs</w:t>
      </w:r>
      <w:r>
        <w:t xml:space="preserve"> </w:t>
      </w:r>
      <w:r>
        <w:t xml:space="preserve">(</w:t>
      </w:r>
      <w:r>
        <w:t xml:space="preserve">“</w:t>
      </w:r>
      <w:r>
        <w:t xml:space="preserve">Metformina siempre presente como base de terapia salvo eGFR&lt;30</w:t>
      </w:r>
      <w:r>
        <w:t xml:space="preserve">”</w:t>
      </w:r>
      <w:r>
        <w:t xml:space="preserve">, verificado en los 4 casos); A1-A5 de clinical-cases (metformina como base).</w:t>
      </w:r>
    </w:p>
    <w:p>
      <w:pPr>
        <w:numPr>
          <w:ilvl w:val="0"/>
          <w:numId w:val="1039"/>
        </w:numPr>
        <w:pStyle w:val="Compact"/>
      </w:pPr>
      <w:r>
        <w:rPr>
          <w:b/>
        </w:rPr>
        <w:t xml:space="preserve">Excepciones:</w:t>
      </w:r>
      <w:r>
        <w:t xml:space="preserve"> </w:t>
      </w:r>
      <w:r>
        <w:t xml:space="preserve">ninguna adicional a los 3 rangos definidos.</w:t>
      </w:r>
    </w:p>
    <w:p>
      <w:pPr>
        <w:numPr>
          <w:ilvl w:val="0"/>
          <w:numId w:val="1039"/>
        </w:numPr>
        <w:pStyle w:val="Compact"/>
      </w:pPr>
      <w:r>
        <w:rPr>
          <w:b/>
        </w:rPr>
        <w:t xml:space="preserve">Qué faltan datos — MISMO PATRÓN DE GUARDA SILENCIOSA:</w:t>
      </w:r>
      <w:r>
        <w:t xml:space="preserve"> </w:t>
      </w:r>
      <w:r>
        <w:t xml:space="preserve">la rama de inicio virgen usa explícitamente</w:t>
      </w:r>
      <w:r>
        <w:t xml:space="preserve"> </w:t>
      </w:r>
      <w:r>
        <w:rPr>
          <w:rStyle w:val="VerbatimChar"/>
        </w:rPr>
        <w:t xml:space="preserve">flags.egfr === 0 || flags.egfr &gt;= 30</w:t>
      </w:r>
      <w:r>
        <w:t xml:space="preserve"> </w:t>
      </w:r>
      <w:r>
        <w:t xml:space="preserve">— es decir, si el eGFR no se pudo calcular (creatinina faltante y sin</w:t>
      </w:r>
      <w:r>
        <w:t xml:space="preserve"> </w:t>
      </w:r>
      <w:r>
        <w:rPr>
          <w:rStyle w:val="VerbatimChar"/>
        </w:rPr>
        <w:t xml:space="preserve">p.tfg</w:t>
      </w:r>
      <w:r>
        <w:t xml:space="preserve"> </w:t>
      </w:r>
      <w:r>
        <w:t xml:space="preserve">manual), el motor</w:t>
      </w:r>
      <w:r>
        <w:t xml:space="preserve"> </w:t>
      </w:r>
      <w:r>
        <w:rPr>
          <w:b/>
        </w:rPr>
        <w:t xml:space="preserve">trata la ausencia de dato exactamente igual que un eGFR sano (≥30)</w:t>
      </w:r>
      <w:r>
        <w:t xml:space="preserve"> </w:t>
      </w:r>
      <w:r>
        <w:t xml:space="preserve">e inicia metformina de todos modos. Esto es más riesgoso que un simple</w:t>
      </w:r>
      <w:r>
        <w:t xml:space="preserve"> </w:t>
      </w:r>
      <w:r>
        <w:t xml:space="preserve">“</w:t>
      </w:r>
      <w:r>
        <w:t xml:space="preserve">chequeo omitido</w:t>
      </w:r>
      <w:r>
        <w:t xml:space="preserve">”</w:t>
      </w:r>
      <w:r>
        <w:t xml:space="preserve">: aquí el</w:t>
      </w:r>
      <w:r>
        <w:t xml:space="preserve"> </w:t>
      </w:r>
      <w:r>
        <w:rPr>
          <w:rStyle w:val="VerbatimChar"/>
        </w:rPr>
        <w:t xml:space="preserve">0</w:t>
      </w:r>
      <w:r>
        <w:t xml:space="preserve"> </w:t>
      </w:r>
      <w:r>
        <w:t xml:space="preserve">se usa activamente como condición de</w:t>
      </w:r>
      <w:r>
        <w:t xml:space="preserve"> </w:t>
      </w:r>
      <w:r>
        <w:t xml:space="preserve">“</w:t>
      </w:r>
      <w:r>
        <w:t xml:space="preserve">sí iniciar</w:t>
      </w:r>
      <w:r>
        <w:t xml:space="preserve">”</w:t>
      </w:r>
      <w:r>
        <w:t xml:space="preserve">, no solo como</w:t>
      </w:r>
      <w:r>
        <w:t xml:space="preserve"> </w:t>
      </w:r>
      <w:r>
        <w:t xml:space="preserve">“</w:t>
      </w:r>
      <w:r>
        <w:t xml:space="preserve">no bloquear</w:t>
      </w:r>
      <w:r>
        <w:t xml:space="preserve">”</w:t>
      </w:r>
      <w:r>
        <w:t xml:space="preserve">. Es el mismo patrón de guarda</w:t>
      </w:r>
      <w:r>
        <w:t xml:space="preserve"> </w:t>
      </w:r>
      <w:r>
        <w:rPr>
          <w:rStyle w:val="VerbatimChar"/>
        </w:rPr>
        <w:t xml:space="preserve">&gt;0</w:t>
      </w:r>
      <w:r>
        <w:t xml:space="preserve">/</w:t>
      </w:r>
      <w:r>
        <w:rPr>
          <w:rStyle w:val="VerbatimChar"/>
        </w:rPr>
        <w:t xml:space="preserve">===0</w:t>
      </w:r>
      <w:r>
        <w:t xml:space="preserve"> </w:t>
      </w:r>
      <w:r>
        <w:t xml:space="preserve">que el hueco de</w:t>
      </w:r>
      <w:r>
        <w:t xml:space="preserve"> </w:t>
      </w:r>
      <w:r>
        <w:rPr>
          <w:rStyle w:val="VerbatimChar"/>
        </w:rPr>
        <w:t xml:space="preserve">currentDrugIssue</w:t>
      </w:r>
      <w:r>
        <w:t xml:space="preserve"> </w:t>
      </w:r>
      <w:r>
        <w:t xml:space="preserve">(4.1), pero con una consecuencia clínica más directa (inicio activo de fármaco en vez de solo omisión de una advertencia).</w:t>
      </w:r>
    </w:p>
    <w:p>
      <w:pPr>
        <w:numPr>
          <w:ilvl w:val="0"/>
          <w:numId w:val="1039"/>
        </w:numPr>
        <w:pStyle w:val="Compact"/>
      </w:pPr>
      <w:r>
        <w:rPr>
          <w:b/>
        </w:rPr>
        <w:t xml:space="preserve">Discrepancia entre guías:</w:t>
      </w:r>
      <w:r>
        <w:t xml:space="preserve"> </w:t>
      </w:r>
      <w:r>
        <w:t xml:space="preserve">no aplica.</w:t>
      </w:r>
    </w:p>
    <w:p>
      <w:pPr>
        <w:pStyle w:val="Heading3"/>
      </w:pPr>
      <w:bookmarkStart w:id="64" w:name="Xc74f8241d5ef79a930561268dffe17de6106fa4"/>
      <w:r>
        <w:t xml:space="preserve">5.10 Catas de capas de seguridad transversal (CAPA 1-4)</w:t>
      </w:r>
      <w:bookmarkEnd w:id="64"/>
    </w:p>
    <w:p>
      <w:pPr>
        <w:numPr>
          <w:ilvl w:val="0"/>
          <w:numId w:val="1040"/>
        </w:numPr>
        <w:pStyle w:val="Compact"/>
      </w:pPr>
      <w:r>
        <w:rPr>
          <w:b/>
        </w:rPr>
        <w:t xml:space="preserve">Qué hace:</w:t>
      </w:r>
      <w:r>
        <w:t xml:space="preserve"> </w:t>
      </w:r>
      <w:r>
        <w:t xml:space="preserve">después de la lógica de comorbilidades/metformina, se evalúan 4 capas independientes: CAPA 4 (sobretratamiento glucémico severo, cualquier edad,</w:t>
      </w:r>
      <w:r>
        <w:t xml:space="preserve"> </w:t>
      </w:r>
      <w:r>
        <w:rPr>
          <w:rStyle w:val="VerbatimChar"/>
        </w:rPr>
        <w:t xml:space="preserve">checkSevereGlycemicOvertreatment</w:t>
      </w:r>
      <w:r>
        <w:t xml:space="preserve">, prioridad más alta) o CAPA 1 (sobretratamiento en adulto mayor,</w:t>
      </w:r>
      <w:r>
        <w:t xml:space="preserve"> </w:t>
      </w:r>
      <w:r>
        <w:rPr>
          <w:rStyle w:val="VerbatimChar"/>
        </w:rPr>
        <w:t xml:space="preserve">checkOvertreatmentDM</w:t>
      </w:r>
      <w:r>
        <w:t xml:space="preserve">, solo si CAPA 4 no aplicó); CAPA 2 (seguridad perioperatoria,</w:t>
      </w:r>
      <w:r>
        <w:t xml:space="preserve"> </w:t>
      </w:r>
      <w:r>
        <w:rPr>
          <w:rStyle w:val="VerbatimChar"/>
        </w:rPr>
        <w:t xml:space="preserve">checkPerioperativeSafety</w:t>
      </w:r>
      <w:r>
        <w:t xml:space="preserve">, agregada al INICIO del plan vía</w:t>
      </w:r>
      <w:r>
        <w:t xml:space="preserve"> </w:t>
      </w:r>
      <w:r>
        <w:rPr>
          <w:rStyle w:val="VerbatimChar"/>
        </w:rPr>
        <w:t xml:space="preserve">unshift</w:t>
      </w:r>
      <w:r>
        <w:t xml:space="preserve"> </w:t>
      </w:r>
      <w:r>
        <w:t xml:space="preserve">y que retira cualquier tarjeta de</w:t>
      </w:r>
      <w:r>
        <w:t xml:space="preserve"> </w:t>
      </w:r>
      <w:r>
        <w:t xml:space="preserve">“</w:t>
      </w:r>
      <w:r>
        <w:t xml:space="preserve">titular</w:t>
      </w:r>
      <w:r>
        <w:t xml:space="preserve">”</w:t>
      </w:r>
      <w:r>
        <w:t xml:space="preserve"> </w:t>
      </w:r>
      <w:r>
        <w:t xml:space="preserve">conflictiva para el mismo fármaco); CAPA 3 (confiabilidad de A1c,</w:t>
      </w:r>
      <w:r>
        <w:t xml:space="preserve"> </w:t>
      </w:r>
      <w:r>
        <w:rPr>
          <w:rStyle w:val="VerbatimChar"/>
        </w:rPr>
        <w:t xml:space="preserve">checkUnreliableA1c</w:t>
      </w:r>
      <w:r>
        <w:t xml:space="preserve">, solo advertencia informativa, no cambia fármacos).</w:t>
      </w:r>
    </w:p>
    <w:p>
      <w:pPr>
        <w:numPr>
          <w:ilvl w:val="0"/>
          <w:numId w:val="1040"/>
        </w:numPr>
        <w:pStyle w:val="Compact"/>
      </w:pPr>
      <w:r>
        <w:rPr>
          <w:b/>
        </w:rPr>
        <w:t xml:space="preserve">Por qué:</w:t>
      </w:r>
      <w:r>
        <w:t xml:space="preserve"> </w:t>
      </w:r>
      <w:r>
        <w:t xml:space="preserve">cada capa aborda un riesgo de seguridad independiente de la lógica principal de selección de fármaco (geriatría, cirugía inminente, confiabilidad del dato guía) — documentado explícitamente que CAPA 4 se revisa PRIMERO que CAPA 1</w:t>
      </w:r>
      <w:r>
        <w:t xml:space="preserve"> </w:t>
      </w:r>
      <w:r>
        <w:t xml:space="preserve">“</w:t>
      </w:r>
      <w:r>
        <w:t xml:space="preserve">para no mostrar dos tarjetas redundantes de</w:t>
      </w:r>
      <w:r>
        <w:t xml:space="preserve"> </w:t>
      </w:r>
      <w:r>
        <w:t xml:space="preserve">‘</w:t>
      </w:r>
      <w:r>
        <w:t xml:space="preserve">desescalar</w:t>
      </w:r>
      <w:r>
        <w:t xml:space="preserve">’</w:t>
      </w:r>
      <w:r>
        <w:t xml:space="preserve"> </w:t>
      </w:r>
      <w:r>
        <w:t xml:space="preserve">con distinta urgencia al mismo paciente</w:t>
      </w:r>
      <w:r>
        <w:t xml:space="preserve">”</w:t>
      </w:r>
      <w:r>
        <w:t xml:space="preserve">.</w:t>
      </w:r>
    </w:p>
    <w:p>
      <w:pPr>
        <w:numPr>
          <w:ilvl w:val="0"/>
          <w:numId w:val="1040"/>
        </w:numPr>
        <w:pStyle w:val="Compact"/>
      </w:pPr>
      <w:r>
        <w:rPr>
          <w:b/>
        </w:rPr>
        <w:t xml:space="preserve">Fuente:</w:t>
      </w:r>
      <w:r>
        <w:t xml:space="preserve"> </w:t>
      </w:r>
      <w:r>
        <w:t xml:space="preserve">delegada a módulos externos (</w:t>
      </w:r>
      <w:r>
        <w:rPr>
          <w:rStyle w:val="VerbatimChar"/>
        </w:rPr>
        <w:t xml:space="preserve">geriatric.js</w:t>
      </w:r>
      <w:r>
        <w:t xml:space="preserve">,</w:t>
      </w:r>
      <w:r>
        <w:t xml:space="preserve"> </w:t>
      </w:r>
      <w:r>
        <w:rPr>
          <w:rStyle w:val="VerbatimChar"/>
        </w:rPr>
        <w:t xml:space="preserve">perioperative.js</w:t>
      </w:r>
      <w:r>
        <w:t xml:space="preserve">,</w:t>
      </w:r>
      <w:r>
        <w:t xml:space="preserve"> </w:t>
      </w:r>
      <w:r>
        <w:rPr>
          <w:rStyle w:val="VerbatimChar"/>
        </w:rPr>
        <w:t xml:space="preserve">borderline-labs.js</w:t>
      </w:r>
      <w:r>
        <w:t xml:space="preserve">,</w:t>
      </w:r>
      <w:r>
        <w:t xml:space="preserve"> </w:t>
      </w:r>
      <w:r>
        <w:rPr>
          <w:rStyle w:val="VerbatimChar"/>
        </w:rPr>
        <w:t xml:space="preserve">polypharmacy.js</w:t>
      </w:r>
      <w:r>
        <w:t xml:space="preserve">) — fuera de alcance directo de esta auditoría de</w:t>
      </w:r>
      <w:r>
        <w:t xml:space="preserve"> </w:t>
      </w:r>
      <w:r>
        <w:rPr>
          <w:rStyle w:val="VerbatimChar"/>
        </w:rPr>
        <w:t xml:space="preserve">calculations.js</w:t>
      </w:r>
      <w:r>
        <w:t xml:space="preserve">, aunque se referencia aquí porque el ensamblaje ocurre en esta función.</w:t>
      </w:r>
    </w:p>
    <w:p>
      <w:pPr>
        <w:numPr>
          <w:ilvl w:val="0"/>
          <w:numId w:val="1040"/>
        </w:numPr>
        <w:pStyle w:val="Compact"/>
      </w:pPr>
      <w:r>
        <w:rPr>
          <w:b/>
        </w:rPr>
        <w:t xml:space="preserve">Versión de la fuente:</w:t>
      </w:r>
      <w:r>
        <w:t xml:space="preserve"> </w:t>
      </w:r>
      <w:r>
        <w:t xml:space="preserve">No especificada en este archivo.</w:t>
      </w:r>
    </w:p>
    <w:p>
      <w:pPr>
        <w:numPr>
          <w:ilvl w:val="0"/>
          <w:numId w:val="1040"/>
        </w:numPr>
        <w:pStyle w:val="Compact"/>
      </w:pPr>
      <w:r>
        <w:rPr>
          <w:b/>
        </w:rPr>
        <w:t xml:space="preserve">Fecha de revisión:</w:t>
      </w:r>
      <w:r>
        <w:t xml:space="preserve"> </w:t>
      </w:r>
      <w:r>
        <w:t xml:space="preserve">10-ago-2026 (Casos 38, 40-41, 43, 44/57 — todos citados explícitamente con esa fecha).</w:t>
      </w:r>
    </w:p>
    <w:p>
      <w:pPr>
        <w:numPr>
          <w:ilvl w:val="0"/>
          <w:numId w:val="1040"/>
        </w:numPr>
        <w:pStyle w:val="Compact"/>
      </w:pPr>
      <w:r>
        <w:rPr>
          <w:b/>
        </w:rPr>
        <w:t xml:space="preserve">Quién revisó:</w:t>
      </w:r>
      <w:r>
        <w:t xml:space="preserve"> </w:t>
      </w:r>
      <w:r>
        <w:t xml:space="preserve">Dr. Ortega (atribuido explícitamente en cada uno de los 4 comentarios de capa).</w:t>
      </w:r>
    </w:p>
    <w:p>
      <w:pPr>
        <w:numPr>
          <w:ilvl w:val="0"/>
          <w:numId w:val="1040"/>
        </w:numPr>
        <w:pStyle w:val="Compact"/>
      </w:pPr>
      <w:r>
        <w:rPr>
          <w:b/>
        </w:rPr>
        <w:t xml:space="preserve">Casos que la validan:</w:t>
      </w:r>
      <w:r>
        <w:t xml:space="preserve"> </w:t>
      </w:r>
      <w:r>
        <w:rPr>
          <w:rStyle w:val="VerbatimChar"/>
        </w:rPr>
        <w:t xml:space="preserve">tests/edge-cases.test.mjs</w:t>
      </w:r>
      <w:r>
        <w:t xml:space="preserve"> </w:t>
      </w:r>
      <w:r>
        <w:t xml:space="preserve">Casos 38 (geriátrico), 39 (ortostatismo — HTN, no antidiabético), 40/41 (perioperatorio), 43 (A1c no confiable), 44/57 (sobretratamiento severo) — todos verificados con</w:t>
      </w:r>
      <w:r>
        <w:t xml:space="preserve"> </w:t>
      </w:r>
      <w:r>
        <w:rPr>
          <w:rStyle w:val="VerbatimChar"/>
        </w:rPr>
        <w:t xml:space="preserve">check()</w:t>
      </w:r>
      <w:r>
        <w:t xml:space="preserve"> </w:t>
      </w:r>
      <w:r>
        <w:t xml:space="preserve">explícito.</w:t>
      </w:r>
    </w:p>
    <w:p>
      <w:pPr>
        <w:numPr>
          <w:ilvl w:val="0"/>
          <w:numId w:val="1040"/>
        </w:numPr>
        <w:pStyle w:val="Compact"/>
      </w:pPr>
      <w:r>
        <w:rPr>
          <w:b/>
        </w:rPr>
        <w:t xml:space="preserve">Excepciones:</w:t>
      </w:r>
      <w:r>
        <w:t xml:space="preserve"> </w:t>
      </w:r>
      <w:r>
        <w:t xml:space="preserve">documentadas en el propio código: CAPA 2 retira tarjetas de</w:t>
      </w:r>
      <w:r>
        <w:t xml:space="preserve"> </w:t>
      </w:r>
      <w:r>
        <w:t xml:space="preserve">“</w:t>
      </w:r>
      <w:r>
        <w:t xml:space="preserve">titular</w:t>
      </w:r>
      <w:r>
        <w:t xml:space="preserve">”</w:t>
      </w:r>
      <w:r>
        <w:t xml:space="preserve"> </w:t>
      </w:r>
      <w:r>
        <w:t xml:space="preserve">en conflicto directo con</w:t>
      </w:r>
      <w:r>
        <w:t xml:space="preserve"> </w:t>
      </w:r>
      <w:r>
        <w:t xml:space="preserve">“</w:t>
      </w:r>
      <w:r>
        <w:t xml:space="preserve">SUSPENDER (perioperatorio)</w:t>
      </w:r>
      <w:r>
        <w:t xml:space="preserve">”</w:t>
      </w:r>
      <w:r>
        <w:t xml:space="preserve"> </w:t>
      </w:r>
      <w:r>
        <w:t xml:space="preserve">para el mismo fármaco, para no mostrar mensajes contradictorios.</w:t>
      </w:r>
    </w:p>
    <w:p>
      <w:pPr>
        <w:numPr>
          <w:ilvl w:val="0"/>
          <w:numId w:val="1040"/>
        </w:numPr>
        <w:pStyle w:val="Compact"/>
      </w:pPr>
      <w:r>
        <w:rPr>
          <w:b/>
        </w:rPr>
        <w:t xml:space="preserve">Qué faltan datos:</w:t>
      </w:r>
      <w:r>
        <w:t xml:space="preserve"> </w:t>
      </w:r>
      <w:r>
        <w:t xml:space="preserve">no evaluable en detalle sin leer los módulos delegados (fuera de alcance de este archivo).</w:t>
      </w:r>
    </w:p>
    <w:p>
      <w:pPr>
        <w:numPr>
          <w:ilvl w:val="0"/>
          <w:numId w:val="1040"/>
        </w:numPr>
        <w:pStyle w:val="Compact"/>
      </w:pPr>
      <w:r>
        <w:rPr>
          <w:b/>
        </w:rPr>
        <w:t xml:space="preserve">Discrepancia entre guías:</w:t>
      </w:r>
      <w:r>
        <w:t xml:space="preserve"> </w:t>
      </w:r>
      <w:r>
        <w:t xml:space="preserve">no aplica en este archivo.</w:t>
      </w:r>
    </w:p>
    <w:p>
      <w:pPr>
        <w:pStyle w:val="Heading3"/>
      </w:pPr>
      <w:bookmarkStart w:id="65" w:name="X66cf5aad6891d375fd8a9860e1166bc973a2b40"/>
      <w:r>
        <w:t xml:space="preserve">5.11 Catch-all final — fármacos activos no revisados por ninguna rama anterior</w:t>
      </w:r>
      <w:bookmarkEnd w:id="65"/>
    </w:p>
    <w:p>
      <w:pPr>
        <w:numPr>
          <w:ilvl w:val="0"/>
          <w:numId w:val="1041"/>
        </w:numPr>
        <w:pStyle w:val="Compact"/>
      </w:pPr>
      <w:r>
        <w:rPr>
          <w:b/>
        </w:rPr>
        <w:t xml:space="preserve">Qué hace:</w:t>
      </w:r>
      <w:r>
        <w:t xml:space="preserve"> </w:t>
      </w:r>
      <w:r>
        <w:t xml:space="preserve">recorre</w:t>
      </w:r>
      <w:r>
        <w:t xml:space="preserve"> </w:t>
      </w:r>
      <w:r>
        <w:rPr>
          <w:rStyle w:val="VerbatimChar"/>
        </w:rPr>
        <w:t xml:space="preserve">state.entries</w:t>
      </w:r>
      <w:r>
        <w:t xml:space="preserve"> </w:t>
      </w:r>
      <w:r>
        <w:t xml:space="preserve">(TODA la medicación antidiabética actual) y, para cualquier fármaco que NINGUNA rama anterior ya haya mencionado en el plan, corre</w:t>
      </w:r>
      <w:r>
        <w:t xml:space="preserve"> </w:t>
      </w:r>
      <w:r>
        <w:rPr>
          <w:rStyle w:val="VerbatimChar"/>
        </w:rPr>
        <w:t xml:space="preserve">currentDrugIssue</w:t>
      </w:r>
      <w:r>
        <w:t xml:space="preserve"> </w:t>
      </w:r>
      <w:r>
        <w:t xml:space="preserve">de nuevo; si hay problema, agrega</w:t>
      </w:r>
      <w:r>
        <w:t xml:space="preserve"> </w:t>
      </w:r>
      <w:r>
        <w:t xml:space="preserve">“</w:t>
      </w:r>
      <w:r>
        <w:t xml:space="preserve">REVALORAR/SUSPENDER</w:t>
      </w:r>
      <w:r>
        <w:t xml:space="preserve">”</w:t>
      </w:r>
      <w:r>
        <w:t xml:space="preserve">.</w:t>
      </w:r>
    </w:p>
    <w:p>
      <w:pPr>
        <w:numPr>
          <w:ilvl w:val="0"/>
          <w:numId w:val="1041"/>
        </w:numPr>
        <w:pStyle w:val="Compact"/>
      </w:pPr>
      <w:r>
        <w:rPr>
          <w:b/>
        </w:rPr>
        <w:t xml:space="preserve">Por qué:</w:t>
      </w:r>
      <w:r>
        <w:t xml:space="preserve"> </w:t>
      </w:r>
      <w:r>
        <w:t xml:space="preserve">generalización del hallazgo sistémico — un fármaco ya a dosis máxima que no cae en ninguna rama específica (ej. una sulfonilurea vigente en alguien que después desarrolla contraindicación) pasaba en silencio, sin titulación pero también sin advertencia.</w:t>
      </w:r>
    </w:p>
    <w:p>
      <w:pPr>
        <w:numPr>
          <w:ilvl w:val="0"/>
          <w:numId w:val="1041"/>
        </w:numPr>
        <w:pStyle w:val="Compact"/>
      </w:pPr>
      <w:r>
        <w:rPr>
          <w:b/>
        </w:rPr>
        <w:t xml:space="preserve">Fuente:</w:t>
      </w:r>
      <w:r>
        <w:t xml:space="preserve"> </w:t>
      </w:r>
      <w:r>
        <w:t xml:space="preserve">hallazgo de auditoría interna del proyecto, no una guía clínica externa.</w:t>
      </w:r>
    </w:p>
    <w:p>
      <w:pPr>
        <w:numPr>
          <w:ilvl w:val="0"/>
          <w:numId w:val="1041"/>
        </w:numPr>
        <w:pStyle w:val="Compact"/>
      </w:pPr>
      <w:r>
        <w:rPr>
          <w:b/>
        </w:rPr>
        <w:t xml:space="preserve">Versión de la fuente:</w:t>
      </w:r>
      <w:r>
        <w:t xml:space="preserve"> </w:t>
      </w:r>
      <w:r>
        <w:t xml:space="preserve">No aplica.</w:t>
      </w:r>
    </w:p>
    <w:p>
      <w:pPr>
        <w:numPr>
          <w:ilvl w:val="0"/>
          <w:numId w:val="1041"/>
        </w:numPr>
        <w:pStyle w:val="Compact"/>
      </w:pPr>
      <w:r>
        <w:rPr>
          <w:b/>
        </w:rPr>
        <w:t xml:space="preserve">Fecha de revisión:</w:t>
      </w:r>
      <w:r>
        <w:t xml:space="preserve"> </w:t>
      </w:r>
      <w:r>
        <w:t xml:space="preserve">“</w:t>
      </w:r>
      <w:r>
        <w:t xml:space="preserve">misma ronda de auditoría</w:t>
      </w:r>
      <w:r>
        <w:t xml:space="preserve">”</w:t>
      </w:r>
      <w:r>
        <w:t xml:space="preserve"> </w:t>
      </w:r>
      <w:r>
        <w:t xml:space="preserve">(contextualmente 10/11-ago-2026, sin fecha exacta en este comentario puntual).</w:t>
      </w:r>
    </w:p>
    <w:p>
      <w:pPr>
        <w:numPr>
          <w:ilvl w:val="0"/>
          <w:numId w:val="1041"/>
        </w:numPr>
        <w:pStyle w:val="Compact"/>
      </w:pPr>
      <w:r>
        <w:rPr>
          <w:b/>
        </w:rPr>
        <w:t xml:space="preserve">Quién revisó:</w:t>
      </w:r>
      <w:r>
        <w:t xml:space="preserve"> </w:t>
      </w:r>
      <w:r>
        <w:t xml:space="preserve">No especificado nominalmente en este comentario puntual.</w:t>
      </w:r>
    </w:p>
    <w:p>
      <w:pPr>
        <w:numPr>
          <w:ilvl w:val="0"/>
          <w:numId w:val="1041"/>
        </w:numPr>
        <w:pStyle w:val="Compact"/>
      </w:pPr>
      <w:r>
        <w:rPr>
          <w:b/>
        </w:rPr>
        <w:t xml:space="preserve">Casos que la validan:</w:t>
      </w:r>
      <w:r>
        <w:t xml:space="preserve"> </w:t>
      </w:r>
      <w:r>
        <w:t xml:space="preserve">el patrón general se valida indirectamente por los casos de litio/TARV (51/54) que sí ejercitan</w:t>
      </w:r>
      <w:r>
        <w:t xml:space="preserve"> </w:t>
      </w:r>
      <w:r>
        <w:t xml:space="preserve">“</w:t>
      </w:r>
      <w:r>
        <w:t xml:space="preserve">REVALORAR/SUSPENDER</w:t>
      </w:r>
      <w:r>
        <w:t xml:space="preserve">”</w:t>
      </w:r>
      <w:r>
        <w:t xml:space="preserve"> </w:t>
      </w:r>
      <w:r>
        <w:t xml:space="preserve">para fármacos ya activos, aunque no hay un</w:t>
      </w:r>
      <w:r>
        <w:t xml:space="preserve"> </w:t>
      </w:r>
      <w:r>
        <w:rPr>
          <w:rStyle w:val="VerbatimChar"/>
        </w:rPr>
        <w:t xml:space="preserve">check()</w:t>
      </w:r>
      <w:r>
        <w:t xml:space="preserve"> </w:t>
      </w:r>
      <w:r>
        <w:t xml:space="preserve">que aísle específicamente el catch-all</w:t>
      </w:r>
      <w:r>
        <w:t xml:space="preserve"> </w:t>
      </w:r>
      <w:r>
        <w:t xml:space="preserve">“</w:t>
      </w:r>
      <w:r>
        <w:t xml:space="preserve">genérico</w:t>
      </w:r>
      <w:r>
        <w:t xml:space="preserve">”</w:t>
      </w:r>
      <w:r>
        <w:t xml:space="preserve"> </w:t>
      </w:r>
      <w:r>
        <w:t xml:space="preserve">(fuera de esos dos dominios con lógica dedicada) — Sin caso de prueba identificado que ejercite el catch-all puro (ej. sulfonilurea maxeada con contraindicación nueva sin relación a litio/TARV) en los 3 archivos revisados.</w:t>
      </w:r>
    </w:p>
    <w:p>
      <w:pPr>
        <w:numPr>
          <w:ilvl w:val="0"/>
          <w:numId w:val="1041"/>
        </w:numPr>
        <w:pStyle w:val="Compact"/>
      </w:pPr>
      <w:r>
        <w:rPr>
          <w:b/>
        </w:rPr>
        <w:t xml:space="preserve">Excepciones:</w:t>
      </w:r>
      <w:r>
        <w:t xml:space="preserve"> </w:t>
      </w:r>
      <w:r>
        <w:t xml:space="preserve">solo revisa fármacos que</w:t>
      </w:r>
      <w:r>
        <w:t xml:space="preserve"> </w:t>
      </w:r>
      <w:r>
        <w:t xml:space="preserve">“</w:t>
      </w:r>
      <w:r>
        <w:t xml:space="preserve">aún no haya sido mencionado en el plan</w:t>
      </w:r>
      <w:r>
        <w:t xml:space="preserve">”</w:t>
      </w:r>
      <w:r>
        <w:t xml:space="preserve"> </w:t>
      </w:r>
      <w:r>
        <w:t xml:space="preserve">— evita duplicar advertencias ya generadas por ramas específicas.</w:t>
      </w:r>
    </w:p>
    <w:p>
      <w:pPr>
        <w:numPr>
          <w:ilvl w:val="0"/>
          <w:numId w:val="1041"/>
        </w:numPr>
        <w:pStyle w:val="Compact"/>
      </w:pPr>
      <w:r>
        <w:rPr>
          <w:b/>
        </w:rPr>
        <w:t xml:space="preserve">Qué faltan datos:</w:t>
      </w:r>
      <w:r>
        <w:t xml:space="preserve"> </w:t>
      </w:r>
      <w:r>
        <w:t xml:space="preserve">hereda el hueco de</w:t>
      </w:r>
      <w:r>
        <w:t xml:space="preserve"> </w:t>
      </w:r>
      <w:r>
        <w:rPr>
          <w:rStyle w:val="VerbatimChar"/>
        </w:rPr>
        <w:t xml:space="preserve">currentDrugIssue</w:t>
      </w:r>
      <w:r>
        <w:t xml:space="preserve"> </w:t>
      </w:r>
      <w:r>
        <w:t xml:space="preserve">(4.1, eGFR=0 silencioso).</w:t>
      </w:r>
    </w:p>
    <w:p>
      <w:pPr>
        <w:numPr>
          <w:ilvl w:val="0"/>
          <w:numId w:val="1041"/>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66" w:name="plan-de-hipertensión-buildhtnplan"/>
      <w:r>
        <w:t xml:space="preserve">6. Plan de Hipertensión (</w:t>
      </w:r>
      <w:r>
        <w:rPr>
          <w:rStyle w:val="VerbatimChar"/>
        </w:rPr>
        <w:t xml:space="preserve">buildHTNPlan</w:t>
      </w:r>
      <w:r>
        <w:t xml:space="preserve">)</w:t>
      </w:r>
      <w:bookmarkEnd w:id="66"/>
    </w:p>
    <w:p>
      <w:pPr>
        <w:pStyle w:val="FirstParagraph"/>
      </w:pPr>
      <w:r>
        <w:t xml:space="preserve">Basado en AHA/ACC 2025 (Guía de HTA 2025), con integración de PREVENT-CVD y alineación con AHA/ACC/HFSA 2022 para el pilar RAAS en IC.</w:t>
      </w:r>
    </w:p>
    <w:p>
      <w:pPr>
        <w:pStyle w:val="Heading3"/>
      </w:pPr>
      <w:bookmarkStart w:id="67" w:name="X742b100a22c1ea2106aed769cf7e2da4892b64a"/>
      <w:r>
        <w:t xml:space="preserve">6.1</w:t>
      </w:r>
      <w:r>
        <w:t xml:space="preserve"> </w:t>
      </w:r>
      <w:r>
        <w:rPr>
          <w:rStyle w:val="VerbatimChar"/>
        </w:rPr>
        <w:t xml:space="preserve">getIndividualizedBPGoalNumeric</w:t>
      </w:r>
      <w:r>
        <w:t xml:space="preserve"> </w:t>
      </w:r>
      <w:r>
        <w:t xml:space="preserve">— Meta de PA individualizada por edad/complejidad</w:t>
      </w:r>
      <w:bookmarkEnd w:id="67"/>
    </w:p>
    <w:p>
      <w:pPr>
        <w:numPr>
          <w:ilvl w:val="0"/>
          <w:numId w:val="1042"/>
        </w:numPr>
        <w:pStyle w:val="Compact"/>
      </w:pPr>
      <w:r>
        <w:rPr>
          <w:b/>
        </w:rPr>
        <w:t xml:space="preserve">Qué hace:</w:t>
      </w:r>
      <w:r>
        <w:t xml:space="preserve"> </w:t>
      </w:r>
      <w:r>
        <w:t xml:space="preserve">meta</w:t>
      </w:r>
      <w:r>
        <w:t xml:space="preserve"> </w:t>
      </w:r>
      <w:r>
        <w:rPr>
          <w:rStyle w:val="VerbatimChar"/>
        </w:rPr>
        <w:t xml:space="preserve">&lt;140/90</w:t>
      </w:r>
      <w:r>
        <w:t xml:space="preserve"> </w:t>
      </w:r>
      <w:r>
        <w:t xml:space="preserve">si</w:t>
      </w:r>
      <w:r>
        <w:t xml:space="preserve"> </w:t>
      </w:r>
      <w:r>
        <w:rPr>
          <w:rStyle w:val="VerbatimChar"/>
        </w:rPr>
        <w:t xml:space="preserve">edad≥65</w:t>
      </w:r>
      <w:r>
        <w:t xml:space="preserve"> </w:t>
      </w:r>
      <w:r>
        <w:t xml:space="preserve">Y</w:t>
      </w:r>
      <w:r>
        <w:t xml:space="preserve"> </w:t>
      </w:r>
      <w:r>
        <w:rPr>
          <w:rStyle w:val="VerbatimChar"/>
        </w:rPr>
        <w:t xml:space="preserve">p.saludStatus==="muyComplejo"</w:t>
      </w:r>
      <w:r>
        <w:t xml:space="preserve">; si no, meta general</w:t>
      </w:r>
      <w:r>
        <w:t xml:space="preserve"> </w:t>
      </w:r>
      <w:r>
        <w:rPr>
          <w:rStyle w:val="VerbatimChar"/>
        </w:rPr>
        <w:t xml:space="preserve">&lt;130/80</w:t>
      </w:r>
      <w:r>
        <w:t xml:space="preserve">.</w:t>
      </w:r>
    </w:p>
    <w:p>
      <w:pPr>
        <w:numPr>
          <w:ilvl w:val="0"/>
          <w:numId w:val="1042"/>
        </w:numPr>
        <w:pStyle w:val="Compact"/>
      </w:pPr>
      <w:r>
        <w:rPr>
          <w:b/>
        </w:rPr>
        <w:t xml:space="preserve">Por qué:</w:t>
      </w:r>
      <w:r>
        <w:t xml:space="preserve"> </w:t>
      </w:r>
      <w:r>
        <w:t xml:space="preserve">corrige el mismo tipo de bug ya resuelto para la meta de A1c (</w:t>
      </w:r>
      <w:r>
        <w:rPr>
          <w:rStyle w:val="VerbatimChar"/>
        </w:rPr>
        <w:t xml:space="preserve">getA1cTarget</w:t>
      </w:r>
      <w:r>
        <w:t xml:space="preserve">) pero nunca aplicado a la meta de PA —</w:t>
      </w:r>
      <w:r>
        <w:t xml:space="preserve"> </w:t>
      </w:r>
      <w:r>
        <w:rPr>
          <w:rStyle w:val="VerbatimChar"/>
        </w:rPr>
        <w:t xml:space="preserve">atGoal</w:t>
      </w:r>
      <w:r>
        <w:t xml:space="preserve"> </w:t>
      </w:r>
      <w:r>
        <w:t xml:space="preserve">usaba siempre</w:t>
      </w:r>
      <w:r>
        <w:t xml:space="preserve"> </w:t>
      </w:r>
      <w:r>
        <w:rPr>
          <w:rStyle w:val="VerbatimChar"/>
        </w:rPr>
        <w:t xml:space="preserve">&lt;130/80</w:t>
      </w:r>
      <w:r>
        <w:t xml:space="preserve"> </w:t>
      </w:r>
      <w:r>
        <w:t xml:space="preserve">sin importar edad/complejidad, sobretratando a adultos mayores frágiles.</w:t>
      </w:r>
    </w:p>
    <w:p>
      <w:pPr>
        <w:numPr>
          <w:ilvl w:val="0"/>
          <w:numId w:val="1042"/>
        </w:numPr>
        <w:pStyle w:val="Compact"/>
      </w:pPr>
      <w:r>
        <w:rPr>
          <w:b/>
        </w:rPr>
        <w:t xml:space="preserve">Fuente:</w:t>
      </w:r>
      <w:r>
        <w:t xml:space="preserve"> </w:t>
      </w:r>
      <w:r>
        <w:t xml:space="preserve">Tabla 13.2 (ADA 2026,</w:t>
      </w:r>
      <w:r>
        <w:t xml:space="preserve"> </w:t>
      </w:r>
      <w:r>
        <w:t xml:space="preserve">“</w:t>
      </w:r>
      <w:r>
        <w:t xml:space="preserve">Older Adults</w:t>
      </w:r>
      <w:r>
        <w:t xml:space="preserve">”</w:t>
      </w:r>
      <w:r>
        <w:t xml:space="preserve">) — misma tabla que ya usa</w:t>
      </w:r>
      <w:r>
        <w:t xml:space="preserve"> </w:t>
      </w:r>
      <w:r>
        <w:rPr>
          <w:rStyle w:val="VerbatimChar"/>
        </w:rPr>
        <w:t xml:space="preserve">individualization.js</w:t>
      </w:r>
      <w:r>
        <w:t xml:space="preserve"> </w:t>
      </w:r>
      <w:r>
        <w:t xml:space="preserve">(</w:t>
      </w:r>
      <w:r>
        <w:rPr>
          <w:rStyle w:val="VerbatimChar"/>
        </w:rPr>
        <w:t xml:space="preserve">GOALS_TABLE</w:t>
      </w:r>
      <w:r>
        <w:t xml:space="preserve">/</w:t>
      </w:r>
      <w:r>
        <w:rPr>
          <w:rStyle w:val="VerbatimChar"/>
        </w:rPr>
        <w:t xml:space="preserve">getGlycemicAndBPGoals</w:t>
      </w:r>
      <w:r>
        <w:t xml:space="preserve">).</w:t>
      </w:r>
    </w:p>
    <w:p>
      <w:pPr>
        <w:numPr>
          <w:ilvl w:val="0"/>
          <w:numId w:val="1042"/>
        </w:numPr>
        <w:pStyle w:val="Compact"/>
      </w:pPr>
      <w:r>
        <w:rPr>
          <w:b/>
        </w:rPr>
        <w:t xml:space="preserve">Versión de la fuente:</w:t>
      </w:r>
      <w:r>
        <w:t xml:space="preserve"> </w:t>
      </w:r>
      <w:r>
        <w:t xml:space="preserve">ADA 2026.</w:t>
      </w:r>
    </w:p>
    <w:p>
      <w:pPr>
        <w:numPr>
          <w:ilvl w:val="0"/>
          <w:numId w:val="1042"/>
        </w:numPr>
        <w:pStyle w:val="Compact"/>
      </w:pPr>
      <w:r>
        <w:rPr>
          <w:b/>
        </w:rPr>
        <w:t xml:space="preserve">Fecha de revisión:</w:t>
      </w:r>
      <w:r>
        <w:t xml:space="preserve"> </w:t>
      </w:r>
      <w:r>
        <w:t xml:space="preserve">Sin fecha exacta citada en este comentario específico (referencia</w:t>
      </w:r>
      <w:r>
        <w:t xml:space="preserve"> </w:t>
      </w:r>
      <w:r>
        <w:t xml:space="preserve">“</w:t>
      </w:r>
      <w:r>
        <w:t xml:space="preserve">auditoría de escalonamiento</w:t>
      </w:r>
      <w:r>
        <w:t xml:space="preserve">”</w:t>
      </w:r>
      <w:r>
        <w:t xml:space="preserve">, contextual a la ronda de 10/11-ago-2026).</w:t>
      </w:r>
    </w:p>
    <w:p>
      <w:pPr>
        <w:numPr>
          <w:ilvl w:val="0"/>
          <w:numId w:val="1042"/>
        </w:numPr>
        <w:pStyle w:val="Compact"/>
      </w:pPr>
      <w:r>
        <w:rPr>
          <w:b/>
        </w:rPr>
        <w:t xml:space="preserve">Quién revisó:</w:t>
      </w:r>
      <w:r>
        <w:t xml:space="preserve"> </w:t>
      </w:r>
      <w:r>
        <w:t xml:space="preserve">No especificado nominalmente en este comentario puntual.</w:t>
      </w:r>
    </w:p>
    <w:p>
      <w:pPr>
        <w:numPr>
          <w:ilvl w:val="0"/>
          <w:numId w:val="1042"/>
        </w:numPr>
        <w:pStyle w:val="Compact"/>
      </w:pPr>
      <w:r>
        <w:rPr>
          <w:b/>
        </w:rPr>
        <w:t xml:space="preserve">Casos que la validan:</w:t>
      </w:r>
      <w:r>
        <w:t xml:space="preserve"> </w:t>
      </w:r>
      <w:r>
        <w:t xml:space="preserve">Sin caso de prueba identificado con perfil</w:t>
      </w:r>
      <w:r>
        <w:t xml:space="preserve"> </w:t>
      </w:r>
      <w:r>
        <w:t xml:space="preserve">“</w:t>
      </w:r>
      <w:r>
        <w:t xml:space="preserve">≥65 años muy complejo, PA 135/85</w:t>
      </w:r>
      <w:r>
        <w:t xml:space="preserve">”</w:t>
      </w:r>
      <w:r>
        <w:t xml:space="preserve"> </w:t>
      </w:r>
      <w:r>
        <w:t xml:space="preserve">en los 3 archivos revisados; el propio comentario del código menciona</w:t>
      </w:r>
      <w:r>
        <w:t xml:space="preserve"> </w:t>
      </w:r>
      <w:r>
        <w:t xml:space="preserve">“</w:t>
      </w:r>
      <w:r>
        <w:t xml:space="preserve">hay un test de regresión que verifica que ambas fuentes concuerden para el mismo paciente</w:t>
      </w:r>
      <w:r>
        <w:t xml:space="preserve">”</w:t>
      </w:r>
      <w:r>
        <w:t xml:space="preserve"> </w:t>
      </w:r>
      <w:r>
        <w:t xml:space="preserve">(referencia a D2, que valida</w:t>
      </w:r>
      <w:r>
        <w:t xml:space="preserve"> </w:t>
      </w:r>
      <w:r>
        <w:rPr>
          <w:rStyle w:val="VerbatimChar"/>
        </w:rPr>
        <w:t xml:space="preserve">classifyBP</w:t>
      </w:r>
      <w:r>
        <w:t xml:space="preserve">, no directamente esta función de meta — posible desalineación entre lo que el comentario afirma y lo verificado en los 3 archivos leídos).</w:t>
      </w:r>
    </w:p>
    <w:p>
      <w:pPr>
        <w:numPr>
          <w:ilvl w:val="0"/>
          <w:numId w:val="1042"/>
        </w:numPr>
        <w:pStyle w:val="Compact"/>
      </w:pPr>
      <w:r>
        <w:rPr>
          <w:b/>
        </w:rPr>
        <w:t xml:space="preserve">Excepciones:</w:t>
      </w:r>
      <w:r>
        <w:t xml:space="preserve"> </w:t>
      </w:r>
      <w:r>
        <w:t xml:space="preserve">deliberadamente NO importa</w:t>
      </w:r>
      <w:r>
        <w:t xml:space="preserve"> </w:t>
      </w:r>
      <w:r>
        <w:rPr>
          <w:rStyle w:val="VerbatimChar"/>
        </w:rPr>
        <w:t xml:space="preserve">individualization.js</w:t>
      </w:r>
      <w:r>
        <w:t xml:space="preserve"> </w:t>
      </w:r>
      <w:r>
        <w:t xml:space="preserve">directamente (evita dependencia circular) — replica la Tabla 13.2 localmente, con el riesgo inherente de que ambas copias diverjan si una se actualiza sin la otra.</w:t>
      </w:r>
    </w:p>
    <w:p>
      <w:pPr>
        <w:numPr>
          <w:ilvl w:val="0"/>
          <w:numId w:val="1042"/>
        </w:numPr>
        <w:pStyle w:val="Compact"/>
      </w:pPr>
      <w:r>
        <w:rPr>
          <w:b/>
        </w:rPr>
        <w:t xml:space="preserve">Qué faltan datos:</w:t>
      </w:r>
      <w:r>
        <w:t xml:space="preserve"> </w:t>
      </w:r>
      <w:r>
        <w:t xml:space="preserve">si</w:t>
      </w:r>
      <w:r>
        <w:t xml:space="preserve"> </w:t>
      </w:r>
      <w:r>
        <w:rPr>
          <w:rStyle w:val="VerbatimChar"/>
        </w:rPr>
        <w:t xml:space="preserve">p.saludStatus</w:t>
      </w:r>
      <w:r>
        <w:t xml:space="preserve"> </w:t>
      </w:r>
      <w:r>
        <w:t xml:space="preserve">no se captura, la condición</w:t>
      </w:r>
      <w:r>
        <w:t xml:space="preserve"> </w:t>
      </w:r>
      <w:r>
        <w:rPr>
          <w:rStyle w:val="VerbatimChar"/>
        </w:rPr>
        <w:t xml:space="preserve">p?.saludStatus === "muyComplejo"</w:t>
      </w:r>
      <w:r>
        <w:t xml:space="preserve"> </w:t>
      </w:r>
      <w:r>
        <w:t xml:space="preserve">es</w:t>
      </w:r>
      <w:r>
        <w:t xml:space="preserve"> </w:t>
      </w:r>
      <w:r>
        <w:rPr>
          <w:rStyle w:val="VerbatimChar"/>
        </w:rPr>
        <w:t xml:space="preserve">false</w:t>
      </w:r>
      <w:r>
        <w:t xml:space="preserve"> </w:t>
      </w:r>
      <w:r>
        <w:t xml:space="preserve">por defecto — el paciente recibe la meta general</w:t>
      </w:r>
      <w:r>
        <w:t xml:space="preserve"> </w:t>
      </w:r>
      <w:r>
        <w:rPr>
          <w:rStyle w:val="VerbatimChar"/>
        </w:rPr>
        <w:t xml:space="preserve">&lt;130/80</w:t>
      </w:r>
      <w:r>
        <w:t xml:space="preserve"> </w:t>
      </w:r>
      <w:r>
        <w:t xml:space="preserve">aunque en la realidad pudiera ser</w:t>
      </w:r>
      <w:r>
        <w:t xml:space="preserve"> </w:t>
      </w:r>
      <w:r>
        <w:t xml:space="preserve">“</w:t>
      </w:r>
      <w:r>
        <w:t xml:space="preserve">muy complejo</w:t>
      </w:r>
      <w:r>
        <w:t xml:space="preserve">”</w:t>
      </w:r>
      <w:r>
        <w:t xml:space="preserve"> </w:t>
      </w:r>
      <w:r>
        <w:t xml:space="preserve">sin que el campo se haya llenado; mismo patrón de</w:t>
      </w:r>
      <w:r>
        <w:t xml:space="preserve"> </w:t>
      </w:r>
      <w:r>
        <w:t xml:space="preserve">“</w:t>
      </w:r>
      <w:r>
        <w:t xml:space="preserve">no marcado = no aplica</w:t>
      </w:r>
      <w:r>
        <w:t xml:space="preserve">”</w:t>
      </w:r>
      <w:r>
        <w:t xml:space="preserve"> </w:t>
      </w:r>
      <w:r>
        <w:t xml:space="preserve">del resto del archivo.</w:t>
      </w:r>
    </w:p>
    <w:p>
      <w:pPr>
        <w:numPr>
          <w:ilvl w:val="0"/>
          <w:numId w:val="1042"/>
        </w:numPr>
        <w:pStyle w:val="Compact"/>
      </w:pPr>
      <w:r>
        <w:rPr>
          <w:b/>
        </w:rPr>
        <w:t xml:space="preserve">Discrepancia entre guías:</w:t>
      </w:r>
      <w:r>
        <w:t xml:space="preserve"> </w:t>
      </w:r>
      <w:r>
        <w:t xml:space="preserve">riesgo estructural documentado por el propio comentario — mantener dos copias de la Tabla 13.2 (aquí y en</w:t>
      </w:r>
      <w:r>
        <w:t xml:space="preserve"> </w:t>
      </w:r>
      <w:r>
        <w:rPr>
          <w:rStyle w:val="VerbatimChar"/>
        </w:rPr>
        <w:t xml:space="preserve">individualization.js</w:t>
      </w:r>
      <w:r>
        <w:t xml:space="preserve">) por decisión arquitectónica deliberada (</w:t>
      </w:r>
      <w:r>
        <w:t xml:space="preserve">“</w:t>
      </w:r>
      <w:r>
        <w:t xml:space="preserve">calculations.js calcula valores crudos, individualization.js solo los clasifica</w:t>
      </w:r>
      <w:r>
        <w:t xml:space="preserve">”</w:t>
      </w:r>
      <w:r>
        <w:t xml:space="preserve">), mitigado solo por un test de regresión que el equipo afirma tener, aunque en los 3 archivos de test revisados no se identificó una aserción</w:t>
      </w:r>
      <w:r>
        <w:t xml:space="preserve"> </w:t>
      </w:r>
      <w:r>
        <w:rPr>
          <w:rStyle w:val="VerbatimChar"/>
        </w:rPr>
        <w:t xml:space="preserve">check()</w:t>
      </w:r>
      <w:r>
        <w:t xml:space="preserve"> </w:t>
      </w:r>
      <w:r>
        <w:t xml:space="preserve">dedicada exactamente a esta función.</w:t>
      </w:r>
    </w:p>
    <w:p>
      <w:pPr>
        <w:pStyle w:val="Heading3"/>
      </w:pPr>
      <w:bookmarkStart w:id="68" w:name="X1eb6c7ebc6591adb3f05e75f7f873f0929ddbb6"/>
      <w:r>
        <w:t xml:space="preserve">6.2 Clasificación Etapa 1 vs. Etapa 2 y gate de PREVENT-CVD para Etapa 1</w:t>
      </w:r>
      <w:bookmarkEnd w:id="68"/>
    </w:p>
    <w:p>
      <w:pPr>
        <w:numPr>
          <w:ilvl w:val="0"/>
          <w:numId w:val="1043"/>
        </w:numPr>
        <w:pStyle w:val="Compact"/>
      </w:pPr>
      <w:r>
        <w:rPr>
          <w:b/>
        </w:rPr>
        <w:t xml:space="preserve">Qué hace:</w:t>
      </w:r>
      <w:r>
        <w:t xml:space="preserve"> </w:t>
      </w:r>
      <w:r>
        <w:t xml:space="preserve">Etapa 2 =</w:t>
      </w:r>
      <w:r>
        <w:t xml:space="preserve"> </w:t>
      </w:r>
      <w:r>
        <w:rPr>
          <w:rStyle w:val="VerbatimChar"/>
        </w:rPr>
        <w:t xml:space="preserve">TAS≥140</w:t>
      </w:r>
      <w:r>
        <w:t xml:space="preserve"> </w:t>
      </w:r>
      <w:r>
        <w:t xml:space="preserve">O</w:t>
      </w:r>
      <w:r>
        <w:t xml:space="preserve"> </w:t>
      </w:r>
      <w:r>
        <w:rPr>
          <w:rStyle w:val="VerbatimChar"/>
        </w:rPr>
        <w:t xml:space="preserve">TAD≥90</w:t>
      </w:r>
      <w:r>
        <w:t xml:space="preserve"> </w:t>
      </w:r>
      <w:r>
        <w:t xml:space="preserve">→ combinación de 2 clases desde el inicio, SIEMPRE, sin gate de riesgo. Etapa 1 (</w:t>
      </w:r>
      <w:r>
        <w:rPr>
          <w:rStyle w:val="VerbatimChar"/>
        </w:rPr>
        <w:t xml:space="preserve">130-139/80-89</w:t>
      </w:r>
      <w:r>
        <w:t xml:space="preserve">) en paciente virgen SIN riesgo confirmado (</w:t>
      </w:r>
      <w:r>
        <w:rPr>
          <w:rStyle w:val="VerbatimChar"/>
        </w:rPr>
        <w:t xml:space="preserve">!confirmedRiskHTN</w:t>
      </w:r>
      <w:r>
        <w:t xml:space="preserve">) → recomienda ensayo de estilo de vida 3-6 meses, NO fármaco inmediato.</w:t>
      </w:r>
      <w:r>
        <w:t xml:space="preserve"> </w:t>
      </w:r>
      <w:r>
        <w:rPr>
          <w:rStyle w:val="VerbatimChar"/>
        </w:rPr>
        <w:t xml:space="preserve">confirmedRiskHTN</w:t>
      </w:r>
      <w:r>
        <w:t xml:space="preserve"> </w:t>
      </w:r>
      <w:r>
        <w:t xml:space="preserve">= ASCVD/ERC/IC/diabetes ya conocidas (</w:t>
      </w:r>
      <w:r>
        <w:rPr>
          <w:rStyle w:val="VerbatimChar"/>
        </w:rPr>
        <w:t xml:space="preserve">knownHighRiskHTN</w:t>
      </w:r>
      <w:r>
        <w:t xml:space="preserve">) O</w:t>
      </w:r>
      <w:r>
        <w:t xml:space="preserve"> </w:t>
      </w:r>
      <w:r>
        <w:rPr>
          <w:rStyle w:val="VerbatimChar"/>
        </w:rPr>
        <w:t xml:space="preserve">PREVENT-CVD≥7.5%</w:t>
      </w:r>
      <w:r>
        <w:t xml:space="preserve"> </w:t>
      </w:r>
      <w:r>
        <w:t xml:space="preserve">capturado.</w:t>
      </w:r>
    </w:p>
    <w:p>
      <w:pPr>
        <w:numPr>
          <w:ilvl w:val="0"/>
          <w:numId w:val="1043"/>
        </w:numPr>
        <w:pStyle w:val="Compact"/>
      </w:pPr>
      <w:r>
        <w:rPr>
          <w:b/>
        </w:rPr>
        <w:t xml:space="preserve">Por qué:</w:t>
      </w:r>
      <w:r>
        <w:t xml:space="preserve"> </w:t>
      </w:r>
      <w:r>
        <w:t xml:space="preserve">corrige el umbral previo (erróneamente fijado en &gt;150/100 para combinación de inicio) y agrega el gate de riesgo que la Guía de HTA 2025 exige para Etapa 1 sin comorbilidad conocida: confirmar riesgo aumentado ANTES de iniciar fármaco.</w:t>
      </w:r>
    </w:p>
    <w:p>
      <w:pPr>
        <w:numPr>
          <w:ilvl w:val="0"/>
          <w:numId w:val="1043"/>
        </w:numPr>
        <w:pStyle w:val="Compact"/>
      </w:pPr>
      <w:r>
        <w:rPr>
          <w:b/>
        </w:rPr>
        <w:t xml:space="preserve">Fuente:</w:t>
      </w:r>
      <w:r>
        <w:t xml:space="preserve"> </w:t>
      </w:r>
      <w:r>
        <w:t xml:space="preserve">Guía de HTA 2025 (AHA/ACC), citada explícitamente para ambos elementos (umbral de Etapa 2 y el gate de PREVENT-CVD).</w:t>
      </w:r>
    </w:p>
    <w:p>
      <w:pPr>
        <w:numPr>
          <w:ilvl w:val="0"/>
          <w:numId w:val="1043"/>
        </w:numPr>
        <w:pStyle w:val="Compact"/>
      </w:pPr>
      <w:r>
        <w:rPr>
          <w:b/>
        </w:rPr>
        <w:t xml:space="preserve">Versión de la fuente:</w:t>
      </w:r>
      <w:r>
        <w:t xml:space="preserve"> </w:t>
      </w:r>
      <w:r>
        <w:t xml:space="preserve">2025.</w:t>
      </w:r>
    </w:p>
    <w:p>
      <w:pPr>
        <w:numPr>
          <w:ilvl w:val="0"/>
          <w:numId w:val="1043"/>
        </w:numPr>
        <w:pStyle w:val="Compact"/>
      </w:pPr>
      <w:r>
        <w:rPr>
          <w:b/>
        </w:rPr>
        <w:t xml:space="preserve">Fecha de revisión:</w:t>
      </w:r>
      <w:r>
        <w:t xml:space="preserve"> </w:t>
      </w:r>
      <w:r>
        <w:t xml:space="preserve">Sin fecha exacta en el comentario de esta línea puntual (parte de</w:t>
      </w:r>
      <w:r>
        <w:t xml:space="preserve"> </w:t>
      </w:r>
      <w:r>
        <w:t xml:space="preserve">“</w:t>
      </w:r>
      <w:r>
        <w:t xml:space="preserve">ACTUALIZACIÓN, hallazgo de auditoría, integración PREVENT-CVD</w:t>
      </w:r>
      <w:r>
        <w:t xml:space="preserve">”</w:t>
      </w:r>
      <w:r>
        <w:t xml:space="preserve"> </w:t>
      </w:r>
      <w:r>
        <w:t xml:space="preserve">sin fecha explícita, aunque contextualmente de la misma ronda que el resto de integraciones PREVENT del 10/11-ago-2026).</w:t>
      </w:r>
    </w:p>
    <w:p>
      <w:pPr>
        <w:numPr>
          <w:ilvl w:val="0"/>
          <w:numId w:val="1043"/>
        </w:numPr>
        <w:pStyle w:val="Compact"/>
      </w:pPr>
      <w:r>
        <w:rPr>
          <w:b/>
        </w:rPr>
        <w:t xml:space="preserve">Quién revisó:</w:t>
      </w:r>
      <w:r>
        <w:t xml:space="preserve"> </w:t>
      </w:r>
      <w:r>
        <w:t xml:space="preserve">No especificado nominalmente en este comentario puntual.</w:t>
      </w:r>
    </w:p>
    <w:p>
      <w:pPr>
        <w:numPr>
          <w:ilvl w:val="0"/>
          <w:numId w:val="1043"/>
        </w:numPr>
        <w:pStyle w:val="Compact"/>
      </w:pPr>
      <w:r>
        <w:rPr>
          <w:b/>
        </w:rPr>
        <w:t xml:space="preserve">Casos que la validan:</w:t>
      </w:r>
      <w:r>
        <w:t xml:space="preserve"> </w:t>
      </w:r>
      <w:r>
        <w:rPr>
          <w:rStyle w:val="VerbatimChar"/>
        </w:rPr>
        <w:t xml:space="preserve">tests/clinical-cases.test.mjs</w:t>
      </w:r>
      <w:r>
        <w:t xml:space="preserve"> </w:t>
      </w:r>
      <w:r>
        <w:t xml:space="preserve">B1 (Etapa 1 sin riesgo confirmado → ensayo de estilo de vida, NO Amlodipino), B1b (mismo paciente + PREVENT-CVD 8.2%≥7.5% → inicia Amlodipino de inmediato), B1c (PREVENT-CVD 4.1%&lt;7.5% → mantiene ensayo de estilo de vida), B1d/B1e (variantes adicionales, no leídas en detalle pero presentes), B5 (regresión, nunca sugiere verapamilo/diltiazem como 1ª línea).</w:t>
      </w:r>
    </w:p>
    <w:p>
      <w:pPr>
        <w:numPr>
          <w:ilvl w:val="0"/>
          <w:numId w:val="1043"/>
        </w:numPr>
        <w:pStyle w:val="Compact"/>
      </w:pPr>
      <w:r>
        <w:rPr>
          <w:b/>
        </w:rPr>
        <w:t xml:space="preserve">Excepciones:</w:t>
      </w:r>
      <w:r>
        <w:t xml:space="preserve"> </w:t>
      </w:r>
      <w:r>
        <w:t xml:space="preserve">“</w:t>
      </w:r>
      <w:r>
        <w:t xml:space="preserve">Etapa 2 nunca pasa por este gate: se trata siempre, independientemente del riesgo (texto explícito de la guía)</w:t>
      </w:r>
      <w:r>
        <w:t xml:space="preserve">”</w:t>
      </w:r>
      <w:r>
        <w:t xml:space="preserve"> </w:t>
      </w:r>
      <w:r>
        <w:t xml:space="preserve">— documentado explícitamente en el comentario.</w:t>
      </w:r>
    </w:p>
    <w:p>
      <w:pPr>
        <w:numPr>
          <w:ilvl w:val="0"/>
          <w:numId w:val="1043"/>
        </w:numPr>
        <w:pStyle w:val="Compact"/>
      </w:pPr>
      <w:r>
        <w:rPr>
          <w:b/>
        </w:rPr>
        <w:t xml:space="preserve">Qué faltan datos:</w:t>
      </w:r>
      <w:r>
        <w:t xml:space="preserve"> </w:t>
      </w:r>
      <w:r>
        <w:t xml:space="preserve">igual que PREVENT-ASCVD en lípidos,</w:t>
      </w:r>
      <w:r>
        <w:t xml:space="preserve"> </w:t>
      </w:r>
      <w:r>
        <w:rPr>
          <w:rStyle w:val="VerbatimChar"/>
        </w:rPr>
        <w:t xml:space="preserve">p.preventCvd10</w:t>
      </w:r>
      <w:r>
        <w:t xml:space="preserve"> </w:t>
      </w:r>
      <w:r>
        <w:t xml:space="preserve">es opcional — si no se captura y no hay ASCVD/ERC/IC/diabetes conocidas, el paciente cae en</w:t>
      </w:r>
      <w:r>
        <w:t xml:space="preserve"> </w:t>
      </w:r>
      <w:r>
        <w:t xml:space="preserve">“</w:t>
      </w:r>
      <w:r>
        <w:t xml:space="preserve">ensayo de estilo de vida</w:t>
      </w:r>
      <w:r>
        <w:t xml:space="preserve">”</w:t>
      </w:r>
      <w:r>
        <w:t xml:space="preserve"> </w:t>
      </w:r>
      <w:r>
        <w:t xml:space="preserve">(comportamiento conservador y correcto, NO un silencio peligroso — a diferencia de otros huecos de este documento, aquí la ausencia de dato produce la recomendación más segura, no la omisión de un chequeo).</w:t>
      </w:r>
    </w:p>
    <w:p>
      <w:pPr>
        <w:numPr>
          <w:ilvl w:val="0"/>
          <w:numId w:val="1043"/>
        </w:numPr>
        <w:pStyle w:val="Compact"/>
      </w:pPr>
      <w:r>
        <w:rPr>
          <w:b/>
        </w:rPr>
        <w:t xml:space="preserve">Discrepancia entre guías:</w:t>
      </w:r>
      <w:r>
        <w:t xml:space="preserve"> </w:t>
      </w:r>
      <w:r>
        <w:t xml:space="preserve">igual que en</w:t>
      </w:r>
      <w:r>
        <w:t xml:space="preserve"> </w:t>
      </w:r>
      <w:r>
        <w:rPr>
          <w:rStyle w:val="VerbatimChar"/>
        </w:rPr>
        <w:t xml:space="preserve">classifyLipidRisk</w:t>
      </w:r>
      <w:r>
        <w:t xml:space="preserve"> </w:t>
      </w:r>
      <w:r>
        <w:t xml:space="preserve">(2.2), el motor no reimplementa la fórmula PREVENT — acepta el % ya calculado externamente por el médico como dato opcional, con la misma justificación de</w:t>
      </w:r>
      <w:r>
        <w:t xml:space="preserve"> </w:t>
      </w:r>
      <w:r>
        <w:t xml:space="preserve">“</w:t>
      </w:r>
      <w:r>
        <w:t xml:space="preserve">no inventar coeficientes clínicos</w:t>
      </w:r>
      <w:r>
        <w:t xml:space="preserve">”</w:t>
      </w:r>
      <w:r>
        <w:t xml:space="preserve"> </w:t>
      </w:r>
      <w:r>
        <w:t xml:space="preserve">(referencia cruzada explícita en el comentario:</w:t>
      </w:r>
      <w:r>
        <w:t xml:space="preserve"> </w:t>
      </w:r>
      <w:r>
        <w:t xml:space="preserve">“</w:t>
      </w:r>
      <w:r>
        <w:t xml:space="preserve">ver esa misma función para la justificación completa de por qué</w:t>
      </w:r>
      <w:r>
        <w:t xml:space="preserve">”</w:t>
      </w:r>
      <w:r>
        <w:t xml:space="preserve">).</w:t>
      </w:r>
    </w:p>
    <w:p>
      <w:pPr>
        <w:pStyle w:val="Heading3"/>
      </w:pPr>
      <w:bookmarkStart w:id="69" w:name="Xfe1fa8761fbe7257f05858907dc979fd8910ae1"/>
      <w:r>
        <w:t xml:space="preserve">6.3 Selección de clase de 1ª línea: RAAS vs. no-RAAS (</w:t>
      </w:r>
      <w:r>
        <w:rPr>
          <w:rStyle w:val="VerbatimChar"/>
        </w:rPr>
        <w:t xml:space="preserve">needsRAAS</w:t>
      </w:r>
      <w:r>
        <w:t xml:space="preserve">)</w:t>
      </w:r>
      <w:bookmarkEnd w:id="69"/>
    </w:p>
    <w:p>
      <w:pPr>
        <w:numPr>
          <w:ilvl w:val="0"/>
          <w:numId w:val="1044"/>
        </w:numPr>
        <w:pStyle w:val="Compact"/>
      </w:pPr>
      <w:r>
        <w:rPr>
          <w:b/>
        </w:rPr>
        <w:t xml:space="preserve">Qué hace:</w:t>
      </w:r>
      <w:r>
        <w:t xml:space="preserve"> </w:t>
      </w:r>
      <w:r>
        <w:rPr>
          <w:rStyle w:val="VerbatimChar"/>
        </w:rPr>
        <w:t xml:space="preserve">needsRAAS = UACR&gt;30 || flags.erc || flags.ic</w:t>
      </w:r>
      <w:r>
        <w:t xml:space="preserve"> </w:t>
      </w:r>
      <w:r>
        <w:t xml:space="preserve">→ prioriza IECA/ARA-II; si no, prioriza BCC-dihidropiridínico/Tiazida (</w:t>
      </w:r>
      <w:r>
        <w:rPr>
          <w:rStyle w:val="VerbatimChar"/>
        </w:rPr>
        <w:t xml:space="preserve">nonRenalClasses</w:t>
      </w:r>
      <w:r>
        <w:t xml:space="preserve">, restringido explícitamente a excluir BCC no-dihidropiridínico como verapamilo/diltiazem).</w:t>
      </w:r>
    </w:p>
    <w:p>
      <w:pPr>
        <w:numPr>
          <w:ilvl w:val="0"/>
          <w:numId w:val="1044"/>
        </w:numPr>
        <w:pStyle w:val="Compact"/>
      </w:pPr>
      <w:r>
        <w:rPr>
          <w:b/>
        </w:rPr>
        <w:t xml:space="preserve">Por qué:</w:t>
      </w:r>
      <w:r>
        <w:t xml:space="preserve"> </w:t>
      </w:r>
      <w:r>
        <w:t xml:space="preserve">un paciente con IC SOLA (sin albuminuria/ERC) antes caía en BCC/tiazida, pero las guías de IC con FEVI reducida (AHA/ACC/HFSA 2022) indican IECA/ARA-II (o ARNI) como terapia de base junto con beta-bloqueante/MRA/iSGLT2 — se renombró conceptualmente a</w:t>
      </w:r>
      <w:r>
        <w:t xml:space="preserve"> </w:t>
      </w:r>
      <w:r>
        <w:t xml:space="preserve">“</w:t>
      </w:r>
      <w:r>
        <w:t xml:space="preserve">necesita bloqueo RAAS</w:t>
      </w:r>
      <w:r>
        <w:t xml:space="preserve">”</w:t>
      </w:r>
      <w:r>
        <w:t xml:space="preserve"> </w:t>
      </w:r>
      <w:r>
        <w:t xml:space="preserve">e incluyó</w:t>
      </w:r>
      <w:r>
        <w:t xml:space="preserve"> </w:t>
      </w:r>
      <w:r>
        <w:rPr>
          <w:rStyle w:val="VerbatimChar"/>
        </w:rPr>
        <w:t xml:space="preserve">flags.ic</w:t>
      </w:r>
      <w:r>
        <w:t xml:space="preserve">.</w:t>
      </w:r>
    </w:p>
    <w:p>
      <w:pPr>
        <w:numPr>
          <w:ilvl w:val="0"/>
          <w:numId w:val="1044"/>
        </w:numPr>
        <w:pStyle w:val="Compact"/>
      </w:pPr>
      <w:r>
        <w:rPr>
          <w:b/>
        </w:rPr>
        <w:t xml:space="preserve">Fuente:</w:t>
      </w:r>
      <w:r>
        <w:t xml:space="preserve"> </w:t>
      </w:r>
      <w:r>
        <w:t xml:space="preserve">AHA/ACC/HFSA 2022 (para el criterio de IC);</w:t>
      </w:r>
      <w:r>
        <w:t xml:space="preserve"> </w:t>
      </w:r>
      <w:r>
        <w:t xml:space="preserve">“</w:t>
      </w:r>
      <w:r>
        <w:t xml:space="preserve">Compendio 2026</w:t>
      </w:r>
      <w:r>
        <w:t xml:space="preserve">”</w:t>
      </w:r>
      <w:r>
        <w:t xml:space="preserve"> </w:t>
      </w:r>
      <w:r>
        <w:t xml:space="preserve">(para la restricción de BCC dihidropiridínico vs. no-dihidropiridínico).</w:t>
      </w:r>
    </w:p>
    <w:p>
      <w:pPr>
        <w:numPr>
          <w:ilvl w:val="0"/>
          <w:numId w:val="1044"/>
        </w:numPr>
        <w:pStyle w:val="Compact"/>
      </w:pPr>
      <w:r>
        <w:rPr>
          <w:b/>
        </w:rPr>
        <w:t xml:space="preserve">Versión de la fuente:</w:t>
      </w:r>
      <w:r>
        <w:t xml:space="preserve"> </w:t>
      </w:r>
      <w:r>
        <w:t xml:space="preserve">2022 (HFSA); 2026 (Compendio, sin más detalle de edición).</w:t>
      </w:r>
    </w:p>
    <w:p>
      <w:pPr>
        <w:numPr>
          <w:ilvl w:val="0"/>
          <w:numId w:val="1044"/>
        </w:numPr>
        <w:pStyle w:val="Compact"/>
      </w:pPr>
      <w:r>
        <w:rPr>
          <w:b/>
        </w:rPr>
        <w:t xml:space="preserve">Fecha de revisión:</w:t>
      </w:r>
      <w:r>
        <w:t xml:space="preserve"> </w:t>
      </w:r>
      <w:r>
        <w:t xml:space="preserve">Sin fecha exacta citada para el hallazgo de IC (derivado de</w:t>
      </w:r>
      <w:r>
        <w:t xml:space="preserve"> </w:t>
      </w:r>
      <w:r>
        <w:t xml:space="preserve">“</w:t>
      </w:r>
      <w:r>
        <w:t xml:space="preserve">la pregunta del Dr. Ortega sobre IECA vs ARA-II</w:t>
      </w:r>
      <w:r>
        <w:t xml:space="preserve">”</w:t>
      </w:r>
      <w:r>
        <w:t xml:space="preserve">); sin fecha exacta para la restricción de BCC dihidropiridínico.</w:t>
      </w:r>
    </w:p>
    <w:p>
      <w:pPr>
        <w:numPr>
          <w:ilvl w:val="0"/>
          <w:numId w:val="1044"/>
        </w:numPr>
        <w:pStyle w:val="Compact"/>
      </w:pPr>
      <w:r>
        <w:rPr>
          <w:b/>
        </w:rPr>
        <w:t xml:space="preserve">Quién revisó:</w:t>
      </w:r>
      <w:r>
        <w:t xml:space="preserve"> </w:t>
      </w:r>
      <w:r>
        <w:t xml:space="preserve">Dr. Ortega (para el hallazgo de IC, atribuido a su pregunta específica).</w:t>
      </w:r>
    </w:p>
    <w:p>
      <w:pPr>
        <w:numPr>
          <w:ilvl w:val="0"/>
          <w:numId w:val="1044"/>
        </w:numPr>
        <w:pStyle w:val="Compact"/>
      </w:pPr>
      <w:r>
        <w:rPr>
          <w:b/>
        </w:rPr>
        <w:t xml:space="preserve">Casos que la validan:</w:t>
      </w:r>
      <w:r>
        <w:t xml:space="preserve"> </w:t>
      </w:r>
      <w:r>
        <w:t xml:space="preserve">B4 (ERC+T2D con UACR alto → Finerenona, indirectamente valida</w:t>
      </w:r>
      <w:r>
        <w:t xml:space="preserve"> </w:t>
      </w:r>
      <w:r>
        <w:rPr>
          <w:rStyle w:val="VerbatimChar"/>
        </w:rPr>
        <w:t xml:space="preserve">needsRAAS</w:t>
      </w:r>
      <w:r>
        <w:t xml:space="preserve">); B5 (regresión — nunca sugiere verapamilo/diltiazem).</w:t>
      </w:r>
    </w:p>
    <w:p>
      <w:pPr>
        <w:numPr>
          <w:ilvl w:val="0"/>
          <w:numId w:val="1044"/>
        </w:numPr>
        <w:pStyle w:val="Compact"/>
      </w:pPr>
      <w:r>
        <w:rPr>
          <w:b/>
        </w:rPr>
        <w:t xml:space="preserve">Excepciones:</w:t>
      </w:r>
      <w:r>
        <w:t xml:space="preserve"> </w:t>
      </w:r>
      <w:r>
        <w:t xml:space="preserve">el pool RAAS prioriza</w:t>
      </w:r>
      <w:r>
        <w:t xml:space="preserve"> </w:t>
      </w:r>
      <w:r>
        <w:rPr>
          <w:rStyle w:val="VerbatimChar"/>
        </w:rPr>
        <w:t xml:space="preserve">benef.erc</w:t>
      </w:r>
      <w:r>
        <w:t xml:space="preserve"> </w:t>
      </w:r>
      <w:r>
        <w:t xml:space="preserve">si hay daño renal real, o</w:t>
      </w:r>
      <w:r>
        <w:t xml:space="preserve"> </w:t>
      </w:r>
      <w:r>
        <w:rPr>
          <w:rStyle w:val="VerbatimChar"/>
        </w:rPr>
        <w:t xml:space="preserve">benef.ic</w:t>
      </w:r>
      <w:r>
        <w:t xml:space="preserve"> </w:t>
      </w:r>
      <w:r>
        <w:t xml:space="preserve">si el motivo es solo IC sin daño renal (ver</w:t>
      </w:r>
      <w:r>
        <w:t xml:space="preserve"> </w:t>
      </w:r>
      <w:r>
        <w:rPr>
          <w:rStyle w:val="VerbatimChar"/>
        </w:rPr>
        <w:t xml:space="preserve">raasBenefitKey</w:t>
      </w:r>
      <w:r>
        <w:t xml:space="preserve">).</w:t>
      </w:r>
    </w:p>
    <w:p>
      <w:pPr>
        <w:numPr>
          <w:ilvl w:val="0"/>
          <w:numId w:val="1044"/>
        </w:numPr>
        <w:pStyle w:val="Compact"/>
      </w:pPr>
      <w:r>
        <w:rPr>
          <w:b/>
        </w:rPr>
        <w:t xml:space="preserve">Qué faltan datos:</w:t>
      </w:r>
      <w:r>
        <w:t xml:space="preserve"> </w:t>
      </w:r>
      <w:r>
        <w:rPr>
          <w:rStyle w:val="VerbatimChar"/>
        </w:rPr>
        <w:t xml:space="preserve">UACR</w:t>
      </w:r>
      <w:r>
        <w:t xml:space="preserve"> </w:t>
      </w:r>
      <w:r>
        <w:t xml:space="preserve">faltante se trata como</w:t>
      </w:r>
      <w:r>
        <w:t xml:space="preserve"> </w:t>
      </w:r>
      <w:r>
        <w:rPr>
          <w:rStyle w:val="VerbatimChar"/>
        </w:rPr>
        <w:t xml:space="preserve">0</w:t>
      </w:r>
      <w:r>
        <w:t xml:space="preserve"> </w:t>
      </w:r>
      <w:r>
        <w:t xml:space="preserve">(vía</w:t>
      </w:r>
      <w:r>
        <w:t xml:space="preserve"> </w:t>
      </w:r>
      <w:r>
        <w:rPr>
          <w:rStyle w:val="VerbatimChar"/>
        </w:rPr>
        <w:t xml:space="preserve">v()</w:t>
      </w:r>
      <w:r>
        <w:t xml:space="preserve">), por lo que</w:t>
      </w:r>
      <w:r>
        <w:t xml:space="preserve"> </w:t>
      </w:r>
      <w:r>
        <w:rPr>
          <w:rStyle w:val="VerbatimChar"/>
        </w:rPr>
        <w:t xml:space="preserve">UACR&gt;30</w:t>
      </w:r>
      <w:r>
        <w:t xml:space="preserve"> </w:t>
      </w:r>
      <w:r>
        <w:t xml:space="preserve">es</w:t>
      </w:r>
      <w:r>
        <w:t xml:space="preserve"> </w:t>
      </w:r>
      <w:r>
        <w:rPr>
          <w:rStyle w:val="VerbatimChar"/>
        </w:rPr>
        <w:t xml:space="preserve">false</w:t>
      </w:r>
      <w:r>
        <w:t xml:space="preserve"> </w:t>
      </w:r>
      <w:r>
        <w:t xml:space="preserve">— un paciente con albuminuria real no capturada no activa esta vía (queda cubierto solo si</w:t>
      </w:r>
      <w:r>
        <w:t xml:space="preserve"> </w:t>
      </w:r>
      <w:r>
        <w:rPr>
          <w:rStyle w:val="VerbatimChar"/>
        </w:rPr>
        <w:t xml:space="preserve">flags.erc</w:t>
      </w:r>
      <w:r>
        <w:t xml:space="preserve">/</w:t>
      </w:r>
      <w:r>
        <w:rPr>
          <w:rStyle w:val="VerbatimChar"/>
        </w:rPr>
        <w:t xml:space="preserve">flags.ic</w:t>
      </w:r>
      <w:r>
        <w:t xml:space="preserve"> </w:t>
      </w:r>
      <w:r>
        <w:t xml:space="preserve">ya son true por otra razón).</w:t>
      </w:r>
    </w:p>
    <w:p>
      <w:pPr>
        <w:numPr>
          <w:ilvl w:val="0"/>
          <w:numId w:val="1044"/>
        </w:numPr>
        <w:pStyle w:val="Compact"/>
      </w:pPr>
      <w:r>
        <w:rPr>
          <w:b/>
        </w:rPr>
        <w:t xml:space="preserve">Discrepancia entre guías:</w:t>
      </w:r>
      <w:r>
        <w:t xml:space="preserve"> </w:t>
      </w:r>
      <w:r>
        <w:t xml:space="preserve">no aplica directamente en esta regla puntual (ya cubierto el patrón general en 2.2).</w:t>
      </w:r>
    </w:p>
    <w:p>
      <w:pPr>
        <w:pStyle w:val="Heading3"/>
      </w:pPr>
      <w:bookmarkStart w:id="70" w:name="X766a8b23cd06d33f16be6dbe4f81aa505f7f9e6"/>
      <w:r>
        <w:t xml:space="preserve">6.4 Conflicto RAAS bloqueado por litio (</w:t>
      </w:r>
      <w:r>
        <w:rPr>
          <w:rStyle w:val="VerbatimChar"/>
        </w:rPr>
        <w:t xml:space="preserve">raasBlockedByLithium</w:t>
      </w:r>
      <w:r>
        <w:t xml:space="preserve">)</w:t>
      </w:r>
      <w:bookmarkEnd w:id="70"/>
    </w:p>
    <w:p>
      <w:pPr>
        <w:numPr>
          <w:ilvl w:val="0"/>
          <w:numId w:val="1045"/>
        </w:numPr>
        <w:pStyle w:val="Compact"/>
      </w:pPr>
      <w:r>
        <w:rPr>
          <w:b/>
        </w:rPr>
        <w:t xml:space="preserve">Qué hace:</w:t>
      </w:r>
      <w:r>
        <w:t xml:space="preserve"> </w:t>
      </w:r>
      <w:r>
        <w:t xml:space="preserve">si</w:t>
      </w:r>
      <w:r>
        <w:t xml:space="preserve"> </w:t>
      </w:r>
      <w:r>
        <w:rPr>
          <w:rStyle w:val="VerbatimChar"/>
        </w:rPr>
        <w:t xml:space="preserve">needsRAAS</w:t>
      </w:r>
      <w:r>
        <w:t xml:space="preserve"> </w:t>
      </w:r>
      <w:r>
        <w:t xml:space="preserve">es verdadero pero</w:t>
      </w:r>
      <w:r>
        <w:t xml:space="preserve"> </w:t>
      </w:r>
      <w:r>
        <w:rPr>
          <w:rStyle w:val="VerbatimChar"/>
        </w:rPr>
        <w:t xml:space="preserve">flags.litio</w:t>
      </w:r>
      <w:r>
        <w:t xml:space="preserve"> </w:t>
      </w:r>
      <w:r>
        <w:t xml:space="preserve">bloqueó TODAS las clases RAAS (</w:t>
      </w:r>
      <w:r>
        <w:rPr>
          <w:rStyle w:val="VerbatimChar"/>
        </w:rPr>
        <w:t xml:space="preserve">renalClasses.length===0</w:t>
      </w:r>
      <w:r>
        <w:t xml:space="preserve"> </w:t>
      </w:r>
      <w:r>
        <w:t xml:space="preserve">tras</w:t>
      </w:r>
      <w:r>
        <w:t xml:space="preserve"> </w:t>
      </w:r>
      <w:r>
        <w:rPr>
          <w:rStyle w:val="VerbatimChar"/>
        </w:rPr>
        <w:t xml:space="preserve">filterSafe</w:t>
      </w:r>
      <w:r>
        <w:t xml:space="preserve">), cae a BCC-DHP (Amlodipino) como alternativa segura y agrega tarjeta explícita</w:t>
      </w:r>
      <w:r>
        <w:t xml:space="preserve"> </w:t>
      </w:r>
      <w:r>
        <w:t xml:space="preserve">“</w:t>
      </w:r>
      <w:r>
        <w:t xml:space="preserve">(Conflicto RAAS vs. Litio)</w:t>
      </w:r>
      <w:r>
        <w:t xml:space="preserve">”</w:t>
      </w:r>
      <w:r>
        <w:t xml:space="preserve"> </w:t>
      </w:r>
      <w:r>
        <w:t xml:space="preserve">documentando el trade-off; además evita ofrecer un segundo BCC-DHP como pseudo-combinación de Etapa 2 en este escenario.</w:t>
      </w:r>
    </w:p>
    <w:p>
      <w:pPr>
        <w:numPr>
          <w:ilvl w:val="0"/>
          <w:numId w:val="1045"/>
        </w:numPr>
        <w:pStyle w:val="Compact"/>
      </w:pPr>
      <w:r>
        <w:rPr>
          <w:b/>
        </w:rPr>
        <w:t xml:space="preserve">Por qué:</w:t>
      </w:r>
      <w:r>
        <w:t xml:space="preserve"> </w:t>
      </w:r>
      <w:r>
        <w:t xml:space="preserve">sin este caso especial,</w:t>
      </w:r>
      <w:r>
        <w:t xml:space="preserve"> </w:t>
      </w:r>
      <w:r>
        <w:rPr>
          <w:rStyle w:val="VerbatimChar"/>
        </w:rPr>
        <w:t xml:space="preserve">firstLineClasses</w:t>
      </w:r>
      <w:r>
        <w:t xml:space="preserve"> </w:t>
      </w:r>
      <w:r>
        <w:t xml:space="preserve">quedaría vacío y el paciente se iría sin NINGUNA recomendación de 1ª línea, en silencio —</w:t>
      </w:r>
      <w:r>
        <w:t xml:space="preserve"> </w:t>
      </w:r>
      <w:r>
        <w:t xml:space="preserve">“</w:t>
      </w:r>
      <w:r>
        <w:t xml:space="preserve">el mismo tipo de hueco que ya se corrigió para otros guards sistémicos</w:t>
      </w:r>
      <w:r>
        <w:t xml:space="preserve">”</w:t>
      </w:r>
      <w:r>
        <w:t xml:space="preserve">.</w:t>
      </w:r>
    </w:p>
    <w:p>
      <w:pPr>
        <w:numPr>
          <w:ilvl w:val="0"/>
          <w:numId w:val="1045"/>
        </w:numPr>
        <w:pStyle w:val="Compact"/>
      </w:pPr>
      <w:r>
        <w:rPr>
          <w:b/>
        </w:rPr>
        <w:t xml:space="preserve">Fuente:</w:t>
      </w:r>
      <w:r>
        <w:t xml:space="preserve"> </w:t>
      </w:r>
      <w:r>
        <w:t xml:space="preserve">razonamiento de seguridad de interacción propio del proyecto (Caso 51), delegado en su mecanismo de bloqueo a</w:t>
      </w:r>
      <w:r>
        <w:t xml:space="preserve"> </w:t>
      </w:r>
      <w:r>
        <w:rPr>
          <w:rStyle w:val="VerbatimChar"/>
        </w:rPr>
        <w:t xml:space="preserve">psychiatry.js</w:t>
      </w:r>
      <w:r>
        <w:t xml:space="preserve">.</w:t>
      </w:r>
    </w:p>
    <w:p>
      <w:pPr>
        <w:numPr>
          <w:ilvl w:val="0"/>
          <w:numId w:val="1045"/>
        </w:numPr>
        <w:pStyle w:val="Compact"/>
      </w:pPr>
      <w:r>
        <w:rPr>
          <w:b/>
        </w:rPr>
        <w:t xml:space="preserve">Versión de la fuente:</w:t>
      </w:r>
      <w:r>
        <w:t xml:space="preserve"> </w:t>
      </w:r>
      <w:r>
        <w:t xml:space="preserve">No aplica.</w:t>
      </w:r>
    </w:p>
    <w:p>
      <w:pPr>
        <w:numPr>
          <w:ilvl w:val="0"/>
          <w:numId w:val="1045"/>
        </w:numPr>
        <w:pStyle w:val="Compact"/>
      </w:pPr>
      <w:r>
        <w:rPr>
          <w:b/>
        </w:rPr>
        <w:t xml:space="preserve">Fecha de revisión:</w:t>
      </w:r>
      <w:r>
        <w:t xml:space="preserve"> </w:t>
      </w:r>
      <w:r>
        <w:t xml:space="preserve">10-ago-2026 (Caso 51).</w:t>
      </w:r>
    </w:p>
    <w:p>
      <w:pPr>
        <w:numPr>
          <w:ilvl w:val="0"/>
          <w:numId w:val="1045"/>
        </w:numPr>
        <w:pStyle w:val="Compact"/>
      </w:pPr>
      <w:r>
        <w:rPr>
          <w:b/>
        </w:rPr>
        <w:t xml:space="preserve">Quién revisó:</w:t>
      </w:r>
      <w:r>
        <w:t xml:space="preserve"> </w:t>
      </w:r>
      <w:r>
        <w:t xml:space="preserve">Dr. Ortega.</w:t>
      </w:r>
    </w:p>
    <w:p>
      <w:pPr>
        <w:numPr>
          <w:ilvl w:val="0"/>
          <w:numId w:val="1045"/>
        </w:numPr>
        <w:pStyle w:val="Compact"/>
      </w:pPr>
      <w:r>
        <w:rPr>
          <w:b/>
        </w:rPr>
        <w:t xml:space="preserve">Casos que la validan:</w:t>
      </w:r>
      <w:r>
        <w:t xml:space="preserve"> </w:t>
      </w:r>
      <w:r>
        <w:t xml:space="preserve">Caso 51 (edge-cases) —</w:t>
      </w:r>
      <w:r>
        <w:t xml:space="preserve"> </w:t>
      </w:r>
      <w:r>
        <w:t xml:space="preserve">“</w:t>
      </w:r>
      <w:r>
        <w:t xml:space="preserve">litio + necesidad de RAAS (ERC) → bloquea IECA/ARA-II, usa BCC-DHP</w:t>
      </w:r>
      <w:r>
        <w:t xml:space="preserve">”</w:t>
      </w:r>
      <w:r>
        <w:t xml:space="preserve">;</w:t>
      </w:r>
      <w:r>
        <w:t xml:space="preserve"> </w:t>
      </w:r>
      <w:r>
        <w:t xml:space="preserve">“</w:t>
      </w:r>
      <w:r>
        <w:t xml:space="preserve">no ofrece 2 BCC-DHP como pseudo-combinación</w:t>
      </w:r>
      <w:r>
        <w:t xml:space="preserve">”</w:t>
      </w:r>
      <w:r>
        <w:t xml:space="preserve">.</w:t>
      </w:r>
    </w:p>
    <w:p>
      <w:pPr>
        <w:numPr>
          <w:ilvl w:val="0"/>
          <w:numId w:val="1045"/>
        </w:numPr>
        <w:pStyle w:val="Compact"/>
      </w:pPr>
      <w:r>
        <w:rPr>
          <w:b/>
        </w:rPr>
        <w:t xml:space="preserve">Excepciones:</w:t>
      </w:r>
      <w:r>
        <w:t xml:space="preserve"> </w:t>
      </w:r>
      <w:r>
        <w:t xml:space="preserve">deja constancia explícita de que la combinación requiere</w:t>
      </w:r>
      <w:r>
        <w:t xml:space="preserve"> </w:t>
      </w:r>
      <w:r>
        <w:t xml:space="preserve">“</w:t>
      </w:r>
      <w:r>
        <w:t xml:space="preserve">valoración manual</w:t>
      </w:r>
      <w:r>
        <w:t xml:space="preserve">”</w:t>
      </w:r>
      <w:r>
        <w:t xml:space="preserve"> </w:t>
      </w:r>
      <w:r>
        <w:t xml:space="preserve">y sugiere discutir con psiquiatría si el bloqueo RAAS es indispensable.</w:t>
      </w:r>
    </w:p>
    <w:p>
      <w:pPr>
        <w:numPr>
          <w:ilvl w:val="0"/>
          <w:numId w:val="1045"/>
        </w:numPr>
        <w:pStyle w:val="Compact"/>
      </w:pPr>
      <w:r>
        <w:rPr>
          <w:b/>
        </w:rPr>
        <w:t xml:space="preserve">Qué faltan datos:</w:t>
      </w:r>
      <w:r>
        <w:t xml:space="preserve"> </w:t>
      </w:r>
      <w:r>
        <w:t xml:space="preserve">depende de</w:t>
      </w:r>
      <w:r>
        <w:t xml:space="preserve"> </w:t>
      </w:r>
      <w:r>
        <w:rPr>
          <w:rStyle w:val="VerbatimChar"/>
        </w:rPr>
        <w:t xml:space="preserve">flags.litio</w:t>
      </w:r>
      <w:r>
        <w:t xml:space="preserve">, derivado de Medicación Actual →</w:t>
      </w:r>
      <w:r>
        <w:t xml:space="preserve"> </w:t>
      </w:r>
      <w:r>
        <w:t xml:space="preserve">“</w:t>
      </w:r>
      <w:r>
        <w:t xml:space="preserve">otros</w:t>
      </w:r>
      <w:r>
        <w:t xml:space="preserve">”</w:t>
      </w:r>
      <w:r>
        <w:t xml:space="preserve"> </w:t>
      </w:r>
      <w:r>
        <w:t xml:space="preserve">(documentado en sección 3) — si el litio no se registra ahí (ej. capturado solo en notas libres), este chequeo completo no se activa.</w:t>
      </w:r>
    </w:p>
    <w:p>
      <w:pPr>
        <w:numPr>
          <w:ilvl w:val="0"/>
          <w:numId w:val="1045"/>
        </w:numPr>
        <w:pStyle w:val="Compact"/>
      </w:pPr>
      <w:r>
        <w:rPr>
          <w:b/>
        </w:rPr>
        <w:t xml:space="preserve">Discrepancia entre guías:</w:t>
      </w:r>
      <w:r>
        <w:t xml:space="preserve"> </w:t>
      </w:r>
      <w:r>
        <w:t xml:space="preserve">no aplica directamente (es un conflicto fármaco-fármaco, no guía-guía).</w:t>
      </w:r>
    </w:p>
    <w:p>
      <w:pPr>
        <w:pStyle w:val="Heading3"/>
      </w:pPr>
      <w:bookmarkStart w:id="71" w:name="X3f5b718e8769d38980f65cb781e926b1ca1159c"/>
      <w:r>
        <w:t xml:space="preserve">6.5 Riesgo confirmado para HTA (</w:t>
      </w:r>
      <w:r>
        <w:rPr>
          <w:rStyle w:val="VerbatimChar"/>
        </w:rPr>
        <w:t xml:space="preserve">knownHighRiskHTN</w:t>
      </w:r>
      <w:r>
        <w:t xml:space="preserve">) y uso de</w:t>
      </w:r>
      <w:r>
        <w:t xml:space="preserve"> </w:t>
      </w:r>
      <w:r>
        <w:rPr>
          <w:rStyle w:val="VerbatimChar"/>
        </w:rPr>
        <w:t xml:space="preserve">hasDiagnosedDiabetes</w:t>
      </w:r>
      <w:bookmarkEnd w:id="71"/>
    </w:p>
    <w:p>
      <w:pPr>
        <w:numPr>
          <w:ilvl w:val="0"/>
          <w:numId w:val="1046"/>
        </w:numPr>
        <w:pStyle w:val="Compact"/>
      </w:pPr>
      <w:r>
        <w:rPr>
          <w:b/>
        </w:rPr>
        <w:t xml:space="preserve">Qué hace:</w:t>
      </w:r>
      <w:r>
        <w:t xml:space="preserve"> </w:t>
      </w:r>
      <w:r>
        <w:rPr>
          <w:rStyle w:val="VerbatimChar"/>
        </w:rPr>
        <w:t xml:space="preserve">knownHighRiskHTN = flags.ascvd || flags.erc || flags.ic || hasDiagnosedDiabetes(p)</w:t>
      </w:r>
      <w:r>
        <w:t xml:space="preserve"> </w:t>
      </w:r>
      <w:r>
        <w:t xml:space="preserve">— equivale a</w:t>
      </w:r>
      <w:r>
        <w:t xml:space="preserve"> </w:t>
      </w:r>
      <w:r>
        <w:t xml:space="preserve">“</w:t>
      </w:r>
      <w:r>
        <w:t xml:space="preserve">riesgo confirmado</w:t>
      </w:r>
      <w:r>
        <w:t xml:space="preserve">”</w:t>
      </w:r>
      <w:r>
        <w:t xml:space="preserve"> </w:t>
      </w:r>
      <w:r>
        <w:t xml:space="preserve">sin necesidad de PREVENT-CVD, según el texto de la guía (</w:t>
      </w:r>
      <w:r>
        <w:t xml:space="preserve">“</w:t>
      </w:r>
      <w:r>
        <w:t xml:space="preserve">if clinical CVD, diabetes, or CKD is present</w:t>
      </w:r>
      <w:r>
        <w:t xml:space="preserve">”</w:t>
      </w:r>
      <w:r>
        <w:t xml:space="preserve">).</w:t>
      </w:r>
    </w:p>
    <w:p>
      <w:pPr>
        <w:numPr>
          <w:ilvl w:val="0"/>
          <w:numId w:val="1046"/>
        </w:numPr>
        <w:pStyle w:val="Compact"/>
      </w:pPr>
      <w:r>
        <w:rPr>
          <w:b/>
        </w:rPr>
        <w:t xml:space="preserve">Por qué:</w:t>
      </w:r>
      <w:r>
        <w:t xml:space="preserve"> </w:t>
      </w:r>
      <w:r>
        <w:t xml:space="preserve">corrige el mismo bug de</w:t>
      </w:r>
      <w:r>
        <w:t xml:space="preserve"> </w:t>
      </w:r>
      <w:r>
        <w:rPr>
          <w:rStyle w:val="VerbatimChar"/>
        </w:rPr>
        <w:t xml:space="preserve">hasDiagnosedDiabetes</w:t>
      </w:r>
      <w:r>
        <w:t xml:space="preserve"> </w:t>
      </w:r>
      <w:r>
        <w:t xml:space="preserve">documentado en 1.9 — antes solo usaba A1c≥6.5%, excluyendo a un DM2 diagnosticado pero bien controlado.</w:t>
      </w:r>
    </w:p>
    <w:p>
      <w:pPr>
        <w:numPr>
          <w:ilvl w:val="0"/>
          <w:numId w:val="1046"/>
        </w:numPr>
        <w:pStyle w:val="Compact"/>
      </w:pPr>
      <w:r>
        <w:rPr>
          <w:b/>
        </w:rPr>
        <w:t xml:space="preserve">Fuente:</w:t>
      </w:r>
      <w:r>
        <w:t xml:space="preserve"> </w:t>
      </w:r>
      <w:r>
        <w:t xml:space="preserve">Guía de HTA 2025 (texto citado explícitamente:</w:t>
      </w:r>
      <w:r>
        <w:t xml:space="preserve"> </w:t>
      </w:r>
      <w:r>
        <w:t xml:space="preserve">“</w:t>
      </w:r>
      <w:r>
        <w:t xml:space="preserve">if clinical CVD, diabetes, or CKD is present</w:t>
      </w:r>
      <w:r>
        <w:t xml:space="preserve">”</w:t>
      </w:r>
      <w:r>
        <w:t xml:space="preserve">).</w:t>
      </w:r>
    </w:p>
    <w:p>
      <w:pPr>
        <w:numPr>
          <w:ilvl w:val="0"/>
          <w:numId w:val="1046"/>
        </w:numPr>
        <w:pStyle w:val="Compact"/>
      </w:pPr>
      <w:r>
        <w:rPr>
          <w:b/>
        </w:rPr>
        <w:t xml:space="preserve">Versión de la fuente:</w:t>
      </w:r>
      <w:r>
        <w:t xml:space="preserve"> </w:t>
      </w:r>
      <w:r>
        <w:t xml:space="preserve">2025.</w:t>
      </w:r>
    </w:p>
    <w:p>
      <w:pPr>
        <w:numPr>
          <w:ilvl w:val="0"/>
          <w:numId w:val="1046"/>
        </w:numPr>
        <w:pStyle w:val="Compact"/>
      </w:pPr>
      <w:r>
        <w:rPr>
          <w:b/>
        </w:rPr>
        <w:t xml:space="preserve">Fecha de revisión:</w:t>
      </w:r>
      <w:r>
        <w:t xml:space="preserve"> </w:t>
      </w:r>
      <w:r>
        <w:t xml:space="preserve">10-ago-2026.</w:t>
      </w:r>
    </w:p>
    <w:p>
      <w:pPr>
        <w:numPr>
          <w:ilvl w:val="0"/>
          <w:numId w:val="1046"/>
        </w:numPr>
        <w:pStyle w:val="Compact"/>
      </w:pPr>
      <w:r>
        <w:rPr>
          <w:b/>
        </w:rPr>
        <w:t xml:space="preserve">Quién revisó:</w:t>
      </w:r>
      <w:r>
        <w:t xml:space="preserve"> </w:t>
      </w:r>
      <w:r>
        <w:t xml:space="preserve">No especificado nominalmente en esta línea puntual (comparte fecha con la corrección de</w:t>
      </w:r>
      <w:r>
        <w:t xml:space="preserve"> </w:t>
      </w:r>
      <w:r>
        <w:rPr>
          <w:rStyle w:val="VerbatimChar"/>
        </w:rPr>
        <w:t xml:space="preserve">hasDiagnosedDiabetes</w:t>
      </w:r>
      <w:r>
        <w:t xml:space="preserve">, atribuida en otras líneas al hallazgo de auditoría del punto #2).</w:t>
      </w:r>
    </w:p>
    <w:p>
      <w:pPr>
        <w:numPr>
          <w:ilvl w:val="0"/>
          <w:numId w:val="1046"/>
        </w:numPr>
        <w:pStyle w:val="Compact"/>
      </w:pPr>
      <w:r>
        <w:rPr>
          <w:b/>
        </w:rPr>
        <w:t xml:space="preserve">Casos que la validan:</w:t>
      </w:r>
      <w:r>
        <w:t xml:space="preserve"> </w:t>
      </w:r>
      <w:r>
        <w:t xml:space="preserve">B1b (PREVENT-CVD, no diabetes) — Sin caso de prueba identificado específico para el escenario</w:t>
      </w:r>
      <w:r>
        <w:t xml:space="preserve"> </w:t>
      </w:r>
      <w:r>
        <w:t xml:space="preserve">“</w:t>
      </w:r>
      <w:r>
        <w:t xml:space="preserve">DM2 diagnosticado, A1c&lt;6.5%, sin PREVENT-CVD capturado → riesgo confirmado por diabetes</w:t>
      </w:r>
      <w:r>
        <w:t xml:space="preserve">”</w:t>
      </w:r>
      <w:r>
        <w:t xml:space="preserve"> </w:t>
      </w:r>
      <w:r>
        <w:t xml:space="preserve">en los 3 archivos revisados.</w:t>
      </w:r>
    </w:p>
    <w:p>
      <w:pPr>
        <w:numPr>
          <w:ilvl w:val="0"/>
          <w:numId w:val="1046"/>
        </w:numPr>
        <w:pStyle w:val="Compact"/>
      </w:pPr>
      <w:r>
        <w:rPr>
          <w:b/>
        </w:rPr>
        <w:t xml:space="preserve">Excepciones:</w:t>
      </w:r>
      <w:r>
        <w:t xml:space="preserve"> </w:t>
      </w:r>
      <w:r>
        <w:t xml:space="preserve">ninguna adicional.</w:t>
      </w:r>
    </w:p>
    <w:p>
      <w:pPr>
        <w:numPr>
          <w:ilvl w:val="0"/>
          <w:numId w:val="1046"/>
        </w:numPr>
        <w:pStyle w:val="Compact"/>
      </w:pPr>
      <w:r>
        <w:rPr>
          <w:b/>
        </w:rPr>
        <w:t xml:space="preserve">Qué faltan datos:</w:t>
      </w:r>
      <w:r>
        <w:t xml:space="preserve"> </w:t>
      </w:r>
      <w:r>
        <w:t xml:space="preserve">hereda el hueco de 1.9 — si</w:t>
      </w:r>
      <w:r>
        <w:t xml:space="preserve"> </w:t>
      </w:r>
      <w:r>
        <w:rPr>
          <w:rStyle w:val="VerbatimChar"/>
        </w:rPr>
        <w:t xml:space="preserve">p.tipoDM</w:t>
      </w:r>
      <w:r>
        <w:t xml:space="preserve"> </w:t>
      </w:r>
      <w:r>
        <w:t xml:space="preserve">no se captura y A1c&lt;6.5%, un DM2 real bien controlado no activa</w:t>
      </w:r>
      <w:r>
        <w:t xml:space="preserve"> </w:t>
      </w:r>
      <w:r>
        <w:t xml:space="preserve">“</w:t>
      </w:r>
      <w:r>
        <w:t xml:space="preserve">riesgo confirmado</w:t>
      </w:r>
      <w:r>
        <w:t xml:space="preserve">”</w:t>
      </w:r>
      <w:r>
        <w:t xml:space="preserve"> </w:t>
      </w:r>
      <w:r>
        <w:t xml:space="preserve">por esta vía.</w:t>
      </w:r>
    </w:p>
    <w:p>
      <w:pPr>
        <w:numPr>
          <w:ilvl w:val="0"/>
          <w:numId w:val="1046"/>
        </w:numPr>
        <w:pStyle w:val="Compact"/>
      </w:pPr>
      <w:r>
        <w:rPr>
          <w:b/>
        </w:rPr>
        <w:t xml:space="preserve">Discrepancia entre guías:</w:t>
      </w:r>
      <w:r>
        <w:t xml:space="preserve"> </w:t>
      </w:r>
      <w:r>
        <w:t xml:space="preserve">no aplica directamente en esta línea (la discrepancia real ya está en 2.2/1.9).</w:t>
      </w:r>
    </w:p>
    <w:p>
      <w:pPr>
        <w:pStyle w:val="Heading3"/>
      </w:pPr>
      <w:bookmarkStart w:id="72" w:name="X323bbab73ae134a00bdf45d0fe16cc375c81b83"/>
      <w:r>
        <w:t xml:space="preserve">6.6 Titulación de fármacos ya activos con re-chequeo de seguridad</w:t>
      </w:r>
      <w:bookmarkEnd w:id="72"/>
    </w:p>
    <w:p>
      <w:pPr>
        <w:numPr>
          <w:ilvl w:val="0"/>
          <w:numId w:val="1047"/>
        </w:numPr>
        <w:pStyle w:val="Compact"/>
      </w:pPr>
      <w:r>
        <w:rPr>
          <w:b/>
        </w:rPr>
        <w:t xml:space="preserve">Qué hace:</w:t>
      </w:r>
      <w:r>
        <w:t xml:space="preserve"> </w:t>
      </w:r>
      <w:r>
        <w:t xml:space="preserve">para pacientes no vírgenes, antes de cualquier escalonamiento, titula TODO fármaco</w:t>
      </w:r>
      <w:r>
        <w:t xml:space="preserve"> </w:t>
      </w:r>
      <w:r>
        <w:rPr>
          <w:rStyle w:val="VerbatimChar"/>
        </w:rPr>
        <w:t xml:space="preserve">state.notMaxed</w:t>
      </w:r>
      <w:r>
        <w:t xml:space="preserve">, mientras vuelve a correr</w:t>
      </w:r>
      <w:r>
        <w:t xml:space="preserve"> </w:t>
      </w:r>
      <w:r>
        <w:rPr>
          <w:rStyle w:val="VerbatimChar"/>
        </w:rPr>
        <w:t xml:space="preserve">currentDrugIssue</w:t>
      </w:r>
      <w:r>
        <w:t xml:space="preserve"> </w:t>
      </w:r>
      <w:r>
        <w:t xml:space="preserve">— si se volvió inseguro,</w:t>
      </w:r>
      <w:r>
        <w:t xml:space="preserve"> </w:t>
      </w:r>
      <w:r>
        <w:t xml:space="preserve">“</w:t>
      </w:r>
      <w:r>
        <w:t xml:space="preserve">REVALORAR/SUSPENDER</w:t>
      </w:r>
      <w:r>
        <w:t xml:space="preserve">”</w:t>
      </w:r>
      <w:r>
        <w:t xml:space="preserve"> </w:t>
      </w:r>
      <w:r>
        <w:t xml:space="preserve">en vez de titular.</w:t>
      </w:r>
    </w:p>
    <w:p>
      <w:pPr>
        <w:numPr>
          <w:ilvl w:val="0"/>
          <w:numId w:val="1047"/>
        </w:numPr>
        <w:pStyle w:val="Compact"/>
      </w:pPr>
      <w:r>
        <w:rPr>
          <w:b/>
        </w:rPr>
        <w:t xml:space="preserve">Por qué:</w:t>
      </w:r>
      <w:r>
        <w:t xml:space="preserve"> </w:t>
      </w:r>
      <w:r>
        <w:t xml:space="preserve">mismo hallazgo sistémico que metformina/GLP-1/pancreatitis — un IECA no maxeado en un paciente que ahora reporta angioedema/tos, o cuyo eGFR cayó, seguía titulándose sin revisión.</w:t>
      </w:r>
    </w:p>
    <w:p>
      <w:pPr>
        <w:numPr>
          <w:ilvl w:val="0"/>
          <w:numId w:val="1047"/>
        </w:numPr>
        <w:pStyle w:val="Compact"/>
      </w:pPr>
      <w:r>
        <w:rPr>
          <w:b/>
        </w:rPr>
        <w:t xml:space="preserve">Fuente:</w:t>
      </w:r>
      <w:r>
        <w:t xml:space="preserve"> </w:t>
      </w:r>
      <w:r>
        <w:t xml:space="preserve">hallazgo de auditoría interna, patrón repetido en las 4 categorías del motor.</w:t>
      </w:r>
    </w:p>
    <w:p>
      <w:pPr>
        <w:numPr>
          <w:ilvl w:val="0"/>
          <w:numId w:val="1047"/>
        </w:numPr>
        <w:pStyle w:val="Compact"/>
      </w:pPr>
      <w:r>
        <w:rPr>
          <w:b/>
        </w:rPr>
        <w:t xml:space="preserve">Versión de la fuente:</w:t>
      </w:r>
      <w:r>
        <w:t xml:space="preserve"> </w:t>
      </w:r>
      <w:r>
        <w:t xml:space="preserve">No aplica.</w:t>
      </w:r>
    </w:p>
    <w:p>
      <w:pPr>
        <w:numPr>
          <w:ilvl w:val="0"/>
          <w:numId w:val="1047"/>
        </w:numPr>
        <w:pStyle w:val="Compact"/>
      </w:pPr>
      <w:r>
        <w:rPr>
          <w:b/>
        </w:rPr>
        <w:t xml:space="preserve">Fecha de revisión:</w:t>
      </w:r>
      <w:r>
        <w:t xml:space="preserve"> </w:t>
      </w:r>
      <w:r>
        <w:t xml:space="preserve">“</w:t>
      </w:r>
      <w:r>
        <w:t xml:space="preserve">mismo hallazgo sistémico</w:t>
      </w:r>
      <w:r>
        <w:t xml:space="preserve">”</w:t>
      </w:r>
      <w:r>
        <w:t xml:space="preserve"> </w:t>
      </w:r>
      <w:r>
        <w:t xml:space="preserve">sin fecha exacta en este comentario puntual.</w:t>
      </w:r>
    </w:p>
    <w:p>
      <w:pPr>
        <w:numPr>
          <w:ilvl w:val="0"/>
          <w:numId w:val="1047"/>
        </w:numPr>
        <w:pStyle w:val="Compact"/>
      </w:pPr>
      <w:r>
        <w:rPr>
          <w:b/>
        </w:rPr>
        <w:t xml:space="preserve">Quién revisó:</w:t>
      </w:r>
      <w:r>
        <w:t xml:space="preserve"> </w:t>
      </w:r>
      <w:r>
        <w:t xml:space="preserve">No especificado nominalmente en esta línea.</w:t>
      </w:r>
    </w:p>
    <w:p>
      <w:pPr>
        <w:numPr>
          <w:ilvl w:val="0"/>
          <w:numId w:val="1047"/>
        </w:numPr>
        <w:pStyle w:val="Compact"/>
      </w:pPr>
      <w:r>
        <w:rPr>
          <w:b/>
        </w:rPr>
        <w:t xml:space="preserve">Casos que la validan:</w:t>
      </w:r>
      <w:r>
        <w:t xml:space="preserve"> </w:t>
      </w:r>
      <w:r>
        <w:t xml:space="preserve">B3 (</w:t>
      </w:r>
      <w:r>
        <w:t xml:space="preserve">“</w:t>
      </w:r>
      <w:r>
        <w:t xml:space="preserve">En Amlodipino no maxeado, meta no alcanzada → titular antes de agregar clase nueva</w:t>
      </w:r>
      <w:r>
        <w:t xml:space="preserve">”</w:t>
      </w:r>
      <w:r>
        <w:t xml:space="preserve">); Caso 51 activo (Losartán ya prescrito + litio nuevo → REVALORAR/SUSPENDER).</w:t>
      </w:r>
    </w:p>
    <w:p>
      <w:pPr>
        <w:numPr>
          <w:ilvl w:val="0"/>
          <w:numId w:val="1047"/>
        </w:numPr>
        <w:pStyle w:val="Compact"/>
      </w:pPr>
      <w:r>
        <w:rPr>
          <w:b/>
        </w:rPr>
        <w:t xml:space="preserve">Excepciones:</w:t>
      </w:r>
      <w:r>
        <w:t xml:space="preserve"> </w:t>
      </w:r>
      <w:r>
        <w:t xml:space="preserve">ninguna adicional.</w:t>
      </w:r>
    </w:p>
    <w:p>
      <w:pPr>
        <w:numPr>
          <w:ilvl w:val="0"/>
          <w:numId w:val="1047"/>
        </w:numPr>
        <w:pStyle w:val="Compact"/>
      </w:pPr>
      <w:r>
        <w:rPr>
          <w:b/>
        </w:rPr>
        <w:t xml:space="preserve">Qué faltan datos:</w:t>
      </w:r>
      <w:r>
        <w:t xml:space="preserve"> </w:t>
      </w:r>
      <w:r>
        <w:t xml:space="preserve">hereda el hueco de eGFR de</w:t>
      </w:r>
      <w:r>
        <w:t xml:space="preserve"> </w:t>
      </w:r>
      <w:r>
        <w:rPr>
          <w:rStyle w:val="VerbatimChar"/>
        </w:rPr>
        <w:t xml:space="preserve">currentDrugIssue</w:t>
      </w:r>
      <w:r>
        <w:t xml:space="preserve"> </w:t>
      </w:r>
      <w:r>
        <w:t xml:space="preserve">(4.1).</w:t>
      </w:r>
    </w:p>
    <w:p>
      <w:pPr>
        <w:numPr>
          <w:ilvl w:val="0"/>
          <w:numId w:val="1047"/>
        </w:numPr>
        <w:pStyle w:val="Compact"/>
      </w:pPr>
      <w:r>
        <w:rPr>
          <w:b/>
        </w:rPr>
        <w:t xml:space="preserve">Discrepancia entre guías:</w:t>
      </w:r>
      <w:r>
        <w:t xml:space="preserve"> </w:t>
      </w:r>
      <w:r>
        <w:t xml:space="preserve">no aplica.</w:t>
      </w:r>
    </w:p>
    <w:p>
      <w:pPr>
        <w:pStyle w:val="Heading3"/>
      </w:pPr>
      <w:bookmarkStart w:id="73" w:name="X02777ddc18d373c31bbb8703418252ea803b8ce"/>
      <w:r>
        <w:t xml:space="preserve">6.7 Bloqueo por caídas ortostáticas (</w:t>
      </w:r>
      <w:r>
        <w:rPr>
          <w:rStyle w:val="VerbatimChar"/>
        </w:rPr>
        <w:t xml:space="preserve">checkOrthostaticBlock</w:t>
      </w:r>
      <w:r>
        <w:t xml:space="preserve">, geriátrico)</w:t>
      </w:r>
      <w:bookmarkEnd w:id="73"/>
    </w:p>
    <w:p>
      <w:pPr>
        <w:numPr>
          <w:ilvl w:val="0"/>
          <w:numId w:val="1048"/>
        </w:numPr>
        <w:pStyle w:val="Compact"/>
      </w:pPr>
      <w:r>
        <w:rPr>
          <w:b/>
        </w:rPr>
        <w:t xml:space="preserve">Qué hace:</w:t>
      </w:r>
      <w:r>
        <w:t xml:space="preserve"> </w:t>
      </w:r>
      <w:r>
        <w:t xml:space="preserve">solo para pacientes no vírgenes; si aplica, reemplaza POR COMPLETO la titulación/escalonamiento normal con</w:t>
      </w:r>
      <w:r>
        <w:t xml:space="preserve"> </w:t>
      </w:r>
      <w:r>
        <w:t xml:space="preserve">“</w:t>
      </w:r>
      <w:r>
        <w:t xml:space="preserve">NO escalar / considerar reducir</w:t>
      </w:r>
      <w:r>
        <w:t xml:space="preserve">”</w:t>
      </w:r>
      <w:r>
        <w:t xml:space="preserve">.</w:t>
      </w:r>
    </w:p>
    <w:p>
      <w:pPr>
        <w:numPr>
          <w:ilvl w:val="0"/>
          <w:numId w:val="1048"/>
        </w:numPr>
        <w:pStyle w:val="Compact"/>
      </w:pPr>
      <w:r>
        <w:rPr>
          <w:b/>
        </w:rPr>
        <w:t xml:space="preserve">Por qué:</w:t>
      </w:r>
      <w:r>
        <w:t xml:space="preserve"> </w:t>
      </w:r>
      <w:r>
        <w:t xml:space="preserve">seguir titulando en un contexto de ortostatismo es precisamente el riesgo que este chequeo existe para evitar.</w:t>
      </w:r>
    </w:p>
    <w:p>
      <w:pPr>
        <w:numPr>
          <w:ilvl w:val="0"/>
          <w:numId w:val="1048"/>
        </w:numPr>
        <w:pStyle w:val="Compact"/>
      </w:pPr>
      <w:r>
        <w:rPr>
          <w:b/>
        </w:rPr>
        <w:t xml:space="preserve">Fuente:</w:t>
      </w:r>
      <w:r>
        <w:t xml:space="preserve"> </w:t>
      </w:r>
      <w:r>
        <w:t xml:space="preserve">delegada a</w:t>
      </w:r>
      <w:r>
        <w:t xml:space="preserve"> </w:t>
      </w:r>
      <w:r>
        <w:rPr>
          <w:rStyle w:val="VerbatimChar"/>
        </w:rPr>
        <w:t xml:space="preserve">geriatric.js</w:t>
      </w:r>
      <w:r>
        <w:t xml:space="preserve">.</w:t>
      </w:r>
    </w:p>
    <w:p>
      <w:pPr>
        <w:numPr>
          <w:ilvl w:val="0"/>
          <w:numId w:val="1048"/>
        </w:numPr>
        <w:pStyle w:val="Compact"/>
      </w:pPr>
      <w:r>
        <w:rPr>
          <w:b/>
        </w:rPr>
        <w:t xml:space="preserve">Versión de la fuente:</w:t>
      </w:r>
      <w:r>
        <w:t xml:space="preserve"> </w:t>
      </w:r>
      <w:r>
        <w:t xml:space="preserve">No especificada en este archivo.</w:t>
      </w:r>
    </w:p>
    <w:p>
      <w:pPr>
        <w:numPr>
          <w:ilvl w:val="0"/>
          <w:numId w:val="1048"/>
        </w:numPr>
        <w:pStyle w:val="Compact"/>
      </w:pPr>
      <w:r>
        <w:rPr>
          <w:b/>
        </w:rPr>
        <w:t xml:space="preserve">Fecha de revisión:</w:t>
      </w:r>
      <w:r>
        <w:t xml:space="preserve"> </w:t>
      </w:r>
      <w:r>
        <w:t xml:space="preserve">10-ago-2026 (Caso 39, contextual al bloque de capas del Dr. Ortega).</w:t>
      </w:r>
    </w:p>
    <w:p>
      <w:pPr>
        <w:numPr>
          <w:ilvl w:val="0"/>
          <w:numId w:val="1048"/>
        </w:numPr>
        <w:pStyle w:val="Compact"/>
      </w:pPr>
      <w:r>
        <w:rPr>
          <w:b/>
        </w:rPr>
        <w:t xml:space="preserve">Quién revisó:</w:t>
      </w:r>
      <w:r>
        <w:t xml:space="preserve"> </w:t>
      </w:r>
      <w:r>
        <w:t xml:space="preserve">el patrón de atribución del bloque de capas de esta ronda es</w:t>
      </w:r>
      <w:r>
        <w:t xml:space="preserve"> </w:t>
      </w:r>
      <w:r>
        <w:t xml:space="preserve">“</w:t>
      </w:r>
      <w:r>
        <w:t xml:space="preserve">Dr. Ortega</w:t>
      </w:r>
      <w:r>
        <w:t xml:space="preserve">”</w:t>
      </w:r>
      <w:r>
        <w:t xml:space="preserve"> </w:t>
      </w:r>
      <w:r>
        <w:t xml:space="preserve">(no repetido explícitamente en esta línea puntual, pero consistente con Caso 38-41 en</w:t>
      </w:r>
      <w:r>
        <w:t xml:space="preserve"> </w:t>
      </w:r>
      <w:r>
        <w:rPr>
          <w:rStyle w:val="VerbatimChar"/>
        </w:rPr>
        <w:t xml:space="preserve">buildAntidiabeticPlan</w:t>
      </w:r>
      <w:r>
        <w:t xml:space="preserve">).</w:t>
      </w:r>
    </w:p>
    <w:p>
      <w:pPr>
        <w:numPr>
          <w:ilvl w:val="0"/>
          <w:numId w:val="1048"/>
        </w:numPr>
        <w:pStyle w:val="Compact"/>
      </w:pPr>
      <w:r>
        <w:rPr>
          <w:b/>
        </w:rPr>
        <w:t xml:space="preserve">Casos que la validan:</w:t>
      </w:r>
      <w:r>
        <w:t xml:space="preserve"> </w:t>
      </w:r>
      <w:r>
        <w:t xml:space="preserve">Caso 39 (edge-cases) —</w:t>
      </w:r>
      <w:r>
        <w:t xml:space="preserve"> </w:t>
      </w:r>
      <w:r>
        <w:t xml:space="preserve">“</w:t>
      </w:r>
      <w:r>
        <w:t xml:space="preserve">ortostatismo + PA en meta + 2 antihipertensivos → bloquea titulación, sugiere simplificar</w:t>
      </w:r>
      <w:r>
        <w:t xml:space="preserve">”</w:t>
      </w:r>
      <w:r>
        <w:t xml:space="preserve">;</w:t>
      </w:r>
      <w:r>
        <w:t xml:space="preserve"> </w:t>
      </w:r>
      <w:r>
        <w:t xml:space="preserve">“</w:t>
      </w:r>
      <w:r>
        <w:t xml:space="preserve">sin síntomas → titula normalmente</w:t>
      </w:r>
      <w:r>
        <w:t xml:space="preserve">”</w:t>
      </w:r>
      <w:r>
        <w:t xml:space="preserve">.</w:t>
      </w:r>
    </w:p>
    <w:p>
      <w:pPr>
        <w:numPr>
          <w:ilvl w:val="0"/>
          <w:numId w:val="1048"/>
        </w:numPr>
        <w:pStyle w:val="Compact"/>
      </w:pPr>
      <w:r>
        <w:rPr>
          <w:b/>
        </w:rPr>
        <w:t xml:space="preserve">Excepciones:</w:t>
      </w:r>
      <w:r>
        <w:t xml:space="preserve"> </w:t>
      </w:r>
      <w:r>
        <w:t xml:space="preserve">solo aplica si</w:t>
      </w:r>
      <w:r>
        <w:t xml:space="preserve"> </w:t>
      </w:r>
      <w:r>
        <w:rPr>
          <w:rStyle w:val="VerbatimChar"/>
        </w:rPr>
        <w:t xml:space="preserve">!state.isVirgen</w:t>
      </w:r>
      <w:r>
        <w:t xml:space="preserve"> </w:t>
      </w:r>
      <w:r>
        <w:t xml:space="preserve">(paciente ya en tratamiento).</w:t>
      </w:r>
    </w:p>
    <w:p>
      <w:pPr>
        <w:numPr>
          <w:ilvl w:val="0"/>
          <w:numId w:val="1048"/>
        </w:numPr>
        <w:pStyle w:val="Compact"/>
      </w:pPr>
      <w:r>
        <w:rPr>
          <w:b/>
        </w:rPr>
        <w:t xml:space="preserve">Qué faltan datos:</w:t>
      </w:r>
      <w:r>
        <w:t xml:space="preserve"> </w:t>
      </w:r>
      <w:r>
        <w:t xml:space="preserve">no evaluable en detalle sin leer</w:t>
      </w:r>
      <w:r>
        <w:t xml:space="preserve"> </w:t>
      </w:r>
      <w:r>
        <w:rPr>
          <w:rStyle w:val="VerbatimChar"/>
        </w:rPr>
        <w:t xml:space="preserve">geriatric.js</w:t>
      </w:r>
      <w:r>
        <w:t xml:space="preserve">.</w:t>
      </w:r>
    </w:p>
    <w:p>
      <w:pPr>
        <w:numPr>
          <w:ilvl w:val="0"/>
          <w:numId w:val="1048"/>
        </w:numPr>
        <w:pStyle w:val="Compact"/>
      </w:pPr>
      <w:r>
        <w:rPr>
          <w:b/>
        </w:rPr>
        <w:t xml:space="preserve">Discrepancia entre guías:</w:t>
      </w:r>
      <w:r>
        <w:t xml:space="preserve"> </w:t>
      </w:r>
      <w:r>
        <w:t xml:space="preserve">no aplica en este archivo.</w:t>
      </w:r>
    </w:p>
    <w:p>
      <w:pPr>
        <w:pStyle w:val="Heading3"/>
      </w:pPr>
      <w:bookmarkStart w:id="74" w:name="Xc97a07d7856cfb16046e7c1f61f1f87a1584ba2"/>
      <w:r>
        <w:t xml:space="preserve">6.8 Triple terapia y HTA resistente (4ª línea: MRA)</w:t>
      </w:r>
      <w:bookmarkEnd w:id="74"/>
    </w:p>
    <w:p>
      <w:pPr>
        <w:numPr>
          <w:ilvl w:val="0"/>
          <w:numId w:val="1049"/>
        </w:numPr>
        <w:pStyle w:val="Compact"/>
      </w:pPr>
      <w:r>
        <w:rPr>
          <w:b/>
        </w:rPr>
        <w:t xml:space="preserve">Qué hace:</w:t>
      </w:r>
      <w:r>
        <w:t xml:space="preserve"> </w:t>
      </w:r>
      <w:r>
        <w:t xml:space="preserve">identifica las 3 clases canónicas (RAAS/BCC-DHP/Tiazida) por separado; si falta alguna, la completa; si las 3 ya están presentes Y maxeadas y la meta no se alcanza, recomienda una MRA en dosis baja (espironolactona) como 4ª línea — nunca otro fármaco de una clase ya usada.</w:t>
      </w:r>
    </w:p>
    <w:p>
      <w:pPr>
        <w:numPr>
          <w:ilvl w:val="0"/>
          <w:numId w:val="1049"/>
        </w:numPr>
        <w:pStyle w:val="Compact"/>
      </w:pPr>
      <w:r>
        <w:rPr>
          <w:b/>
        </w:rPr>
        <w:t xml:space="preserve">Por qué:</w:t>
      </w:r>
      <w:r>
        <w:t xml:space="preserve"> </w:t>
      </w:r>
      <w:r>
        <w:t xml:space="preserve">el filtro anterior (</w:t>
      </w:r>
      <w:r>
        <w:rPr>
          <w:rStyle w:val="VerbatimChar"/>
        </w:rPr>
        <w:t xml:space="preserve">!usedIds.has(f.id)</w:t>
      </w:r>
      <w:r>
        <w:t xml:space="preserve">) seguía encontrando otro fármaco individual DENTRO de una clase ya representada (ej. Nifedipino cuando Amlodipino ya maxeado) y lo ofrecía como</w:t>
      </w:r>
      <w:r>
        <w:t xml:space="preserve"> </w:t>
      </w:r>
      <w:r>
        <w:t xml:space="preserve">“</w:t>
      </w:r>
      <w:r>
        <w:t xml:space="preserve">siguiente clase</w:t>
      </w:r>
      <w:r>
        <w:t xml:space="preserve">”</w:t>
      </w:r>
      <w:r>
        <w:t xml:space="preserve"> </w:t>
      </w:r>
      <w:r>
        <w:t xml:space="preserve">— combinar dos BCC o dos tiazidas no aporta beneficio antihipertensivo adicional.</w:t>
      </w:r>
    </w:p>
    <w:p>
      <w:pPr>
        <w:numPr>
          <w:ilvl w:val="0"/>
          <w:numId w:val="1049"/>
        </w:numPr>
        <w:pStyle w:val="Compact"/>
      </w:pPr>
      <w:r>
        <w:rPr>
          <w:b/>
        </w:rPr>
        <w:t xml:space="preserve">Fuente:</w:t>
      </w:r>
      <w:r>
        <w:t xml:space="preserve"> </w:t>
      </w:r>
      <w:r>
        <w:t xml:space="preserve">PATHWAY-2 (citado explícitamente para la superioridad de espironolactona como 4ª línea sobre betabloqueante/alfabloqueante).</w:t>
      </w:r>
    </w:p>
    <w:p>
      <w:pPr>
        <w:numPr>
          <w:ilvl w:val="0"/>
          <w:numId w:val="1049"/>
        </w:numPr>
        <w:pStyle w:val="Compact"/>
      </w:pPr>
      <w:r>
        <w:rPr>
          <w:b/>
        </w:rPr>
        <w:t xml:space="preserve">Versión de la fuente:</w:t>
      </w:r>
      <w:r>
        <w:t xml:space="preserve"> </w:t>
      </w:r>
      <w:r>
        <w:t xml:space="preserve">No especificada con año exacto (solo el nombre del ensayo PATHWAY-2).</w:t>
      </w:r>
    </w:p>
    <w:p>
      <w:pPr>
        <w:numPr>
          <w:ilvl w:val="0"/>
          <w:numId w:val="1049"/>
        </w:numPr>
        <w:pStyle w:val="Compact"/>
      </w:pPr>
      <w:r>
        <w:rPr>
          <w:b/>
        </w:rPr>
        <w:t xml:space="preserve">Fecha de revisión:</w:t>
      </w:r>
      <w:r>
        <w:t xml:space="preserve"> </w:t>
      </w:r>
      <w:r>
        <w:t xml:space="preserve">Sin fecha exacta en este comentario puntual (</w:t>
      </w:r>
      <w:r>
        <w:t xml:space="preserve">“</w:t>
      </w:r>
      <w:r>
        <w:t xml:space="preserve">hallazgo de escalonamiento — pregunta del Dr. Ortega sobre</w:t>
      </w:r>
      <w:r>
        <w:t xml:space="preserve"> </w:t>
      </w:r>
      <w:r>
        <w:t xml:space="preserve">‘</w:t>
      </w:r>
      <w:r>
        <w:t xml:space="preserve">cuándo se deben escalonar los tratamientos</w:t>
      </w:r>
      <w:r>
        <w:t xml:space="preserve">’</w:t>
      </w:r>
      <w:r>
        <w:t xml:space="preserve">”</w:t>
      </w:r>
      <w:r>
        <w:t xml:space="preserve">).</w:t>
      </w:r>
    </w:p>
    <w:p>
      <w:pPr>
        <w:numPr>
          <w:ilvl w:val="0"/>
          <w:numId w:val="1049"/>
        </w:numPr>
        <w:pStyle w:val="Compact"/>
      </w:pPr>
      <w:r>
        <w:rPr>
          <w:b/>
        </w:rPr>
        <w:t xml:space="preserve">Quién revisó:</w:t>
      </w:r>
      <w:r>
        <w:t xml:space="preserve"> </w:t>
      </w:r>
      <w:r>
        <w:t xml:space="preserve">Dr. Ortega.</w:t>
      </w:r>
    </w:p>
    <w:p>
      <w:pPr>
        <w:numPr>
          <w:ilvl w:val="0"/>
          <w:numId w:val="1049"/>
        </w:numPr>
        <w:pStyle w:val="Compact"/>
      </w:pPr>
      <w:r>
        <w:rPr>
          <w:b/>
        </w:rPr>
        <w:t xml:space="preserve">Casos que la validan:</w:t>
      </w:r>
      <w:r>
        <w:t xml:space="preserve"> </w:t>
      </w:r>
      <w:r>
        <w:t xml:space="preserve">Sin caso de prueba identificado con triple terapia completa+maxeada en los 3 archivos revisados (B1-B5 cubren escenarios más simples de 0-2 fármacos).</w:t>
      </w:r>
    </w:p>
    <w:p>
      <w:pPr>
        <w:numPr>
          <w:ilvl w:val="0"/>
          <w:numId w:val="1049"/>
        </w:numPr>
        <w:pStyle w:val="Compact"/>
      </w:pPr>
      <w:r>
        <w:rPr>
          <w:b/>
        </w:rPr>
        <w:t xml:space="preserve">Excepciones:</w:t>
      </w:r>
      <w:r>
        <w:t xml:space="preserve"> </w:t>
      </w:r>
      <w:r>
        <w:t xml:space="preserve">ninguna adicional a la definición de</w:t>
      </w:r>
      <w:r>
        <w:t xml:space="preserve"> </w:t>
      </w:r>
      <w:r>
        <w:t xml:space="preserve">“</w:t>
      </w:r>
      <w:r>
        <w:t xml:space="preserve">HTA resistente verdadera</w:t>
      </w:r>
      <w:r>
        <w:t xml:space="preserve">”</w:t>
      </w:r>
      <w:r>
        <w:t xml:space="preserve"> </w:t>
      </w:r>
      <w:r>
        <w:t xml:space="preserve">(3 clases, todas maxeadas, meta no alcanzada).</w:t>
      </w:r>
    </w:p>
    <w:p>
      <w:pPr>
        <w:numPr>
          <w:ilvl w:val="0"/>
          <w:numId w:val="1049"/>
        </w:numPr>
        <w:pStyle w:val="Compact"/>
      </w:pPr>
      <w:r>
        <w:rPr>
          <w:b/>
        </w:rPr>
        <w:t xml:space="preserve">Qué faltan datos:</w:t>
      </w:r>
      <w:r>
        <w:t xml:space="preserve"> </w:t>
      </w:r>
      <w:r>
        <w:t xml:space="preserve">depende de que</w:t>
      </w:r>
      <w:r>
        <w:t xml:space="preserve"> </w:t>
      </w:r>
      <w:r>
        <w:rPr>
          <w:rStyle w:val="VerbatimChar"/>
        </w:rPr>
        <w:t xml:space="preserve">p.medicacionActual.htn</w:t>
      </w:r>
      <w:r>
        <w:t xml:space="preserve"> </w:t>
      </w:r>
      <w:r>
        <w:t xml:space="preserve">esté completo y correctamente clasificado por</w:t>
      </w:r>
      <w:r>
        <w:t xml:space="preserve"> </w:t>
      </w:r>
      <w:r>
        <w:rPr>
          <w:rStyle w:val="VerbatimChar"/>
        </w:rPr>
        <w:t xml:space="preserve">grp</w:t>
      </w:r>
      <w:r>
        <w:t xml:space="preserve"> </w:t>
      </w:r>
      <w:r>
        <w:t xml:space="preserve">— un fármaco mal capturado (id inexistente en</w:t>
      </w:r>
      <w:r>
        <w:t xml:space="preserve"> </w:t>
      </w:r>
      <w:r>
        <w:rPr>
          <w:rStyle w:val="VerbatimChar"/>
        </w:rPr>
        <w:t xml:space="preserve">DB_PHARMA</w:t>
      </w:r>
      <w:r>
        <w:t xml:space="preserve">) simplemente se filtra fuera de</w:t>
      </w:r>
      <w:r>
        <w:t xml:space="preserve"> </w:t>
      </w:r>
      <w:r>
        <w:rPr>
          <w:rStyle w:val="VerbatimChar"/>
        </w:rPr>
        <w:t xml:space="preserve">entries</w:t>
      </w:r>
      <w:r>
        <w:t xml:space="preserve"> </w:t>
      </w:r>
      <w:r>
        <w:t xml:space="preserve">sin advertencia (</w:t>
      </w:r>
      <w:r>
        <w:rPr>
          <w:rStyle w:val="VerbatimChar"/>
        </w:rPr>
        <w:t xml:space="preserve">getMedicationState</w:t>
      </w:r>
      <w:r>
        <w:t xml:space="preserve"> </w:t>
      </w:r>
      <w:r>
        <w:t xml:space="preserve">usa</w:t>
      </w:r>
      <w:r>
        <w:t xml:space="preserve"> </w:t>
      </w:r>
      <w:r>
        <w:rPr>
          <w:rStyle w:val="VerbatimChar"/>
        </w:rPr>
        <w:t xml:space="preserve">.filter(Boolean)</w:t>
      </w:r>
      <w:r>
        <w:t xml:space="preserve">).</w:t>
      </w:r>
    </w:p>
    <w:p>
      <w:pPr>
        <w:numPr>
          <w:ilvl w:val="0"/>
          <w:numId w:val="1049"/>
        </w:numPr>
        <w:pStyle w:val="Compact"/>
      </w:pPr>
      <w:r>
        <w:rPr>
          <w:b/>
        </w:rPr>
        <w:t xml:space="preserve">Discrepancia entre guías:</w:t>
      </w:r>
      <w:r>
        <w:t xml:space="preserve"> </w:t>
      </w:r>
      <w:r>
        <w:t xml:space="preserve">no aplica.</w:t>
      </w:r>
    </w:p>
    <w:p>
      <w:pPr>
        <w:pStyle w:val="Heading3"/>
      </w:pPr>
      <w:bookmarkStart w:id="75" w:name="X1e84aff25094cd4463a052a1e29fd0daf6d330d"/>
      <w:r>
        <w:t xml:space="preserve">6.9 Finerenona en ERC+T2D con albuminuria (con exclusión de doble MRA)</w:t>
      </w:r>
      <w:bookmarkEnd w:id="75"/>
    </w:p>
    <w:p>
      <w:pPr>
        <w:numPr>
          <w:ilvl w:val="0"/>
          <w:numId w:val="1050"/>
        </w:numPr>
        <w:pStyle w:val="Compact"/>
      </w:pPr>
      <w:r>
        <w:rPr>
          <w:b/>
        </w:rPr>
        <w:t xml:space="preserve">Qué hace:</w:t>
      </w:r>
      <w:r>
        <w:t xml:space="preserve"> </w:t>
      </w:r>
      <w:r>
        <w:t xml:space="preserve">si</w:t>
      </w:r>
      <w:r>
        <w:t xml:space="preserve"> </w:t>
      </w:r>
      <w:r>
        <w:rPr>
          <w:rStyle w:val="VerbatimChar"/>
        </w:rPr>
        <w:t xml:space="preserve">flags.erc</w:t>
      </w:r>
      <w:r>
        <w:t xml:space="preserve"> </w:t>
      </w:r>
      <w:r>
        <w:t xml:space="preserve">Y</w:t>
      </w:r>
      <w:r>
        <w:t xml:space="preserve"> </w:t>
      </w:r>
      <w:r>
        <w:rPr>
          <w:rStyle w:val="VerbatimChar"/>
        </w:rPr>
        <w:t xml:space="preserve">UACR≥30</w:t>
      </w:r>
      <w:r>
        <w:t xml:space="preserve"> </w:t>
      </w:r>
      <w:r>
        <w:t xml:space="preserve">Y</w:t>
      </w:r>
      <w:r>
        <w:t xml:space="preserve"> </w:t>
      </w:r>
      <w:r>
        <w:rPr>
          <w:rStyle w:val="VerbatimChar"/>
        </w:rPr>
        <w:t xml:space="preserve">eGFR≥25</w:t>
      </w:r>
      <w:r>
        <w:t xml:space="preserve"> </w:t>
      </w:r>
      <w:r>
        <w:t xml:space="preserve">y aún no está en Finerenona: si el paciente ya está en una MRA esteroidea (espironolactona/eplerenona), recomienda SUSTITUIRLA por Finerenona (no combinar ambas); si no, agrega Finerenona directamente.</w:t>
      </w:r>
    </w:p>
    <w:p>
      <w:pPr>
        <w:numPr>
          <w:ilvl w:val="0"/>
          <w:numId w:val="1050"/>
        </w:numPr>
        <w:pStyle w:val="Compact"/>
      </w:pPr>
      <w:r>
        <w:rPr>
          <w:b/>
        </w:rPr>
        <w:t xml:space="preserve">Por qué:</w:t>
      </w:r>
      <w:r>
        <w:t xml:space="preserve"> </w:t>
      </w:r>
      <w:r>
        <w:t xml:space="preserve">combinar dos MRA (esteroidea + no esteroidea) no es seguro — FIDELIO-DKD/FIGARO-DKD excluyeron explícitamente a pacientes con uso concurrente de otra MRA por riesgo de hiperkalemia aditivo.</w:t>
      </w:r>
    </w:p>
    <w:p>
      <w:pPr>
        <w:numPr>
          <w:ilvl w:val="0"/>
          <w:numId w:val="1050"/>
        </w:numPr>
        <w:pStyle w:val="Compact"/>
      </w:pPr>
      <w:r>
        <w:rPr>
          <w:b/>
        </w:rPr>
        <w:t xml:space="preserve">Fuente:</w:t>
      </w:r>
      <w:r>
        <w:t xml:space="preserve"> </w:t>
      </w:r>
      <w:r>
        <w:t xml:space="preserve">FIDELIO-DKD, FIGARO-DKD (ensayos citados explícitamente).</w:t>
      </w:r>
    </w:p>
    <w:p>
      <w:pPr>
        <w:numPr>
          <w:ilvl w:val="0"/>
          <w:numId w:val="1050"/>
        </w:numPr>
        <w:pStyle w:val="Compact"/>
      </w:pPr>
      <w:r>
        <w:rPr>
          <w:b/>
        </w:rPr>
        <w:t xml:space="preserve">Versión de la fuente:</w:t>
      </w:r>
      <w:r>
        <w:t xml:space="preserve"> </w:t>
      </w:r>
      <w:r>
        <w:t xml:space="preserve">No especificada con año exacto de publicación en el comentario.</w:t>
      </w:r>
    </w:p>
    <w:p>
      <w:pPr>
        <w:numPr>
          <w:ilvl w:val="0"/>
          <w:numId w:val="1050"/>
        </w:numPr>
        <w:pStyle w:val="Compact"/>
      </w:pPr>
      <w:r>
        <w:rPr>
          <w:b/>
        </w:rPr>
        <w:t xml:space="preserve">Fecha de revisión:</w:t>
      </w:r>
      <w:r>
        <w:t xml:space="preserve"> </w:t>
      </w:r>
      <w:r>
        <w:t xml:space="preserve">“</w:t>
      </w:r>
      <w:r>
        <w:t xml:space="preserve">misma ronda de auditoría — hallazgo al revisar interacciones en el bloque de ERC+T2D</w:t>
      </w:r>
      <w:r>
        <w:t xml:space="preserve">”</w:t>
      </w:r>
      <w:r>
        <w:t xml:space="preserve">, sin fecha exacta en este comentario puntual.</w:t>
      </w:r>
    </w:p>
    <w:p>
      <w:pPr>
        <w:numPr>
          <w:ilvl w:val="0"/>
          <w:numId w:val="1050"/>
        </w:numPr>
        <w:pStyle w:val="Compact"/>
      </w:pPr>
      <w:r>
        <w:rPr>
          <w:b/>
        </w:rPr>
        <w:t xml:space="preserve">Quién revisó:</w:t>
      </w:r>
      <w:r>
        <w:t xml:space="preserve"> </w:t>
      </w:r>
      <w:r>
        <w:t xml:space="preserve">No especificado nominalmente en esta línea.</w:t>
      </w:r>
    </w:p>
    <w:p>
      <w:pPr>
        <w:numPr>
          <w:ilvl w:val="0"/>
          <w:numId w:val="1050"/>
        </w:numPr>
        <w:pStyle w:val="Compact"/>
      </w:pPr>
      <w:r>
        <w:rPr>
          <w:b/>
        </w:rPr>
        <w:t xml:space="preserve">Casos que la validan:</w:t>
      </w:r>
      <w:r>
        <w:t xml:space="preserve"> </w:t>
      </w:r>
      <w:r>
        <w:t xml:space="preserve">B4 (</w:t>
      </w:r>
      <w:r>
        <w:t xml:space="preserve">“</w:t>
      </w:r>
      <w:r>
        <w:t xml:space="preserve">ERC+T2D con UACR alto, eGFR≥25 → incluye Finerenona</w:t>
      </w:r>
      <w:r>
        <w:t xml:space="preserve">”</w:t>
      </w:r>
      <w:r>
        <w:t xml:space="preserve">) — cubre la rama de agregar Finerenona directamente; Sin caso de prueba identificado para la rama de SUSTITUCIÓN (paciente ya en MRA esteroidea que se cambia a Finerenona) en los 3 archivos revisados.</w:t>
      </w:r>
    </w:p>
    <w:p>
      <w:pPr>
        <w:numPr>
          <w:ilvl w:val="0"/>
          <w:numId w:val="1050"/>
        </w:numPr>
        <w:pStyle w:val="Compact"/>
      </w:pPr>
      <w:r>
        <w:rPr>
          <w:b/>
        </w:rPr>
        <w:t xml:space="preserve">Excepciones:</w:t>
      </w:r>
      <w:r>
        <w:t xml:space="preserve"> </w:t>
      </w:r>
      <w:r>
        <w:t xml:space="preserve">requiere</w:t>
      </w:r>
      <w:r>
        <w:t xml:space="preserve"> </w:t>
      </w:r>
      <w:r>
        <w:rPr>
          <w:rStyle w:val="VerbatimChar"/>
        </w:rPr>
        <w:t xml:space="preserve">eGFR≥25</w:t>
      </w:r>
      <w:r>
        <w:t xml:space="preserve"> </w:t>
      </w:r>
      <w:r>
        <w:t xml:space="preserve">explícitamente (además de UACR≥30) — fuera de ese rango no se activa.</w:t>
      </w:r>
    </w:p>
    <w:p>
      <w:pPr>
        <w:numPr>
          <w:ilvl w:val="0"/>
          <w:numId w:val="1050"/>
        </w:numPr>
        <w:pStyle w:val="Compact"/>
      </w:pPr>
      <w:r>
        <w:rPr>
          <w:b/>
        </w:rPr>
        <w:t xml:space="preserve">Qué faltan datos:</w:t>
      </w:r>
      <w:r>
        <w:t xml:space="preserve"> </w:t>
      </w:r>
      <w:r>
        <w:t xml:space="preserve">usa</w:t>
      </w:r>
      <w:r>
        <w:t xml:space="preserve"> </w:t>
      </w:r>
      <w:r>
        <w:rPr>
          <w:rStyle w:val="VerbatimChar"/>
        </w:rPr>
        <w:t xml:space="preserve">flags.egfr &gt;= 25</w:t>
      </w:r>
      <w:r>
        <w:t xml:space="preserve"> </w:t>
      </w:r>
      <w:r>
        <w:t xml:space="preserve">sin la guarda</w:t>
      </w:r>
      <w:r>
        <w:t xml:space="preserve"> </w:t>
      </w:r>
      <w:r>
        <w:rPr>
          <w:rStyle w:val="VerbatimChar"/>
        </w:rPr>
        <w:t xml:space="preserve">&gt;0</w:t>
      </w:r>
      <w:r>
        <w:t xml:space="preserve"> </w:t>
      </w:r>
      <w:r>
        <w:t xml:space="preserve">que sí usan otras partes del archivo — si</w:t>
      </w:r>
      <w:r>
        <w:t xml:space="preserve"> </w:t>
      </w:r>
      <w:r>
        <w:rPr>
          <w:rStyle w:val="VerbatimChar"/>
        </w:rPr>
        <w:t xml:space="preserve">eGFR=0</w:t>
      </w:r>
      <w:r>
        <w:t xml:space="preserve"> </w:t>
      </w:r>
      <w:r>
        <w:t xml:space="preserve">(no calculable),</w:t>
      </w:r>
      <w:r>
        <w:t xml:space="preserve"> </w:t>
      </w:r>
      <w:r>
        <w:rPr>
          <w:rStyle w:val="VerbatimChar"/>
        </w:rPr>
        <w:t xml:space="preserve">0&gt;=25</w:t>
      </w:r>
      <w:r>
        <w:t xml:space="preserve"> </w:t>
      </w:r>
      <w:r>
        <w:t xml:space="preserve">es</w:t>
      </w:r>
      <w:r>
        <w:t xml:space="preserve"> </w:t>
      </w:r>
      <w:r>
        <w:rPr>
          <w:rStyle w:val="VerbatimChar"/>
        </w:rPr>
        <w:t xml:space="preserve">false</w:t>
      </w:r>
      <w:r>
        <w:t xml:space="preserve">, así que Finerenona simplemente no se sugiere; comportamiento conservador (no se activa un tratamiento sin confirmar función renal), consistente pero sin ninguna advertencia de</w:t>
      </w:r>
      <w:r>
        <w:t xml:space="preserve"> </w:t>
      </w:r>
      <w:r>
        <w:t xml:space="preserve">“</w:t>
      </w:r>
      <w:r>
        <w:t xml:space="preserve">no evaluable por falta de creatinina</w:t>
      </w:r>
      <w:r>
        <w:t xml:space="preserve">”</w:t>
      </w:r>
      <w:r>
        <w:t xml:space="preserve">.</w:t>
      </w:r>
    </w:p>
    <w:p>
      <w:pPr>
        <w:numPr>
          <w:ilvl w:val="0"/>
          <w:numId w:val="1050"/>
        </w:numPr>
        <w:pStyle w:val="Compact"/>
      </w:pPr>
      <w:r>
        <w:rPr>
          <w:b/>
        </w:rPr>
        <w:t xml:space="preserve">Discrepancia entre guías:</w:t>
      </w:r>
      <w:r>
        <w:t xml:space="preserve"> </w:t>
      </w:r>
      <w:r>
        <w:t xml:space="preserve">no aplica (es una regla de seguridad fármaco-fármaco, no de guías clínicas distintas).</w:t>
      </w:r>
    </w:p>
    <w:p>
      <w:pPr>
        <w:pStyle w:val="Heading3"/>
      </w:pPr>
      <w:bookmarkStart w:id="76" w:name="catch-all-final-htn"/>
      <w:r>
        <w:t xml:space="preserve">6.10 Catch-all final HTN</w:t>
      </w:r>
      <w:bookmarkEnd w:id="76"/>
    </w:p>
    <w:p>
      <w:pPr>
        <w:numPr>
          <w:ilvl w:val="0"/>
          <w:numId w:val="1051"/>
        </w:numPr>
        <w:pStyle w:val="Compact"/>
      </w:pPr>
      <w:r>
        <w:rPr>
          <w:b/>
        </w:rPr>
        <w:t xml:space="preserve">Qué hace:</w:t>
      </w:r>
      <w:r>
        <w:t xml:space="preserve"> </w:t>
      </w:r>
      <w:r>
        <w:t xml:space="preserve">mismo patrón que 5.11 — revisa fármacos HTN activos no tocados por ninguna rama anterior (ej. alfabloqueante o vasodilatador directo ya maxeado, o MRA esteroidea sin indicación activa de Finerenona) contra</w:t>
      </w:r>
      <w:r>
        <w:t xml:space="preserve"> </w:t>
      </w:r>
      <w:r>
        <w:rPr>
          <w:rStyle w:val="VerbatimChar"/>
        </w:rPr>
        <w:t xml:space="preserve">currentDrugIssue</w:t>
      </w:r>
      <w:r>
        <w:t xml:space="preserve">.</w:t>
      </w:r>
    </w:p>
    <w:p>
      <w:pPr>
        <w:numPr>
          <w:ilvl w:val="0"/>
          <w:numId w:val="1051"/>
        </w:numPr>
        <w:pStyle w:val="Compact"/>
      </w:pPr>
      <w:r>
        <w:rPr>
          <w:b/>
        </w:rPr>
        <w:t xml:space="preserve">Por qué:</w:t>
      </w:r>
      <w:r>
        <w:t xml:space="preserve"> </w:t>
      </w:r>
      <w:r>
        <w:t xml:space="preserve">mismo hallazgo sistémico generalizado a las 3 categorías principales del motor.</w:t>
      </w:r>
    </w:p>
    <w:p>
      <w:pPr>
        <w:numPr>
          <w:ilvl w:val="0"/>
          <w:numId w:val="1051"/>
        </w:numPr>
        <w:pStyle w:val="Compact"/>
      </w:pPr>
      <w:r>
        <w:rPr>
          <w:b/>
        </w:rPr>
        <w:t xml:space="preserve">Fuente:</w:t>
      </w:r>
      <w:r>
        <w:t xml:space="preserve"> </w:t>
      </w:r>
      <w:r>
        <w:t xml:space="preserve">hallazgo de auditoría interna.</w:t>
      </w:r>
    </w:p>
    <w:p>
      <w:pPr>
        <w:numPr>
          <w:ilvl w:val="0"/>
          <w:numId w:val="1051"/>
        </w:numPr>
        <w:pStyle w:val="Compact"/>
      </w:pPr>
      <w:r>
        <w:rPr>
          <w:b/>
        </w:rPr>
        <w:t xml:space="preserve">Versión de la fuente:</w:t>
      </w:r>
      <w:r>
        <w:t xml:space="preserve"> </w:t>
      </w:r>
      <w:r>
        <w:t xml:space="preserve">No aplica.</w:t>
      </w:r>
    </w:p>
    <w:p>
      <w:pPr>
        <w:numPr>
          <w:ilvl w:val="0"/>
          <w:numId w:val="1051"/>
        </w:numPr>
        <w:pStyle w:val="Compact"/>
      </w:pPr>
      <w:r>
        <w:rPr>
          <w:b/>
        </w:rPr>
        <w:t xml:space="preserve">Fecha de revisión:</w:t>
      </w:r>
      <w:r>
        <w:t xml:space="preserve"> </w:t>
      </w:r>
      <w:r>
        <w:t xml:space="preserve">Sin fecha exacta en este comentario puntual.</w:t>
      </w:r>
    </w:p>
    <w:p>
      <w:pPr>
        <w:numPr>
          <w:ilvl w:val="0"/>
          <w:numId w:val="1051"/>
        </w:numPr>
        <w:pStyle w:val="Compact"/>
      </w:pPr>
      <w:r>
        <w:rPr>
          <w:b/>
        </w:rPr>
        <w:t xml:space="preserve">Quién revisó:</w:t>
      </w:r>
      <w:r>
        <w:t xml:space="preserve"> </w:t>
      </w:r>
      <w:r>
        <w:t xml:space="preserve">No especificado.</w:t>
      </w:r>
    </w:p>
    <w:p>
      <w:pPr>
        <w:numPr>
          <w:ilvl w:val="0"/>
          <w:numId w:val="1051"/>
        </w:numPr>
        <w:pStyle w:val="Compact"/>
      </w:pPr>
      <w:r>
        <w:rPr>
          <w:b/>
        </w:rPr>
        <w:t xml:space="preserve">Casos que la validan:</w:t>
      </w:r>
      <w:r>
        <w:t xml:space="preserve"> </w:t>
      </w:r>
      <w:r>
        <w:t xml:space="preserve">Sin caso de prueba identificado que aísle específicamente esta rama en los 3 archivos revisados.</w:t>
      </w:r>
    </w:p>
    <w:p>
      <w:pPr>
        <w:numPr>
          <w:ilvl w:val="0"/>
          <w:numId w:val="1051"/>
        </w:numPr>
        <w:pStyle w:val="Compact"/>
      </w:pPr>
      <w:r>
        <w:rPr>
          <w:b/>
        </w:rPr>
        <w:t xml:space="preserve">Excepciones:</w:t>
      </w:r>
      <w:r>
        <w:t xml:space="preserve"> </w:t>
      </w:r>
      <w:r>
        <w:t xml:space="preserve">ninguna adicional.</w:t>
      </w:r>
    </w:p>
    <w:p>
      <w:pPr>
        <w:numPr>
          <w:ilvl w:val="0"/>
          <w:numId w:val="1051"/>
        </w:numPr>
        <w:pStyle w:val="Compact"/>
      </w:pPr>
      <w:r>
        <w:rPr>
          <w:b/>
        </w:rPr>
        <w:t xml:space="preserve">Qué faltan datos:</w:t>
      </w:r>
      <w:r>
        <w:t xml:space="preserve"> </w:t>
      </w:r>
      <w:r>
        <w:t xml:space="preserve">hereda el hueco de</w:t>
      </w:r>
      <w:r>
        <w:t xml:space="preserve"> </w:t>
      </w:r>
      <w:r>
        <w:rPr>
          <w:rStyle w:val="VerbatimChar"/>
        </w:rPr>
        <w:t xml:space="preserve">currentDrugIssue</w:t>
      </w:r>
      <w:r>
        <w:t xml:space="preserve"> </w:t>
      </w:r>
      <w:r>
        <w:t xml:space="preserve">(4.1).</w:t>
      </w:r>
    </w:p>
    <w:p>
      <w:pPr>
        <w:numPr>
          <w:ilvl w:val="0"/>
          <w:numId w:val="1051"/>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77" w:name="plan-de-lípidos-buildlipidplan"/>
      <w:r>
        <w:t xml:space="preserve">7. Plan de Lípidos (</w:t>
      </w:r>
      <w:r>
        <w:rPr>
          <w:rStyle w:val="VerbatimChar"/>
        </w:rPr>
        <w:t xml:space="preserve">buildLipidPlan</w:t>
      </w:r>
      <w:r>
        <w:t xml:space="preserve">)</w:t>
      </w:r>
      <w:bookmarkEnd w:id="77"/>
    </w:p>
    <w:p>
      <w:pPr>
        <w:pStyle w:val="FirstParagraph"/>
      </w:pPr>
      <w:r>
        <w:t xml:space="preserve">Basado en AACE Algorithm Fig. 4 + escalonamiento estricto ACC/AHA: estatina → dosis máxima tolerada → ezetimibe → PCSK9i.</w:t>
      </w:r>
    </w:p>
    <w:p>
      <w:pPr>
        <w:pStyle w:val="Heading3"/>
      </w:pPr>
      <w:bookmarkStart w:id="78" w:name="X2f964742613b7c3197736836e7c8baeef823db3"/>
      <w:r>
        <w:t xml:space="preserve">7.1 De-intensificación por fragilidad (</w:t>
      </w:r>
      <w:r>
        <w:rPr>
          <w:rStyle w:val="VerbatimChar"/>
        </w:rPr>
        <w:t xml:space="preserve">frailDeintensify</w:t>
      </w:r>
      <w:r>
        <w:t xml:space="preserve">)</w:t>
      </w:r>
      <w:bookmarkEnd w:id="78"/>
    </w:p>
    <w:p>
      <w:pPr>
        <w:numPr>
          <w:ilvl w:val="0"/>
          <w:numId w:val="1052"/>
        </w:numPr>
        <w:pStyle w:val="Compact"/>
      </w:pPr>
      <w:r>
        <w:rPr>
          <w:b/>
        </w:rPr>
        <w:t xml:space="preserve">Qué hace:</w:t>
      </w:r>
      <w:r>
        <w:t xml:space="preserve"> </w:t>
      </w:r>
      <w:r>
        <w:t xml:space="preserve">si</w:t>
      </w:r>
      <w:r>
        <w:t xml:space="preserve"> </w:t>
      </w:r>
      <w:r>
        <w:rPr>
          <w:rStyle w:val="VerbatimChar"/>
        </w:rPr>
        <w:t xml:space="preserve">edad≥65</w:t>
      </w:r>
      <w:r>
        <w:t xml:space="preserve"> </w:t>
      </w:r>
      <w:r>
        <w:t xml:space="preserve">Y</w:t>
      </w:r>
      <w:r>
        <w:t xml:space="preserve"> </w:t>
      </w:r>
      <w:r>
        <w:rPr>
          <w:rStyle w:val="VerbatimChar"/>
        </w:rPr>
        <w:t xml:space="preserve">p.saludStatus==="muyComplejo"</w:t>
      </w:r>
      <w:r>
        <w:t xml:space="preserve"> </w:t>
      </w:r>
      <w:r>
        <w:t xml:space="preserve">Y NO hay ASCVD establecida Y NO hay ERC severa (</w:t>
      </w:r>
      <w:r>
        <w:rPr>
          <w:rStyle w:val="VerbatimChar"/>
        </w:rPr>
        <w:t xml:space="preserve">eGFR&lt;30</w:t>
      </w:r>
      <w:r>
        <w:t xml:space="preserve">), permite de-intensificar de alta a moderada intensidad la estatina que la clasificación de riesgo (label MUY ALTO/ALTO) normalmente indicaría.</w:t>
      </w:r>
    </w:p>
    <w:p>
      <w:pPr>
        <w:numPr>
          <w:ilvl w:val="0"/>
          <w:numId w:val="1052"/>
        </w:numPr>
        <w:pStyle w:val="Compact"/>
      </w:pPr>
      <w:r>
        <w:rPr>
          <w:b/>
        </w:rPr>
        <w:t xml:space="preserve">Por qué:</w:t>
      </w:r>
      <w:r>
        <w:t xml:space="preserve"> </w:t>
      </w:r>
      <w:r>
        <w:t xml:space="preserve">la clasificación de riesgo es puramente por LDL/comorbilidad sin considerar fragilidad; en prevención primaria con alta carga de tratamiento, el riesgo de efectos adversos/polifarmacia puede superar el beneficio marginal a corto plazo.</w:t>
      </w:r>
    </w:p>
    <w:p>
      <w:pPr>
        <w:numPr>
          <w:ilvl w:val="0"/>
          <w:numId w:val="1052"/>
        </w:numPr>
        <w:pStyle w:val="Compact"/>
      </w:pPr>
      <w:r>
        <w:rPr>
          <w:b/>
        </w:rPr>
        <w:t xml:space="preserve">Fuente:</w:t>
      </w:r>
      <w:r>
        <w:t xml:space="preserve"> </w:t>
      </w:r>
      <w:r>
        <w:t xml:space="preserve">ADA 2026 Cap. 13 / AACE 2026 (citadas conjuntamente).</w:t>
      </w:r>
    </w:p>
    <w:p>
      <w:pPr>
        <w:numPr>
          <w:ilvl w:val="0"/>
          <w:numId w:val="1052"/>
        </w:numPr>
        <w:pStyle w:val="Compact"/>
      </w:pPr>
      <w:r>
        <w:rPr>
          <w:b/>
        </w:rPr>
        <w:t xml:space="preserve">Versión de la fuente:</w:t>
      </w:r>
      <w:r>
        <w:t xml:space="preserve"> </w:t>
      </w:r>
      <w:r>
        <w:t xml:space="preserve">2026 (ambas).</w:t>
      </w:r>
    </w:p>
    <w:p>
      <w:pPr>
        <w:numPr>
          <w:ilvl w:val="0"/>
          <w:numId w:val="1052"/>
        </w:numPr>
        <w:pStyle w:val="Compact"/>
      </w:pPr>
      <w:r>
        <w:rPr>
          <w:b/>
        </w:rPr>
        <w:t xml:space="preserve">Fecha de revisión:</w:t>
      </w:r>
      <w:r>
        <w:t xml:space="preserve"> </w:t>
      </w:r>
      <w:r>
        <w:t xml:space="preserve">Sin fecha exacta citada para esta corrección puntual (</w:t>
      </w:r>
      <w:r>
        <w:t xml:space="preserve">“</w:t>
      </w:r>
      <w:r>
        <w:t xml:space="preserve">hallazgo de auditoría,</w:t>
      </w:r>
      <w:r>
        <w:t xml:space="preserve"> </w:t>
      </w:r>
      <w:r>
        <w:t xml:space="preserve">‘</w:t>
      </w:r>
      <w:r>
        <w:t xml:space="preserve">algo más que no hayamos cubierto</w:t>
      </w:r>
      <w:r>
        <w:t xml:space="preserve">’</w:t>
      </w:r>
      <w:r>
        <w:t xml:space="preserve">”</w:t>
      </w:r>
      <w:r>
        <w:t xml:space="preserve">).</w:t>
      </w:r>
    </w:p>
    <w:p>
      <w:pPr>
        <w:numPr>
          <w:ilvl w:val="0"/>
          <w:numId w:val="1052"/>
        </w:numPr>
        <w:pStyle w:val="Compact"/>
      </w:pPr>
      <w:r>
        <w:rPr>
          <w:b/>
        </w:rPr>
        <w:t xml:space="preserve">Quién revisó:</w:t>
      </w:r>
      <w:r>
        <w:t xml:space="preserve"> </w:t>
      </w:r>
      <w:r>
        <w:t xml:space="preserve">No especificado nominalmente en esta línea.</w:t>
      </w:r>
    </w:p>
    <w:p>
      <w:pPr>
        <w:numPr>
          <w:ilvl w:val="0"/>
          <w:numId w:val="1052"/>
        </w:numPr>
        <w:pStyle w:val="Compact"/>
      </w:pPr>
      <w:r>
        <w:rPr>
          <w:b/>
        </w:rPr>
        <w:t xml:space="preserve">Casos que la validan:</w:t>
      </w:r>
      <w:r>
        <w:t xml:space="preserve"> </w:t>
      </w:r>
      <w:r>
        <w:t xml:space="preserve">Sin caso de prueba identificado con perfil</w:t>
      </w:r>
      <w:r>
        <w:t xml:space="preserve"> </w:t>
      </w:r>
      <w:r>
        <w:t xml:space="preserve">“</w:t>
      </w:r>
      <w:r>
        <w:t xml:space="preserve">≥65a muy complejo, riesgo alto, sin ASCVD, sin ERC severa</w:t>
      </w:r>
      <w:r>
        <w:t xml:space="preserve">”</w:t>
      </w:r>
      <w:r>
        <w:t xml:space="preserve"> </w:t>
      </w:r>
      <w:r>
        <w:t xml:space="preserve">en los 3 archivos revisados.</w:t>
      </w:r>
    </w:p>
    <w:p>
      <w:pPr>
        <w:numPr>
          <w:ilvl w:val="0"/>
          <w:numId w:val="1052"/>
        </w:numPr>
        <w:pStyle w:val="Compact"/>
      </w:pPr>
      <w:r>
        <w:rPr>
          <w:b/>
        </w:rPr>
        <w:t xml:space="preserve">Excepciones:</w:t>
      </w:r>
      <w:r>
        <w:t xml:space="preserve"> </w:t>
      </w:r>
      <w:r>
        <w:t xml:space="preserve">deliberadamente NO se aplica si ya hay ASCVD establecida (prevención secundaria, beneficio bien demostrado) ni si hay ERC severa (</w:t>
      </w:r>
      <w:r>
        <w:rPr>
          <w:rStyle w:val="VerbatimChar"/>
        </w:rPr>
        <w:t xml:space="preserve">eGFR&lt;30</w:t>
      </w:r>
      <w:r>
        <w:t xml:space="preserve">, donde KDIGO 2024 mantiene la indicación de estatina) — ambas excepciones citadas explícitamente.</w:t>
      </w:r>
    </w:p>
    <w:p>
      <w:pPr>
        <w:numPr>
          <w:ilvl w:val="0"/>
          <w:numId w:val="1052"/>
        </w:numPr>
        <w:pStyle w:val="Compact"/>
      </w:pPr>
      <w:r>
        <w:rPr>
          <w:b/>
        </w:rPr>
        <w:t xml:space="preserve">Qué faltan datos:</w:t>
      </w:r>
      <w:r>
        <w:t xml:space="preserve"> </w:t>
      </w:r>
      <w:r>
        <w:rPr>
          <w:rStyle w:val="VerbatimChar"/>
        </w:rPr>
        <w:t xml:space="preserve">severeCKD = egfrLipid &gt; 0 &amp;&amp; egfrLipid &lt; 30</w:t>
      </w:r>
      <w:r>
        <w:t xml:space="preserve"> </w:t>
      </w:r>
      <w:r>
        <w:t xml:space="preserve">— mismo patrón de guarda: si eGFR no es calculable,</w:t>
      </w:r>
      <w:r>
        <w:t xml:space="preserve"> </w:t>
      </w:r>
      <w:r>
        <w:rPr>
          <w:rStyle w:val="VerbatimChar"/>
        </w:rPr>
        <w:t xml:space="preserve">severeCKD</w:t>
      </w:r>
      <w:r>
        <w:t xml:space="preserve"> </w:t>
      </w:r>
      <w:r>
        <w:t xml:space="preserve">es</w:t>
      </w:r>
      <w:r>
        <w:t xml:space="preserve"> </w:t>
      </w:r>
      <w:r>
        <w:rPr>
          <w:rStyle w:val="VerbatimChar"/>
        </w:rPr>
        <w:t xml:space="preserve">false</w:t>
      </w:r>
      <w:r>
        <w:t xml:space="preserve">, lo que hace que</w:t>
      </w:r>
      <w:r>
        <w:t xml:space="preserve"> </w:t>
      </w:r>
      <w:r>
        <w:rPr>
          <w:rStyle w:val="VerbatimChar"/>
        </w:rPr>
        <w:t xml:space="preserve">frailDeintensify</w:t>
      </w:r>
      <w:r>
        <w:t xml:space="preserve"> </w:t>
      </w:r>
      <w:r>
        <w:t xml:space="preserve">pueda activarse (de-intensificar) SIN haber confirmado que el paciente no tiene ERC severa — un caso donde la ausencia de dato podría llevar a subtratar a un paciente con ERC real no capturada.</w:t>
      </w:r>
    </w:p>
    <w:p>
      <w:pPr>
        <w:numPr>
          <w:ilvl w:val="0"/>
          <w:numId w:val="1052"/>
        </w:numPr>
        <w:pStyle w:val="Compact"/>
      </w:pPr>
      <w:r>
        <w:rPr>
          <w:b/>
        </w:rPr>
        <w:t xml:space="preserve">Discrepancia entre guías:</w:t>
      </w:r>
      <w:r>
        <w:t xml:space="preserve"> </w:t>
      </w:r>
      <w:r>
        <w:t xml:space="preserve">no aplica directamente (cita ADA/AACE de forma conjunta, sin conflicto señalado).</w:t>
      </w:r>
    </w:p>
    <w:p>
      <w:pPr>
        <w:pStyle w:val="Heading3"/>
      </w:pPr>
      <w:bookmarkStart w:id="79" w:name="X968fd47337a7dc1392143141031e301f60cdd85"/>
      <w:r>
        <w:t xml:space="preserve">7.2 Selección de intensidad de estatina al inicio (alta vs. moderada)</w:t>
      </w:r>
      <w:bookmarkEnd w:id="79"/>
    </w:p>
    <w:p>
      <w:pPr>
        <w:numPr>
          <w:ilvl w:val="0"/>
          <w:numId w:val="1053"/>
        </w:numPr>
        <w:pStyle w:val="Compact"/>
      </w:pPr>
      <w:r>
        <w:rPr>
          <w:b/>
        </w:rPr>
        <w:t xml:space="preserve">Qué hace:</w:t>
      </w:r>
      <w:r>
        <w:t xml:space="preserve"> </w:t>
      </w:r>
      <w:r>
        <w:t xml:space="preserve">si</w:t>
      </w:r>
      <w:r>
        <w:t xml:space="preserve"> </w:t>
      </w:r>
      <w:r>
        <w:rPr>
          <w:rStyle w:val="VerbatimChar"/>
        </w:rPr>
        <w:t xml:space="preserve">highIntensity</w:t>
      </w:r>
      <w:r>
        <w:t xml:space="preserve"> </w:t>
      </w:r>
      <w:r>
        <w:t xml:space="preserve">(riesgo MUY ALTO/ALTO sin de-intensificar), restringe el pool a</w:t>
      </w:r>
      <w:r>
        <w:t xml:space="preserve"> </w:t>
      </w:r>
      <w:r>
        <w:t xml:space="preserve">“</w:t>
      </w:r>
      <w:r>
        <w:t xml:space="preserve">Alta Intensidad</w:t>
      </w:r>
      <w:r>
        <w:t xml:space="preserve">”</w:t>
      </w:r>
      <w:r>
        <w:t xml:space="preserve">; si no, restringe a</w:t>
      </w:r>
      <w:r>
        <w:t xml:space="preserve"> </w:t>
      </w:r>
      <w:r>
        <w:t xml:space="preserve">“</w:t>
      </w:r>
      <w:r>
        <w:t xml:space="preserve">Baja/Moderada</w:t>
      </w:r>
      <w:r>
        <w:t xml:space="preserve">”</w:t>
      </w:r>
      <w:r>
        <w:t xml:space="preserve"> </w:t>
      </w:r>
      <w:r>
        <w:t xml:space="preserve">— antes el pool completo (alta+moderada) se usaba sin filtrar para MODERADO/BAJO, y el desempate por costo caía siempre en Atorvastatina sin importar el riesgo real.</w:t>
      </w:r>
    </w:p>
    <w:p>
      <w:pPr>
        <w:numPr>
          <w:ilvl w:val="0"/>
          <w:numId w:val="1053"/>
        </w:numPr>
        <w:pStyle w:val="Compact"/>
      </w:pPr>
      <w:r>
        <w:rPr>
          <w:b/>
        </w:rPr>
        <w:t xml:space="preserve">Por qué:</w:t>
      </w:r>
      <w:r>
        <w:t xml:space="preserve"> </w:t>
      </w:r>
      <w:r>
        <w:t xml:space="preserve">corrige que un paciente de riesgo MODERADO/BAJO recibiera automáticamente alta intensidad quando la guía indica iniciar con intensidad moderada.</w:t>
      </w:r>
    </w:p>
    <w:p>
      <w:pPr>
        <w:numPr>
          <w:ilvl w:val="0"/>
          <w:numId w:val="1053"/>
        </w:numPr>
        <w:pStyle w:val="Compact"/>
      </w:pPr>
      <w:r>
        <w:rPr>
          <w:b/>
        </w:rPr>
        <w:t xml:space="preserve">Fuente:</w:t>
      </w:r>
      <w:r>
        <w:t xml:space="preserve"> </w:t>
      </w:r>
      <w:r>
        <w:t xml:space="preserve">guía de riesgo lipídico ya citada en</w:t>
      </w:r>
      <w:r>
        <w:t xml:space="preserve"> </w:t>
      </w:r>
      <w:r>
        <w:rPr>
          <w:rStyle w:val="VerbatimChar"/>
        </w:rPr>
        <w:t xml:space="preserve">classifyLipidRisk</w:t>
      </w:r>
      <w:r>
        <w:t xml:space="preserve"> </w:t>
      </w:r>
      <w:r>
        <w:t xml:space="preserve">(Guía de Dislipidemia 2026).</w:t>
      </w:r>
    </w:p>
    <w:p>
      <w:pPr>
        <w:numPr>
          <w:ilvl w:val="0"/>
          <w:numId w:val="1053"/>
        </w:numPr>
        <w:pStyle w:val="Compact"/>
      </w:pPr>
      <w:r>
        <w:rPr>
          <w:b/>
        </w:rPr>
        <w:t xml:space="preserve">Versión de la fuente:</w:t>
      </w:r>
      <w:r>
        <w:t xml:space="preserve"> </w:t>
      </w:r>
      <w:r>
        <w:t xml:space="preserve">2026.</w:t>
      </w:r>
    </w:p>
    <w:p>
      <w:pPr>
        <w:numPr>
          <w:ilvl w:val="0"/>
          <w:numId w:val="1053"/>
        </w:numPr>
        <w:pStyle w:val="Compact"/>
      </w:pPr>
      <w:r>
        <w:rPr>
          <w:b/>
        </w:rPr>
        <w:t xml:space="preserve">Fecha de revisión:</w:t>
      </w:r>
      <w:r>
        <w:t xml:space="preserve"> </w:t>
      </w:r>
      <w:r>
        <w:t xml:space="preserve">“</w:t>
      </w:r>
      <w:r>
        <w:t xml:space="preserve">misma auditoría de guías, hallazgo tras la pregunta IECA vs ARA-II</w:t>
      </w:r>
      <w:r>
        <w:t xml:space="preserve">”</w:t>
      </w:r>
      <w:r>
        <w:t xml:space="preserve"> </w:t>
      </w:r>
      <w:r>
        <w:t xml:space="preserve">— sin fecha exacta en este comentario puntual.</w:t>
      </w:r>
    </w:p>
    <w:p>
      <w:pPr>
        <w:numPr>
          <w:ilvl w:val="0"/>
          <w:numId w:val="1053"/>
        </w:numPr>
        <w:pStyle w:val="Compact"/>
      </w:pPr>
      <w:r>
        <w:rPr>
          <w:b/>
        </w:rPr>
        <w:t xml:space="preserve">Quién revisó:</w:t>
      </w:r>
      <w:r>
        <w:t xml:space="preserve"> </w:t>
      </w:r>
      <w:r>
        <w:t xml:space="preserve">contextual a la sesión donde el Dr. Ortega preguntó sobre IECA vs ARA-II, sin atribución nominal directa en esta línea.</w:t>
      </w:r>
    </w:p>
    <w:p>
      <w:pPr>
        <w:numPr>
          <w:ilvl w:val="0"/>
          <w:numId w:val="1053"/>
        </w:numPr>
        <w:pStyle w:val="Compact"/>
      </w:pPr>
      <w:r>
        <w:rPr>
          <w:b/>
        </w:rPr>
        <w:t xml:space="preserve">Casos que la validan:</w:t>
      </w:r>
      <w:r>
        <w:t xml:space="preserve"> </w:t>
      </w:r>
      <w:r>
        <w:t xml:space="preserve">C1 (ASCVD+LDL140, virgen → alta intensidad).</w:t>
      </w:r>
    </w:p>
    <w:p>
      <w:pPr>
        <w:numPr>
          <w:ilvl w:val="0"/>
          <w:numId w:val="1053"/>
        </w:numPr>
        <w:pStyle w:val="Compact"/>
      </w:pPr>
      <w:r>
        <w:rPr>
          <w:b/>
        </w:rPr>
        <w:t xml:space="preserve">Excepciones:</w:t>
      </w:r>
      <w:r>
        <w:t xml:space="preserve"> </w:t>
      </w:r>
      <w:r>
        <w:t xml:space="preserve">ninguna adicional.</w:t>
      </w:r>
    </w:p>
    <w:p>
      <w:pPr>
        <w:numPr>
          <w:ilvl w:val="0"/>
          <w:numId w:val="1053"/>
        </w:numPr>
        <w:pStyle w:val="Compact"/>
      </w:pPr>
      <w:r>
        <w:rPr>
          <w:b/>
        </w:rPr>
        <w:t xml:space="preserve">Qué faltan datos:</w:t>
      </w:r>
      <w:r>
        <w:t xml:space="preserve"> </w:t>
      </w:r>
      <w:r>
        <w:t xml:space="preserve">depende de la clasificación de riesgo previa (2.2), hereda sus huecos.</w:t>
      </w:r>
    </w:p>
    <w:p>
      <w:pPr>
        <w:numPr>
          <w:ilvl w:val="0"/>
          <w:numId w:val="1053"/>
        </w:numPr>
        <w:pStyle w:val="Compact"/>
      </w:pPr>
      <w:r>
        <w:rPr>
          <w:b/>
        </w:rPr>
        <w:t xml:space="preserve">Discrepancia entre guías:</w:t>
      </w:r>
      <w:r>
        <w:t xml:space="preserve"> </w:t>
      </w:r>
      <w:r>
        <w:t xml:space="preserve">no aplica en esta línea puntual.</w:t>
      </w:r>
    </w:p>
    <w:p>
      <w:pPr>
        <w:pStyle w:val="Heading3"/>
      </w:pPr>
      <w:bookmarkStart w:id="80" w:name="Xb9196fde01110b457b6e6c9bcb21f2d50f17eb7"/>
      <w:r>
        <w:t xml:space="preserve">7.3 Deprioritización de Atorvastatina por interacción con TARV (delegada a</w:t>
      </w:r>
      <w:r>
        <w:t xml:space="preserve"> </w:t>
      </w:r>
      <w:r>
        <w:rPr>
          <w:rStyle w:val="VerbatimChar"/>
        </w:rPr>
        <w:t xml:space="preserve">hiv-art.js</w:t>
      </w:r>
      <w:r>
        <w:t xml:space="preserve">)</w:t>
      </w:r>
      <w:bookmarkEnd w:id="80"/>
    </w:p>
    <w:p>
      <w:pPr>
        <w:numPr>
          <w:ilvl w:val="0"/>
          <w:numId w:val="1054"/>
        </w:numPr>
        <w:pStyle w:val="Compact"/>
      </w:pPr>
      <w:r>
        <w:rPr>
          <w:b/>
        </w:rPr>
        <w:t xml:space="preserve">Qué hace:</w:t>
      </w:r>
      <w:r>
        <w:t xml:space="preserve"> </w:t>
      </w:r>
      <w:r>
        <w:rPr>
          <w:rStyle w:val="VerbatimChar"/>
        </w:rPr>
        <w:t xml:space="preserve">deprioritizeAtorvastatinIfHivArt(statinPool, flags)</w:t>
      </w:r>
      <w:r>
        <w:t xml:space="preserve"> </w:t>
      </w:r>
      <w:r>
        <w:t xml:space="preserve">se aplica ANTES de</w:t>
      </w:r>
      <w:r>
        <w:t xml:space="preserve"> </w:t>
      </w:r>
      <w:r>
        <w:rPr>
          <w:rStyle w:val="VerbatimChar"/>
        </w:rPr>
        <w:t xml:space="preserve">rankByAccess</w:t>
      </w:r>
      <w:r>
        <w:t xml:space="preserve"> </w:t>
      </w:r>
      <w:r>
        <w:t xml:space="preserve">para que la preferencia clínica (menor interacción CYP3A4) gane sobre el desempate por costo/acceso.</w:t>
      </w:r>
    </w:p>
    <w:p>
      <w:pPr>
        <w:numPr>
          <w:ilvl w:val="0"/>
          <w:numId w:val="1054"/>
        </w:numPr>
        <w:pStyle w:val="Compact"/>
      </w:pPr>
      <w:r>
        <w:rPr>
          <w:b/>
        </w:rPr>
        <w:t xml:space="preserve">Por qué:</w:t>
      </w:r>
      <w:r>
        <w:t xml:space="preserve"> </w:t>
      </w:r>
      <w:r>
        <w:t xml:space="preserve">interacción CYP3A4 con TARV inhibidor de proteasa/cobicistat.</w:t>
      </w:r>
    </w:p>
    <w:p>
      <w:pPr>
        <w:numPr>
          <w:ilvl w:val="0"/>
          <w:numId w:val="1054"/>
        </w:numPr>
        <w:pStyle w:val="Compact"/>
      </w:pPr>
      <w:r>
        <w:rPr>
          <w:b/>
        </w:rPr>
        <w:t xml:space="preserve">Fuente:</w:t>
      </w:r>
      <w:r>
        <w:t xml:space="preserve"> </w:t>
      </w:r>
      <w:r>
        <w:t xml:space="preserve">delegada a</w:t>
      </w:r>
      <w:r>
        <w:t xml:space="preserve"> </w:t>
      </w:r>
      <w:r>
        <w:rPr>
          <w:rStyle w:val="VerbatimChar"/>
        </w:rPr>
        <w:t xml:space="preserve">hiv-art.js</w:t>
      </w:r>
      <w:r>
        <w:t xml:space="preserve">.</w:t>
      </w:r>
    </w:p>
    <w:p>
      <w:pPr>
        <w:numPr>
          <w:ilvl w:val="0"/>
          <w:numId w:val="1054"/>
        </w:numPr>
        <w:pStyle w:val="Compact"/>
      </w:pPr>
      <w:r>
        <w:rPr>
          <w:b/>
        </w:rPr>
        <w:t xml:space="preserve">Versión de la fuente:</w:t>
      </w:r>
      <w:r>
        <w:t xml:space="preserve"> </w:t>
      </w:r>
      <w:r>
        <w:t xml:space="preserve">No especificada en este archivo.</w:t>
      </w:r>
    </w:p>
    <w:p>
      <w:pPr>
        <w:numPr>
          <w:ilvl w:val="0"/>
          <w:numId w:val="1054"/>
        </w:numPr>
        <w:pStyle w:val="Compact"/>
      </w:pPr>
      <w:r>
        <w:rPr>
          <w:b/>
        </w:rPr>
        <w:t xml:space="preserve">Fecha de revisión:</w:t>
      </w:r>
      <w:r>
        <w:t xml:space="preserve"> </w:t>
      </w:r>
      <w:r>
        <w:t xml:space="preserve">Caso 54, 10-ago-2026 (referencia</w:t>
      </w:r>
      <w:r>
        <w:t xml:space="preserve"> </w:t>
      </w:r>
      <w:r>
        <w:t xml:space="preserve">“</w:t>
      </w:r>
      <w:r>
        <w:t xml:space="preserve">DOMINIO 5</w:t>
      </w:r>
      <w:r>
        <w:t xml:space="preserve">”</w:t>
      </w:r>
      <w:r>
        <w:t xml:space="preserve">).</w:t>
      </w:r>
    </w:p>
    <w:p>
      <w:pPr>
        <w:numPr>
          <w:ilvl w:val="0"/>
          <w:numId w:val="1054"/>
        </w:numPr>
        <w:pStyle w:val="Compact"/>
      </w:pPr>
      <w:r>
        <w:rPr>
          <w:b/>
        </w:rPr>
        <w:t xml:space="preserve">Quién revisó:</w:t>
      </w:r>
      <w:r>
        <w:t xml:space="preserve"> </w:t>
      </w:r>
      <w:r>
        <w:t xml:space="preserve">No especificado nominalmente en esta línea puntual del archivo (aunque el patrón general del Dominio 5 es atribuido en otras partes al mismo ciclo de auditoría del Dr. Ortega).</w:t>
      </w:r>
    </w:p>
    <w:p>
      <w:pPr>
        <w:numPr>
          <w:ilvl w:val="0"/>
          <w:numId w:val="1054"/>
        </w:numPr>
        <w:pStyle w:val="Compact"/>
      </w:pPr>
      <w:r>
        <w:rPr>
          <w:b/>
        </w:rPr>
        <w:t xml:space="preserve">Casos que la validan:</w:t>
      </w:r>
      <w:r>
        <w:t xml:space="preserve"> </w:t>
      </w:r>
      <w:r>
        <w:t xml:space="preserve">Caso 54 (edge-cases) —</w:t>
      </w:r>
      <w:r>
        <w:t xml:space="preserve"> </w:t>
      </w:r>
      <w:r>
        <w:t xml:space="preserve">“</w:t>
      </w:r>
      <w:r>
        <w:t xml:space="preserve">riesgo alto + TARV IP → evita Atorvastatina, prefiere Rosuvastatina</w:t>
      </w:r>
      <w:r>
        <w:t xml:space="preserve">”</w:t>
      </w:r>
      <w:r>
        <w:t xml:space="preserve">.</w:t>
      </w:r>
    </w:p>
    <w:p>
      <w:pPr>
        <w:numPr>
          <w:ilvl w:val="0"/>
          <w:numId w:val="1054"/>
        </w:numPr>
        <w:pStyle w:val="Compact"/>
      </w:pPr>
      <w:r>
        <w:rPr>
          <w:b/>
        </w:rPr>
        <w:t xml:space="preserve">Excepciones:</w:t>
      </w:r>
      <w:r>
        <w:t xml:space="preserve"> </w:t>
      </w:r>
      <w:r>
        <w:t xml:space="preserve">solo afecta el orden/exclusión de Atorvastatina, no bloquea la clase completa de estatinas.</w:t>
      </w:r>
    </w:p>
    <w:p>
      <w:pPr>
        <w:numPr>
          <w:ilvl w:val="0"/>
          <w:numId w:val="1054"/>
        </w:numPr>
        <w:pStyle w:val="Compact"/>
      </w:pPr>
      <w:r>
        <w:rPr>
          <w:b/>
        </w:rPr>
        <w:t xml:space="preserve">Qué faltan datos:</w:t>
      </w:r>
      <w:r>
        <w:t xml:space="preserve"> </w:t>
      </w:r>
      <w:r>
        <w:t xml:space="preserve">no evaluable en detalle sin leer</w:t>
      </w:r>
      <w:r>
        <w:t xml:space="preserve"> </w:t>
      </w:r>
      <w:r>
        <w:rPr>
          <w:rStyle w:val="VerbatimChar"/>
        </w:rPr>
        <w:t xml:space="preserve">hiv-art.js</w:t>
      </w:r>
      <w:r>
        <w:t xml:space="preserve">.</w:t>
      </w:r>
    </w:p>
    <w:p>
      <w:pPr>
        <w:numPr>
          <w:ilvl w:val="0"/>
          <w:numId w:val="1054"/>
        </w:numPr>
        <w:pStyle w:val="Compact"/>
      </w:pPr>
      <w:r>
        <w:rPr>
          <w:b/>
        </w:rPr>
        <w:t xml:space="preserve">Discrepancia entre guías:</w:t>
      </w:r>
      <w:r>
        <w:t xml:space="preserve"> </w:t>
      </w:r>
      <w:r>
        <w:t xml:space="preserve">no aplica en este archivo.</w:t>
      </w:r>
    </w:p>
    <w:p>
      <w:pPr>
        <w:pStyle w:val="Heading3"/>
      </w:pPr>
      <w:bookmarkStart w:id="81" w:name="Xc7961fdc0348edc7cad8695b96fc9bc0d4b00df"/>
      <w:r>
        <w:t xml:space="preserve">7.4 Estatina indicada = false → solo estilo de vida</w:t>
      </w:r>
      <w:bookmarkEnd w:id="81"/>
    </w:p>
    <w:p>
      <w:pPr>
        <w:numPr>
          <w:ilvl w:val="0"/>
          <w:numId w:val="1055"/>
        </w:numPr>
        <w:pStyle w:val="Compact"/>
      </w:pPr>
      <w:r>
        <w:rPr>
          <w:b/>
        </w:rPr>
        <w:t xml:space="preserve">Qué hace:</w:t>
      </w:r>
      <w:r>
        <w:t xml:space="preserve"> </w:t>
      </w:r>
      <w:r>
        <w:t xml:space="preserve">si</w:t>
      </w:r>
      <w:r>
        <w:t xml:space="preserve"> </w:t>
      </w:r>
      <w:r>
        <w:rPr>
          <w:rStyle w:val="VerbatimChar"/>
        </w:rPr>
        <w:t xml:space="preserve">classifyLipidRisk</w:t>
      </w:r>
      <w:r>
        <w:t xml:space="preserve"> </w:t>
      </w:r>
      <w:r>
        <w:t xml:space="preserve">determina</w:t>
      </w:r>
      <w:r>
        <w:t xml:space="preserve"> </w:t>
      </w:r>
      <w:r>
        <w:rPr>
          <w:rStyle w:val="VerbatimChar"/>
        </w:rPr>
        <w:t xml:space="preserve">statinIndicated === false</w:t>
      </w:r>
      <w:r>
        <w:t xml:space="preserve"> </w:t>
      </w:r>
      <w:r>
        <w:t xml:space="preserve">(riesgo &lt;3% sin LDL 160-189) y el paciente no tiene estatina actual, recomienda</w:t>
      </w:r>
      <w:r>
        <w:t xml:space="preserve"> </w:t>
      </w:r>
      <w:r>
        <w:t xml:space="preserve">“</w:t>
      </w:r>
      <w:r>
        <w:t xml:space="preserve">(Ninguno) — Refuerzo de estilo de vida</w:t>
      </w:r>
      <w:r>
        <w:t xml:space="preserve">”</w:t>
      </w:r>
      <w:r>
        <w:t xml:space="preserve"> </w:t>
      </w:r>
      <w:r>
        <w:t xml:space="preserve">en vez de cualquier fármaco.</w:t>
      </w:r>
    </w:p>
    <w:p>
      <w:pPr>
        <w:numPr>
          <w:ilvl w:val="0"/>
          <w:numId w:val="1055"/>
        </w:numPr>
        <w:pStyle w:val="Compact"/>
      </w:pPr>
      <w:r>
        <w:rPr>
          <w:b/>
        </w:rPr>
        <w:t xml:space="preserve">Por qué:</w:t>
      </w:r>
      <w:r>
        <w:t xml:space="preserve"> </w:t>
      </w:r>
      <w:r>
        <w:t xml:space="preserve">antes el motor recomendaba una estatina moderada a CUALQUIER paciente sin excepción, sin importar qué tan bajo fuera su riesgo real — este es el único caso donde</w:t>
      </w:r>
      <w:r>
        <w:t xml:space="preserve"> </w:t>
      </w:r>
      <w:r>
        <w:t xml:space="preserve">“</w:t>
      </w:r>
      <w:r>
        <w:t xml:space="preserve">ningún fármaco</w:t>
      </w:r>
      <w:r>
        <w:t xml:space="preserve">”</w:t>
      </w:r>
      <w:r>
        <w:t xml:space="preserve"> </w:t>
      </w:r>
      <w:r>
        <w:t xml:space="preserve">es la recomendación correcta.</w:t>
      </w:r>
    </w:p>
    <w:p>
      <w:pPr>
        <w:numPr>
          <w:ilvl w:val="0"/>
          <w:numId w:val="1055"/>
        </w:numPr>
        <w:pStyle w:val="Compact"/>
      </w:pPr>
      <w:r>
        <w:rPr>
          <w:b/>
        </w:rPr>
        <w:t xml:space="preserve">Fuente:</w:t>
      </w:r>
      <w:r>
        <w:t xml:space="preserve"> </w:t>
      </w:r>
      <w:r>
        <w:t xml:space="preserve">Guía de Dislipidemia 2026 (misma fuente de la clasificación de riesgo, 2.2).</w:t>
      </w:r>
    </w:p>
    <w:p>
      <w:pPr>
        <w:numPr>
          <w:ilvl w:val="0"/>
          <w:numId w:val="1055"/>
        </w:numPr>
        <w:pStyle w:val="Compact"/>
      </w:pPr>
      <w:r>
        <w:rPr>
          <w:b/>
        </w:rPr>
        <w:t xml:space="preserve">Versión de la fuente:</w:t>
      </w:r>
      <w:r>
        <w:t xml:space="preserve"> </w:t>
      </w:r>
      <w:r>
        <w:t xml:space="preserve">2026.</w:t>
      </w:r>
    </w:p>
    <w:p>
      <w:pPr>
        <w:numPr>
          <w:ilvl w:val="0"/>
          <w:numId w:val="1055"/>
        </w:numPr>
        <w:pStyle w:val="Compact"/>
      </w:pPr>
      <w:r>
        <w:rPr>
          <w:b/>
        </w:rPr>
        <w:t xml:space="preserve">Fecha de revisión:</w:t>
      </w:r>
      <w:r>
        <w:t xml:space="preserve"> </w:t>
      </w:r>
      <w:r>
        <w:t xml:space="preserve">parte de la integración PREVENT-ASCVD (misma ronda que 2.2).</w:t>
      </w:r>
    </w:p>
    <w:p>
      <w:pPr>
        <w:numPr>
          <w:ilvl w:val="0"/>
          <w:numId w:val="1055"/>
        </w:numPr>
        <w:pStyle w:val="Compact"/>
      </w:pPr>
      <w:r>
        <w:rPr>
          <w:b/>
        </w:rPr>
        <w:t xml:space="preserve">Quién revisó:</w:t>
      </w:r>
      <w:r>
        <w:t xml:space="preserve"> </w:t>
      </w:r>
      <w:r>
        <w:t xml:space="preserve">No especificado nominalmente en esta línea puntual.</w:t>
      </w:r>
    </w:p>
    <w:p>
      <w:pPr>
        <w:numPr>
          <w:ilvl w:val="0"/>
          <w:numId w:val="1055"/>
        </w:numPr>
        <w:pStyle w:val="Compact"/>
      </w:pPr>
      <w:r>
        <w:rPr>
          <w:b/>
        </w:rPr>
        <w:t xml:space="preserve">Casos que la validan:</w:t>
      </w:r>
      <w:r>
        <w:t xml:space="preserve"> </w:t>
      </w:r>
      <w:r>
        <w:t xml:space="preserve">no hay un caso</w:t>
      </w:r>
      <w:r>
        <w:t xml:space="preserve"> </w:t>
      </w:r>
      <w:r>
        <w:rPr>
          <w:rStyle w:val="VerbatimChar"/>
        </w:rPr>
        <w:t xml:space="preserve">check()</w:t>
      </w:r>
      <w:r>
        <w:t xml:space="preserve"> </w:t>
      </w:r>
      <w:r>
        <w:t xml:space="preserve">dedicado explícitamente a</w:t>
      </w:r>
      <w:r>
        <w:t xml:space="preserve"> </w:t>
      </w:r>
      <w:r>
        <w:t xml:space="preserve">“</w:t>
      </w:r>
      <w:r>
        <w:t xml:space="preserve">riesgo &lt;3% sin estatina</w:t>
      </w:r>
      <w:r>
        <w:t xml:space="preserve">”</w:t>
      </w:r>
      <w:r>
        <w:t xml:space="preserve"> </w:t>
      </w:r>
      <w:r>
        <w:t xml:space="preserve">en los 3 archivos revisados — Sin caso de prueba identificado directo (C1-C5 cubren riesgo alto/moderado con estatina indicada).</w:t>
      </w:r>
    </w:p>
    <w:p>
      <w:pPr>
        <w:numPr>
          <w:ilvl w:val="0"/>
          <w:numId w:val="1055"/>
        </w:numPr>
        <w:pStyle w:val="Compact"/>
      </w:pPr>
      <w:r>
        <w:rPr>
          <w:b/>
        </w:rPr>
        <w:t xml:space="preserve">Excepciones:</w:t>
      </w:r>
      <w:r>
        <w:t xml:space="preserve"> </w:t>
      </w:r>
      <w:r>
        <w:t xml:space="preserve">ninguna — es la única rama de</w:t>
      </w:r>
      <w:r>
        <w:t xml:space="preserve"> </w:t>
      </w:r>
      <w:r>
        <w:t xml:space="preserve">“</w:t>
      </w:r>
      <w:r>
        <w:t xml:space="preserve">ningún fármaco</w:t>
      </w:r>
      <w:r>
        <w:t xml:space="preserve">”</w:t>
      </w:r>
      <w:r>
        <w:t xml:space="preserve">.</w:t>
      </w:r>
    </w:p>
    <w:p>
      <w:pPr>
        <w:numPr>
          <w:ilvl w:val="0"/>
          <w:numId w:val="1055"/>
        </w:numPr>
        <w:pStyle w:val="Compact"/>
      </w:pPr>
      <w:r>
        <w:rPr>
          <w:b/>
        </w:rPr>
        <w:t xml:space="preserve">Qué faltan datos:</w:t>
      </w:r>
      <w:r>
        <w:t xml:space="preserve"> </w:t>
      </w:r>
      <w:r>
        <w:t xml:space="preserve">depende de la clasificación previa (2.2), hereda sus huecos de PREVENT-ASCVD opcional.</w:t>
      </w:r>
    </w:p>
    <w:p>
      <w:pPr>
        <w:numPr>
          <w:ilvl w:val="0"/>
          <w:numId w:val="1055"/>
        </w:numPr>
        <w:pStyle w:val="Compact"/>
      </w:pPr>
      <w:r>
        <w:rPr>
          <w:b/>
        </w:rPr>
        <w:t xml:space="preserve">Discrepancia entre guías:</w:t>
      </w:r>
      <w:r>
        <w:t xml:space="preserve"> </w:t>
      </w:r>
      <w:r>
        <w:t xml:space="preserve">no aplica en esta línea puntual.</w:t>
      </w:r>
    </w:p>
    <w:p>
      <w:pPr>
        <w:pStyle w:val="Heading3"/>
      </w:pPr>
      <w:bookmarkStart w:id="82" w:name="X28b3872ae4c8f79aaffe9573edc5f0bd108132b"/>
      <w:r>
        <w:t xml:space="preserve">7.5 Escalar de clase antes de agregar ezetimibe</w:t>
      </w:r>
      <w:bookmarkEnd w:id="82"/>
    </w:p>
    <w:p>
      <w:pPr>
        <w:numPr>
          <w:ilvl w:val="0"/>
          <w:numId w:val="1056"/>
        </w:numPr>
        <w:pStyle w:val="Compact"/>
      </w:pPr>
      <w:r>
        <w:rPr>
          <w:b/>
        </w:rPr>
        <w:t xml:space="preserve">Qué hace:</w:t>
      </w:r>
      <w:r>
        <w:t xml:space="preserve"> </w:t>
      </w:r>
      <w:r>
        <w:t xml:space="preserve">si el paciente se reclasifica a riesgo ALTO/MUY ALTO mientras está en estatina de intensidad MODERADA (incluso a dosis máxima), prioriza cambiar de CLASE a alta intensidad ANTES de agregar ezetimibe.</w:t>
      </w:r>
    </w:p>
    <w:p>
      <w:pPr>
        <w:numPr>
          <w:ilvl w:val="0"/>
          <w:numId w:val="1056"/>
        </w:numPr>
        <w:pStyle w:val="Compact"/>
      </w:pPr>
      <w:r>
        <w:rPr>
          <w:b/>
        </w:rPr>
        <w:t xml:space="preserve">Por qué:</w:t>
      </w:r>
      <w:r>
        <w:t xml:space="preserve"> </w:t>
      </w:r>
      <w:r>
        <w:t xml:space="preserve">antes esto caía directo en</w:t>
      </w:r>
      <w:r>
        <w:t xml:space="preserve"> </w:t>
      </w:r>
      <w:r>
        <w:rPr>
          <w:rStyle w:val="VerbatimChar"/>
        </w:rPr>
        <w:t xml:space="preserve">statinMaxed=true</w:t>
      </w:r>
      <w:r>
        <w:t xml:space="preserve"> </w:t>
      </w:r>
      <w:r>
        <w:t xml:space="preserve">→ saltaba a ofrecer ezetimibe sin pasar por el escalonamiento que exige la guía.</w:t>
      </w:r>
    </w:p>
    <w:p>
      <w:pPr>
        <w:numPr>
          <w:ilvl w:val="0"/>
          <w:numId w:val="1056"/>
        </w:numPr>
        <w:pStyle w:val="Compact"/>
      </w:pPr>
      <w:r>
        <w:rPr>
          <w:b/>
        </w:rPr>
        <w:t xml:space="preserve">Fuente:</w:t>
      </w:r>
      <w:r>
        <w:t xml:space="preserve"> </w:t>
      </w:r>
      <w:r>
        <w:t xml:space="preserve">ACC/AHA 2018 (citada explícitamente para este paso de escalonamiento, no la Guía de Dislipidemia 2026 usada para la clasificación de riesgo en sí — nótese la mezcla de fuentes entre clasificación 2026 y escalonamiento 2018).</w:t>
      </w:r>
    </w:p>
    <w:p>
      <w:pPr>
        <w:numPr>
          <w:ilvl w:val="0"/>
          <w:numId w:val="1056"/>
        </w:numPr>
        <w:pStyle w:val="Compact"/>
      </w:pPr>
      <w:r>
        <w:rPr>
          <w:b/>
        </w:rPr>
        <w:t xml:space="preserve">Versión de la fuente:</w:t>
      </w:r>
      <w:r>
        <w:t xml:space="preserve"> </w:t>
      </w:r>
      <w:r>
        <w:t xml:space="preserve">2018 (para el escalonamiento).</w:t>
      </w:r>
    </w:p>
    <w:p>
      <w:pPr>
        <w:numPr>
          <w:ilvl w:val="0"/>
          <w:numId w:val="1056"/>
        </w:numPr>
        <w:pStyle w:val="Compact"/>
      </w:pPr>
      <w:r>
        <w:rPr>
          <w:b/>
        </w:rPr>
        <w:t xml:space="preserve">Fecha de revisión:</w:t>
      </w:r>
      <w:r>
        <w:t xml:space="preserve"> </w:t>
      </w:r>
      <w:r>
        <w:t xml:space="preserve">“</w:t>
      </w:r>
      <w:r>
        <w:t xml:space="preserve">mismo hallazgo</w:t>
      </w:r>
      <w:r>
        <w:t xml:space="preserve">”</w:t>
      </w:r>
      <w:r>
        <w:t xml:space="preserve"> </w:t>
      </w:r>
      <w:r>
        <w:t xml:space="preserve">sin fecha exacta en este comentario puntual.</w:t>
      </w:r>
    </w:p>
    <w:p>
      <w:pPr>
        <w:numPr>
          <w:ilvl w:val="0"/>
          <w:numId w:val="1056"/>
        </w:numPr>
        <w:pStyle w:val="Compact"/>
      </w:pPr>
      <w:r>
        <w:rPr>
          <w:b/>
        </w:rPr>
        <w:t xml:space="preserve">Quién revisó:</w:t>
      </w:r>
      <w:r>
        <w:t xml:space="preserve"> </w:t>
      </w:r>
      <w:r>
        <w:t xml:space="preserve">No especificado.</w:t>
      </w:r>
    </w:p>
    <w:p>
      <w:pPr>
        <w:numPr>
          <w:ilvl w:val="0"/>
          <w:numId w:val="1056"/>
        </w:numPr>
        <w:pStyle w:val="Compact"/>
      </w:pPr>
      <w:r>
        <w:rPr>
          <w:b/>
        </w:rPr>
        <w:t xml:space="preserve">Casos que la validan:</w:t>
      </w:r>
      <w:r>
        <w:t xml:space="preserve"> </w:t>
      </w:r>
      <w:r>
        <w:t xml:space="preserve">Sin caso de prueba identificado con reclasificación de riesgo en un paciente ya en estatina moderada en los 3 archivos revisados.</w:t>
      </w:r>
    </w:p>
    <w:p>
      <w:pPr>
        <w:numPr>
          <w:ilvl w:val="0"/>
          <w:numId w:val="1056"/>
        </w:numPr>
        <w:pStyle w:val="Compact"/>
      </w:pPr>
      <w:r>
        <w:rPr>
          <w:b/>
        </w:rPr>
        <w:t xml:space="preserve">Excepciones:</w:t>
      </w:r>
      <w:r>
        <w:t xml:space="preserve"> </w:t>
      </w:r>
      <w:r>
        <w:t xml:space="preserve">ninguna adicional.</w:t>
      </w:r>
    </w:p>
    <w:p>
      <w:pPr>
        <w:numPr>
          <w:ilvl w:val="0"/>
          <w:numId w:val="1056"/>
        </w:numPr>
        <w:pStyle w:val="Compact"/>
      </w:pPr>
      <w:r>
        <w:rPr>
          <w:b/>
        </w:rPr>
        <w:t xml:space="preserve">Qué faltan datos:</w:t>
      </w:r>
      <w:r>
        <w:t xml:space="preserve"> </w:t>
      </w:r>
      <w:r>
        <w:t xml:space="preserve">depende de la reclasificación previa (2.2).</w:t>
      </w:r>
    </w:p>
    <w:p>
      <w:pPr>
        <w:numPr>
          <w:ilvl w:val="0"/>
          <w:numId w:val="1056"/>
        </w:numPr>
        <w:pStyle w:val="Compact"/>
      </w:pPr>
      <w:r>
        <w:rPr>
          <w:b/>
        </w:rPr>
        <w:t xml:space="preserve">Discrepancia entre guías — CASO OBSERVADO EN ESTA AUDITORÍA:</w:t>
      </w:r>
      <w:r>
        <w:t xml:space="preserve"> </w:t>
      </w:r>
      <w:r>
        <w:t xml:space="preserve">el motor usa la Guía de Dislipidemia 2026 para clasificar el nivel de riesgo, pero ACC/AHA 2018 para decidir el ORDEN del escalonamiento (clase antes que add-on). El código no comenta explícitamente por qué se usa una guía de 2018 para el orden de escalonamiento junto a una de 2026 para el riesgo — es una combinación de fuentes de distintos años que no está justificada ni señalada como tal en el comentario (a diferencia del caso PREVENT, donde la discrepancia SÍ se documenta extensamente). Esto se marca aquí como un hallazgo de esta auditoría, no como algo ya resuelto por el equipo.</w:t>
      </w:r>
    </w:p>
    <w:p>
      <w:pPr>
        <w:pStyle w:val="Heading3"/>
      </w:pPr>
      <w:bookmarkStart w:id="83" w:name="ezetimibe-add-on-tras-estatina-maxeada"/>
      <w:r>
        <w:t xml:space="preserve">7.6 Ezetimibe (add-on tras estatina maxeada)</w:t>
      </w:r>
      <w:bookmarkEnd w:id="83"/>
    </w:p>
    <w:p>
      <w:pPr>
        <w:numPr>
          <w:ilvl w:val="0"/>
          <w:numId w:val="1057"/>
        </w:numPr>
        <w:pStyle w:val="Compact"/>
      </w:pPr>
      <w:r>
        <w:rPr>
          <w:b/>
        </w:rPr>
        <w:t xml:space="preserve">Qué hace:</w:t>
      </w:r>
      <w:r>
        <w:t xml:space="preserve"> </w:t>
      </w:r>
      <w:r>
        <w:t xml:space="preserve">solo si</w:t>
      </w:r>
      <w:r>
        <w:t xml:space="preserve"> </w:t>
      </w:r>
      <w:r>
        <w:rPr>
          <w:rStyle w:val="VerbatimChar"/>
        </w:rPr>
        <w:t xml:space="preserve">statinMaxed</w:t>
      </w:r>
      <w:r>
        <w:t xml:space="preserve"> </w:t>
      </w:r>
      <w:r>
        <w:t xml:space="preserve">Y no hay ezetimibe actual Y</w:t>
      </w:r>
      <w:r>
        <w:t xml:space="preserve"> </w:t>
      </w:r>
      <w:r>
        <w:rPr>
          <w:rStyle w:val="VerbatimChar"/>
        </w:rPr>
        <w:t xml:space="preserve">LDL&gt;0</w:t>
      </w:r>
      <w:r>
        <w:t xml:space="preserve"> </w:t>
      </w:r>
      <w:r>
        <w:t xml:space="preserve">Y</w:t>
      </w:r>
      <w:r>
        <w:t xml:space="preserve"> </w:t>
      </w:r>
      <w:r>
        <w:rPr>
          <w:rStyle w:val="VerbatimChar"/>
        </w:rPr>
        <w:t xml:space="preserve">LDL&gt;target</w:t>
      </w:r>
      <w:r>
        <w:t xml:space="preserve">, agrega ezetimibe.</w:t>
      </w:r>
    </w:p>
    <w:p>
      <w:pPr>
        <w:numPr>
          <w:ilvl w:val="0"/>
          <w:numId w:val="1057"/>
        </w:numPr>
        <w:pStyle w:val="Compact"/>
      </w:pPr>
      <w:r>
        <w:rPr>
          <w:b/>
        </w:rPr>
        <w:t xml:space="preserve">Por qué:</w:t>
      </w:r>
      <w:r>
        <w:t xml:space="preserve"> </w:t>
      </w:r>
      <w:r>
        <w:t xml:space="preserve">ezetimibe NUNCA se agrega en la misma consulta en que se inicia la estatina — solo cuando la estatina actual ya está a dosis máxima y el LDL sigue sobre meta (escalonamiento estricto documentado en el comentario de cabecera de toda la función).</w:t>
      </w:r>
    </w:p>
    <w:p>
      <w:pPr>
        <w:numPr>
          <w:ilvl w:val="0"/>
          <w:numId w:val="1057"/>
        </w:numPr>
        <w:pStyle w:val="Compact"/>
      </w:pPr>
      <w:r>
        <w:rPr>
          <w:b/>
        </w:rPr>
        <w:t xml:space="preserve">Fuente:</w:t>
      </w:r>
      <w:r>
        <w:t xml:space="preserve"> </w:t>
      </w:r>
      <w:r>
        <w:t xml:space="preserve">escalonamiento ACC/AHA (mismo marco de 7.5).</w:t>
      </w:r>
    </w:p>
    <w:p>
      <w:pPr>
        <w:numPr>
          <w:ilvl w:val="0"/>
          <w:numId w:val="1057"/>
        </w:numPr>
        <w:pStyle w:val="Compact"/>
      </w:pPr>
      <w:r>
        <w:rPr>
          <w:b/>
        </w:rPr>
        <w:t xml:space="preserve">Versión de la fuente:</w:t>
      </w:r>
      <w:r>
        <w:t xml:space="preserve"> </w:t>
      </w:r>
      <w:r>
        <w:t xml:space="preserve">No especificada con año exacto en esta línea puntual.</w:t>
      </w:r>
    </w:p>
    <w:p>
      <w:pPr>
        <w:numPr>
          <w:ilvl w:val="0"/>
          <w:numId w:val="1057"/>
        </w:numPr>
        <w:pStyle w:val="Compact"/>
      </w:pPr>
      <w:r>
        <w:rPr>
          <w:b/>
        </w:rPr>
        <w:t xml:space="preserve">Fecha de revisión:</w:t>
      </w:r>
      <w:r>
        <w:t xml:space="preserve"> </w:t>
      </w:r>
      <w:r>
        <w:t xml:space="preserve">Sin fecha propia.</w:t>
      </w:r>
    </w:p>
    <w:p>
      <w:pPr>
        <w:numPr>
          <w:ilvl w:val="0"/>
          <w:numId w:val="1057"/>
        </w:numPr>
        <w:pStyle w:val="Compact"/>
      </w:pPr>
      <w:r>
        <w:rPr>
          <w:b/>
        </w:rPr>
        <w:t xml:space="preserve">Quién revisó:</w:t>
      </w:r>
      <w:r>
        <w:t xml:space="preserve"> </w:t>
      </w:r>
      <w:r>
        <w:t xml:space="preserve">No especificado.</w:t>
      </w:r>
    </w:p>
    <w:p>
      <w:pPr>
        <w:numPr>
          <w:ilvl w:val="0"/>
          <w:numId w:val="1057"/>
        </w:numPr>
        <w:pStyle w:val="Compact"/>
      </w:pPr>
      <w:r>
        <w:rPr>
          <w:b/>
        </w:rPr>
        <w:t xml:space="preserve">Casos que la validan:</w:t>
      </w:r>
      <w:r>
        <w:t xml:space="preserve"> </w:t>
      </w:r>
      <w:r>
        <w:t xml:space="preserve">C2 (</w:t>
      </w:r>
      <w:r>
        <w:t xml:space="preserve">“</w:t>
      </w:r>
      <w:r>
        <w:t xml:space="preserve">Estatina maxeada, LDL sobre meta, sin ASCVD/FH → solo Ezetimibe, sin PCSK9i</w:t>
      </w:r>
      <w:r>
        <w:t xml:space="preserve">”</w:t>
      </w:r>
      <w:r>
        <w:t xml:space="preserve">).</w:t>
      </w:r>
    </w:p>
    <w:p>
      <w:pPr>
        <w:numPr>
          <w:ilvl w:val="0"/>
          <w:numId w:val="1057"/>
        </w:numPr>
        <w:pStyle w:val="Compact"/>
      </w:pPr>
      <w:r>
        <w:rPr>
          <w:b/>
        </w:rPr>
        <w:t xml:space="preserve">Excepciones:</w:t>
      </w:r>
      <w:r>
        <w:t xml:space="preserve"> </w:t>
      </w:r>
      <w:r>
        <w:t xml:space="preserve">ninguna adicional.</w:t>
      </w:r>
    </w:p>
    <w:p>
      <w:pPr>
        <w:numPr>
          <w:ilvl w:val="0"/>
          <w:numId w:val="1057"/>
        </w:numPr>
        <w:pStyle w:val="Compact"/>
      </w:pPr>
      <w:r>
        <w:rPr>
          <w:b/>
        </w:rPr>
        <w:t xml:space="preserve">Qué faltan datos:</w:t>
      </w:r>
      <w:r>
        <w:t xml:space="preserve"> </w:t>
      </w:r>
      <w:r>
        <w:t xml:space="preserve">requiere explícitamente</w:t>
      </w:r>
      <w:r>
        <w:t xml:space="preserve"> </w:t>
      </w:r>
      <w:r>
        <w:rPr>
          <w:rStyle w:val="VerbatimChar"/>
        </w:rPr>
        <w:t xml:space="preserve">v(p.ldl) &gt; 0</w:t>
      </w:r>
      <w:r>
        <w:t xml:space="preserve"> </w:t>
      </w:r>
      <w:r>
        <w:t xml:space="preserve">— si LDL no se capturó, esta regla NO se activa aunque la estatina esté maxeada (a diferencia de otras partes del archivo, aquí SÍ hay una guarda explícita de</w:t>
      </w:r>
      <w:r>
        <w:t xml:space="preserve"> </w:t>
      </w:r>
      <w:r>
        <w:t xml:space="preserve">“</w:t>
      </w:r>
      <w:r>
        <w:t xml:space="preserve">LDL&gt;0</w:t>
      </w:r>
      <w:r>
        <w:t xml:space="preserve">”</w:t>
      </w:r>
      <w:r>
        <w:t xml:space="preserve"> </w:t>
      </w:r>
      <w:r>
        <w:t xml:space="preserve">que previene actuar sobre un valor cero no medido, comportamiento más seguro que el patrón general de este documento).</w:t>
      </w:r>
    </w:p>
    <w:p>
      <w:pPr>
        <w:numPr>
          <w:ilvl w:val="0"/>
          <w:numId w:val="1057"/>
        </w:numPr>
        <w:pStyle w:val="Compact"/>
      </w:pPr>
      <w:r>
        <w:rPr>
          <w:b/>
        </w:rPr>
        <w:t xml:space="preserve">Discrepancia entre guías:</w:t>
      </w:r>
      <w:r>
        <w:t xml:space="preserve"> </w:t>
      </w:r>
      <w:r>
        <w:t xml:space="preserve">no aplica en esta línea puntual.</w:t>
      </w:r>
    </w:p>
    <w:p>
      <w:pPr>
        <w:pStyle w:val="Heading3"/>
      </w:pPr>
      <w:bookmarkStart w:id="84" w:name="pcsk9i-escalación-final"/>
      <w:r>
        <w:t xml:space="preserve">7.7 PCSK9i (escalación final)</w:t>
      </w:r>
      <w:bookmarkEnd w:id="84"/>
    </w:p>
    <w:p>
      <w:pPr>
        <w:numPr>
          <w:ilvl w:val="0"/>
          <w:numId w:val="1058"/>
        </w:numPr>
        <w:pStyle w:val="Compact"/>
      </w:pPr>
      <w:r>
        <w:rPr>
          <w:b/>
        </w:rPr>
        <w:t xml:space="preserve">Qué hace:</w:t>
      </w:r>
      <w:r>
        <w:t xml:space="preserve"> </w:t>
      </w:r>
      <w:r>
        <w:t xml:space="preserve">solo si</w:t>
      </w:r>
      <w:r>
        <w:t xml:space="preserve"> </w:t>
      </w:r>
      <w:r>
        <w:rPr>
          <w:rStyle w:val="VerbatimChar"/>
        </w:rPr>
        <w:t xml:space="preserve">statinMaxed</w:t>
      </w:r>
      <w:r>
        <w:t xml:space="preserve"> </w:t>
      </w:r>
      <w:r>
        <w:t xml:space="preserve">Y hay ezetimibe actual Y</w:t>
      </w:r>
      <w:r>
        <w:t xml:space="preserve"> </w:t>
      </w:r>
      <w:r>
        <w:rPr>
          <w:rStyle w:val="VerbatimChar"/>
        </w:rPr>
        <w:t xml:space="preserve">LDL&gt;target</w:t>
      </w:r>
      <w:r>
        <w:t xml:space="preserve"> </w:t>
      </w:r>
      <w:r>
        <w:t xml:space="preserve">Y (</w:t>
      </w:r>
      <w:r>
        <w:rPr>
          <w:rStyle w:val="VerbatimChar"/>
        </w:rPr>
        <w:t xml:space="preserve">flags.ascvd</w:t>
      </w:r>
      <w:r>
        <w:t xml:space="preserve"> </w:t>
      </w:r>
      <w:r>
        <w:t xml:space="preserve">O</w:t>
      </w:r>
      <w:r>
        <w:t xml:space="preserve"> </w:t>
      </w:r>
      <w:r>
        <w:rPr>
          <w:rStyle w:val="VerbatimChar"/>
        </w:rPr>
        <w:t xml:space="preserve">flags.fh</w:t>
      </w:r>
      <w:r>
        <w:t xml:space="preserve">) Y aún no está en Evolocumab/Alirocumab, escala a PCSK9i.</w:t>
      </w:r>
    </w:p>
    <w:p>
      <w:pPr>
        <w:numPr>
          <w:ilvl w:val="0"/>
          <w:numId w:val="1058"/>
        </w:numPr>
        <w:pStyle w:val="Compact"/>
      </w:pPr>
      <w:r>
        <w:rPr>
          <w:b/>
        </w:rPr>
        <w:t xml:space="preserve">Por qué:</w:t>
      </w:r>
      <w:r>
        <w:t xml:space="preserve"> </w:t>
      </w:r>
      <w:r>
        <w:t xml:space="preserve">el gap de datos de</w:t>
      </w:r>
      <w:r>
        <w:t xml:space="preserve"> </w:t>
      </w:r>
      <w:r>
        <w:t xml:space="preserve">“</w:t>
      </w:r>
      <w:r>
        <w:t xml:space="preserve">FH</w:t>
      </w:r>
      <w:r>
        <w:t xml:space="preserve">”</w:t>
      </w:r>
      <w:r>
        <w:t xml:space="preserve"> </w:t>
      </w:r>
      <w:r>
        <w:t xml:space="preserve">(hipercolesterolemia familiar) que antes impedía escalar a PCSK9i en pacientes sin ASCVD establecida ya se cerró con</w:t>
      </w:r>
      <w:r>
        <w:t xml:space="preserve"> </w:t>
      </w:r>
      <w:r>
        <w:rPr>
          <w:rStyle w:val="VerbatimChar"/>
        </w:rPr>
        <w:t xml:space="preserve">flags.fh</w:t>
      </w:r>
      <w:r>
        <w:t xml:space="preserve">.</w:t>
      </w:r>
    </w:p>
    <w:p>
      <w:pPr>
        <w:numPr>
          <w:ilvl w:val="0"/>
          <w:numId w:val="1058"/>
        </w:numPr>
        <w:pStyle w:val="Compact"/>
      </w:pPr>
      <w:r>
        <w:rPr>
          <w:b/>
        </w:rPr>
        <w:t xml:space="preserve">Fuente:</w:t>
      </w:r>
      <w:r>
        <w:t xml:space="preserve"> </w:t>
      </w:r>
      <w:r>
        <w:t xml:space="preserve">escalonamiento del Algorithm Fig. 4 (AACE), citado en el comentario de cabecera de la función.</w:t>
      </w:r>
    </w:p>
    <w:p>
      <w:pPr>
        <w:numPr>
          <w:ilvl w:val="0"/>
          <w:numId w:val="1058"/>
        </w:numPr>
        <w:pStyle w:val="Compact"/>
      </w:pPr>
      <w:r>
        <w:rPr>
          <w:b/>
        </w:rPr>
        <w:t xml:space="preserve">Versión de la fuente:</w:t>
      </w:r>
      <w:r>
        <w:t xml:space="preserve"> </w:t>
      </w:r>
      <w:r>
        <w:t xml:space="preserve">No especificada con año exacto en esta línea.</w:t>
      </w:r>
    </w:p>
    <w:p>
      <w:pPr>
        <w:numPr>
          <w:ilvl w:val="0"/>
          <w:numId w:val="1058"/>
        </w:numPr>
        <w:pStyle w:val="Compact"/>
      </w:pPr>
      <w:r>
        <w:rPr>
          <w:b/>
        </w:rPr>
        <w:t xml:space="preserve">Fecha de revisión:</w:t>
      </w:r>
      <w:r>
        <w:t xml:space="preserve"> </w:t>
      </w:r>
      <w:r>
        <w:t xml:space="preserve">Sin fecha propia en esta línea puntual (el cierre del gap de FH se documenta en</w:t>
      </w:r>
      <w:r>
        <w:t xml:space="preserve"> </w:t>
      </w:r>
      <w:r>
        <w:rPr>
          <w:rStyle w:val="VerbatimChar"/>
        </w:rPr>
        <w:t xml:space="preserve">getPatientFlags</w:t>
      </w:r>
      <w:r>
        <w:t xml:space="preserve">, ver sección 3).</w:t>
      </w:r>
    </w:p>
    <w:p>
      <w:pPr>
        <w:numPr>
          <w:ilvl w:val="0"/>
          <w:numId w:val="1058"/>
        </w:numPr>
        <w:pStyle w:val="Compact"/>
      </w:pPr>
      <w:r>
        <w:rPr>
          <w:b/>
        </w:rPr>
        <w:t xml:space="preserve">Quién revisó:</w:t>
      </w:r>
      <w:r>
        <w:t xml:space="preserve"> </w:t>
      </w:r>
      <w:r>
        <w:t xml:space="preserve">No especificado.</w:t>
      </w:r>
    </w:p>
    <w:p>
      <w:pPr>
        <w:numPr>
          <w:ilvl w:val="0"/>
          <w:numId w:val="1058"/>
        </w:numPr>
        <w:pStyle w:val="Compact"/>
      </w:pPr>
      <w:r>
        <w:rPr>
          <w:b/>
        </w:rPr>
        <w:t xml:space="preserve">Casos que la validan:</w:t>
      </w:r>
      <w:r>
        <w:t xml:space="preserve"> </w:t>
      </w:r>
      <w:r>
        <w:t xml:space="preserve">C3 (</w:t>
      </w:r>
      <w:r>
        <w:t xml:space="preserve">“</w:t>
      </w:r>
      <w:r>
        <w:t xml:space="preserve">Estatina+Ezetimibe maxeados, ASCVD, LDL sobre meta → escala a PCSK9i</w:t>
      </w:r>
      <w:r>
        <w:t xml:space="preserve">”</w:t>
      </w:r>
      <w:r>
        <w:t xml:space="preserve">) — cubre la vía ASCVD; Sin caso de prueba identificado para la vía FH sin ASCVD en los 3 archivos revisados.</w:t>
      </w:r>
    </w:p>
    <w:p>
      <w:pPr>
        <w:numPr>
          <w:ilvl w:val="0"/>
          <w:numId w:val="1058"/>
        </w:numPr>
        <w:pStyle w:val="Compact"/>
      </w:pPr>
      <w:r>
        <w:rPr>
          <w:b/>
        </w:rPr>
        <w:t xml:space="preserve">Excepciones:</w:t>
      </w:r>
      <w:r>
        <w:t xml:space="preserve"> </w:t>
      </w:r>
      <w:r>
        <w:t xml:space="preserve">requiere AMBAS condiciones previas maxeadas (estatina Y ezetimibe), no solo una.</w:t>
      </w:r>
    </w:p>
    <w:p>
      <w:pPr>
        <w:numPr>
          <w:ilvl w:val="0"/>
          <w:numId w:val="1058"/>
        </w:numPr>
        <w:pStyle w:val="Compact"/>
      </w:pPr>
      <w:r>
        <w:rPr>
          <w:b/>
        </w:rPr>
        <w:t xml:space="preserve">Qué faltan datos:</w:t>
      </w:r>
      <w:r>
        <w:t xml:space="preserve"> </w:t>
      </w:r>
      <w:r>
        <w:t xml:space="preserve">requiere</w:t>
      </w:r>
      <w:r>
        <w:t xml:space="preserve"> </w:t>
      </w:r>
      <w:r>
        <w:rPr>
          <w:rStyle w:val="VerbatimChar"/>
        </w:rPr>
        <w:t xml:space="preserve">v(p.ldl) &gt; 0</w:t>
      </w:r>
      <w:r>
        <w:t xml:space="preserve"> </w:t>
      </w:r>
      <w:r>
        <w:t xml:space="preserve">explícitamente (mismo patrón seguro que 7.6); si</w:t>
      </w:r>
      <w:r>
        <w:t xml:space="preserve"> </w:t>
      </w:r>
      <w:r>
        <w:rPr>
          <w:rStyle w:val="VerbatimChar"/>
        </w:rPr>
        <w:t xml:space="preserve">flags.fh</w:t>
      </w:r>
      <w:r>
        <w:t xml:space="preserve"> </w:t>
      </w:r>
      <w:r>
        <w:t xml:space="preserve">no se capturó (antecedente familiar no marcado) y tampoco hay ASCVD, esta regla nunca se activa aunque el paciente tenga FH real no documentada.</w:t>
      </w:r>
    </w:p>
    <w:p>
      <w:pPr>
        <w:numPr>
          <w:ilvl w:val="0"/>
          <w:numId w:val="1058"/>
        </w:numPr>
        <w:pStyle w:val="Compact"/>
      </w:pPr>
      <w:r>
        <w:rPr>
          <w:b/>
        </w:rPr>
        <w:t xml:space="preserve">Discrepancia entre guías:</w:t>
      </w:r>
      <w:r>
        <w:t xml:space="preserve"> </w:t>
      </w:r>
      <w:r>
        <w:t xml:space="preserve">no aplica en esta línea puntual.</w:t>
      </w:r>
    </w:p>
    <w:p>
      <w:pPr>
        <w:pStyle w:val="Heading3"/>
      </w:pPr>
      <w:bookmarkStart w:id="85" w:name="X3bf7d651e1c9fceb80544854eef65cd68a4616d"/>
      <w:r>
        <w:t xml:space="preserve">7.8 Triglicéridos ≥500 → Fenofibrato (prevención de pancreatitis)</w:t>
      </w:r>
      <w:bookmarkEnd w:id="85"/>
    </w:p>
    <w:p>
      <w:pPr>
        <w:numPr>
          <w:ilvl w:val="0"/>
          <w:numId w:val="1059"/>
        </w:numPr>
        <w:pStyle w:val="Compact"/>
      </w:pPr>
      <w:r>
        <w:rPr>
          <w:b/>
        </w:rPr>
        <w:t xml:space="preserve">Qué hace:</w:t>
      </w:r>
      <w:r>
        <w:t xml:space="preserve"> </w:t>
      </w:r>
      <w:r>
        <w:t xml:space="preserve">si</w:t>
      </w:r>
      <w:r>
        <w:t xml:space="preserve"> </w:t>
      </w:r>
      <w:r>
        <w:rPr>
          <w:rStyle w:val="VerbatimChar"/>
        </w:rPr>
        <w:t xml:space="preserve">TG≥500</w:t>
      </w:r>
      <w:r>
        <w:t xml:space="preserve">, agrega Fenofibrato si no está ya en uso.</w:t>
      </w:r>
    </w:p>
    <w:p>
      <w:pPr>
        <w:numPr>
          <w:ilvl w:val="0"/>
          <w:numId w:val="1059"/>
        </w:numPr>
        <w:pStyle w:val="Compact"/>
      </w:pPr>
      <w:r>
        <w:rPr>
          <w:b/>
        </w:rPr>
        <w:t xml:space="preserve">Por qué:</w:t>
      </w:r>
      <w:r>
        <w:t xml:space="preserve"> </w:t>
      </w:r>
      <w:r>
        <w:t xml:space="preserve">prevención de pancreatitis por hipertrigliceridemia severa.</w:t>
      </w:r>
    </w:p>
    <w:p>
      <w:pPr>
        <w:numPr>
          <w:ilvl w:val="0"/>
          <w:numId w:val="1059"/>
        </w:numPr>
        <w:pStyle w:val="Compact"/>
      </w:pPr>
      <w:r>
        <w:rPr>
          <w:b/>
        </w:rPr>
        <w:t xml:space="preserve">Fuente:</w:t>
      </w:r>
      <w:r>
        <w:t xml:space="preserve"> </w:t>
      </w:r>
      <w:r>
        <w:t xml:space="preserve">No especificada con cita puntual de guía en este comentario (umbral de 500 mg/dL es un corte clínico estándar ampliamente reconocido, sin nombre de guía citado en el código).</w:t>
      </w:r>
    </w:p>
    <w:p>
      <w:pPr>
        <w:numPr>
          <w:ilvl w:val="0"/>
          <w:numId w:val="1059"/>
        </w:numPr>
        <w:pStyle w:val="Compact"/>
      </w:pPr>
      <w:r>
        <w:rPr>
          <w:b/>
        </w:rPr>
        <w:t xml:space="preserve">Versión de la fuente:</w:t>
      </w:r>
      <w:r>
        <w:t xml:space="preserve"> </w:t>
      </w:r>
      <w:r>
        <w:t xml:space="preserve">No especificada en el código — pendiente de documentar.</w:t>
      </w:r>
    </w:p>
    <w:p>
      <w:pPr>
        <w:numPr>
          <w:ilvl w:val="0"/>
          <w:numId w:val="1059"/>
        </w:numPr>
        <w:pStyle w:val="Compact"/>
      </w:pPr>
      <w:r>
        <w:rPr>
          <w:b/>
        </w:rPr>
        <w:t xml:space="preserve">Fecha de revisión:</w:t>
      </w:r>
      <w:r>
        <w:t xml:space="preserve"> </w:t>
      </w:r>
      <w:r>
        <w:t xml:space="preserve">Sin fecha registrada.</w:t>
      </w:r>
    </w:p>
    <w:p>
      <w:pPr>
        <w:numPr>
          <w:ilvl w:val="0"/>
          <w:numId w:val="1059"/>
        </w:numPr>
        <w:pStyle w:val="Compact"/>
      </w:pPr>
      <w:r>
        <w:rPr>
          <w:b/>
        </w:rPr>
        <w:t xml:space="preserve">Quién revisó:</w:t>
      </w:r>
      <w:r>
        <w:t xml:space="preserve"> </w:t>
      </w:r>
      <w:r>
        <w:t xml:space="preserve">No especificado.</w:t>
      </w:r>
    </w:p>
    <w:p>
      <w:pPr>
        <w:numPr>
          <w:ilvl w:val="0"/>
          <w:numId w:val="1059"/>
        </w:numPr>
        <w:pStyle w:val="Compact"/>
      </w:pPr>
      <w:r>
        <w:rPr>
          <w:b/>
        </w:rPr>
        <w:t xml:space="preserve">Casos que la validan:</w:t>
      </w:r>
      <w:r>
        <w:t xml:space="preserve"> </w:t>
      </w:r>
      <w:r>
        <w:t xml:space="preserve">C4 (</w:t>
      </w:r>
      <w:r>
        <w:t xml:space="preserve">“</w:t>
      </w:r>
      <w:r>
        <w:t xml:space="preserve">TG 600 → Fenofibrato, sin Icosapent etilo</w:t>
      </w:r>
      <w:r>
        <w:t xml:space="preserve">”</w:t>
      </w:r>
      <w:r>
        <w:t xml:space="preserve">).</w:t>
      </w:r>
    </w:p>
    <w:p>
      <w:pPr>
        <w:numPr>
          <w:ilvl w:val="0"/>
          <w:numId w:val="1059"/>
        </w:numPr>
        <w:pStyle w:val="Compact"/>
      </w:pPr>
      <w:r>
        <w:rPr>
          <w:b/>
        </w:rPr>
        <w:t xml:space="preserve">Excepciones:</w:t>
      </w:r>
      <w:r>
        <w:t xml:space="preserve"> </w:t>
      </w:r>
      <w:r>
        <w:t xml:space="preserve">excluye explícitamente Icosapent etilo en este rango (reservado para TG 150-499).</w:t>
      </w:r>
    </w:p>
    <w:p>
      <w:pPr>
        <w:numPr>
          <w:ilvl w:val="0"/>
          <w:numId w:val="1059"/>
        </w:numPr>
        <w:pStyle w:val="Compact"/>
      </w:pPr>
      <w:r>
        <w:rPr>
          <w:b/>
        </w:rPr>
        <w:t xml:space="preserve">Qué faltan datos:</w:t>
      </w:r>
      <w:r>
        <w:t xml:space="preserve"> </w:t>
      </w:r>
      <w:r>
        <w:t xml:space="preserve">si</w:t>
      </w:r>
      <w:r>
        <w:t xml:space="preserve"> </w:t>
      </w:r>
      <w:r>
        <w:rPr>
          <w:rStyle w:val="VerbatimChar"/>
        </w:rPr>
        <w:t xml:space="preserve">p.trigliceridos</w:t>
      </w:r>
      <w:r>
        <w:t xml:space="preserve"> </w:t>
      </w:r>
      <w:r>
        <w:t xml:space="preserve">no se captura,</w:t>
      </w:r>
      <w:r>
        <w:t xml:space="preserve"> </w:t>
      </w:r>
      <w:r>
        <w:rPr>
          <w:rStyle w:val="VerbatimChar"/>
        </w:rPr>
        <w:t xml:space="preserve">v()</w:t>
      </w:r>
      <w:r>
        <w:t xml:space="preserve"> </w:t>
      </w:r>
      <w:r>
        <w:t xml:space="preserve">lo vuelve</w:t>
      </w:r>
      <w:r>
        <w:t xml:space="preserve"> </w:t>
      </w:r>
      <w:r>
        <w:rPr>
          <w:rStyle w:val="VerbatimChar"/>
        </w:rPr>
        <w:t xml:space="preserve">0</w:t>
      </w:r>
      <w:r>
        <w:t xml:space="preserve">, y</w:t>
      </w:r>
      <w:r>
        <w:t xml:space="preserve"> </w:t>
      </w:r>
      <w:r>
        <w:rPr>
          <w:rStyle w:val="VerbatimChar"/>
        </w:rPr>
        <w:t xml:space="preserve">0&gt;=500</w:t>
      </w:r>
      <w:r>
        <w:t xml:space="preserve"> </w:t>
      </w:r>
      <w:r>
        <w:t xml:space="preserve">es</w:t>
      </w:r>
      <w:r>
        <w:t xml:space="preserve"> </w:t>
      </w:r>
      <w:r>
        <w:rPr>
          <w:rStyle w:val="VerbatimChar"/>
        </w:rPr>
        <w:t xml:space="preserve">false</w:t>
      </w:r>
      <w:r>
        <w:t xml:space="preserve"> </w:t>
      </w:r>
      <w:r>
        <w:t xml:space="preserve">— la regla simplemente no se activa, sin advertencia de</w:t>
      </w:r>
      <w:r>
        <w:t xml:space="preserve"> </w:t>
      </w:r>
      <w:r>
        <w:t xml:space="preserve">“</w:t>
      </w:r>
      <w:r>
        <w:t xml:space="preserve">TG no evaluados</w:t>
      </w:r>
      <w:r>
        <w:t xml:space="preserve">”</w:t>
      </w:r>
      <w:r>
        <w:t xml:space="preserve">.</w:t>
      </w:r>
    </w:p>
    <w:p>
      <w:pPr>
        <w:numPr>
          <w:ilvl w:val="0"/>
          <w:numId w:val="1059"/>
        </w:numPr>
        <w:pStyle w:val="Compact"/>
      </w:pPr>
      <w:r>
        <w:rPr>
          <w:b/>
        </w:rPr>
        <w:t xml:space="preserve">Discrepancia entre guías:</w:t>
      </w:r>
      <w:r>
        <w:t xml:space="preserve"> </w:t>
      </w:r>
      <w:r>
        <w:t xml:space="preserve">no aplica.</w:t>
      </w:r>
    </w:p>
    <w:p>
      <w:pPr>
        <w:pStyle w:val="Heading3"/>
      </w:pPr>
      <w:bookmarkStart w:id="86" w:name="X3809f6f7efeae0c4c3429a7656d0591df817d96"/>
      <w:r>
        <w:t xml:space="preserve">7.9 TG 150-499 + ASCVD + estatina maxeada → Icosapent etilo</w:t>
      </w:r>
      <w:bookmarkEnd w:id="86"/>
    </w:p>
    <w:p>
      <w:pPr>
        <w:numPr>
          <w:ilvl w:val="0"/>
          <w:numId w:val="1060"/>
        </w:numPr>
        <w:pStyle w:val="Compact"/>
      </w:pPr>
      <w:r>
        <w:rPr>
          <w:b/>
        </w:rPr>
        <w:t xml:space="preserve">Qué hace:</w:t>
      </w:r>
      <w:r>
        <w:t xml:space="preserve"> </w:t>
      </w:r>
      <w:r>
        <w:t xml:space="preserve">agrega Icosapent etilo (IPE) si</w:t>
      </w:r>
      <w:r>
        <w:t xml:space="preserve"> </w:t>
      </w:r>
      <w:r>
        <w:rPr>
          <w:rStyle w:val="VerbatimChar"/>
        </w:rPr>
        <w:t xml:space="preserve">150≤TG&lt;500</w:t>
      </w:r>
      <w:r>
        <w:t xml:space="preserve"> </w:t>
      </w:r>
      <w:r>
        <w:t xml:space="preserve">Y</w:t>
      </w:r>
      <w:r>
        <w:t xml:space="preserve"> </w:t>
      </w:r>
      <w:r>
        <w:rPr>
          <w:rStyle w:val="VerbatimChar"/>
        </w:rPr>
        <w:t xml:space="preserve">flags.ascvd</w:t>
      </w:r>
      <w:r>
        <w:t xml:space="preserve"> </w:t>
      </w:r>
      <w:r>
        <w:t xml:space="preserve">Y</w:t>
      </w:r>
      <w:r>
        <w:t xml:space="preserve"> </w:t>
      </w:r>
      <w:r>
        <w:rPr>
          <w:rStyle w:val="VerbatimChar"/>
        </w:rPr>
        <w:t xml:space="preserve">statinMaxed</w:t>
      </w:r>
      <w:r>
        <w:t xml:space="preserve">.</w:t>
      </w:r>
    </w:p>
    <w:p>
      <w:pPr>
        <w:numPr>
          <w:ilvl w:val="0"/>
          <w:numId w:val="1060"/>
        </w:numPr>
        <w:pStyle w:val="Compact"/>
      </w:pPr>
      <w:r>
        <w:rPr>
          <w:b/>
        </w:rPr>
        <w:t xml:space="preserve">Por qué:</w:t>
      </w:r>
      <w:r>
        <w:t xml:space="preserve"> </w:t>
      </w:r>
      <w:r>
        <w:t xml:space="preserve">reduce eventos CV 25% en esta población específica.</w:t>
      </w:r>
    </w:p>
    <w:p>
      <w:pPr>
        <w:numPr>
          <w:ilvl w:val="0"/>
          <w:numId w:val="1060"/>
        </w:numPr>
        <w:pStyle w:val="Compact"/>
      </w:pPr>
      <w:r>
        <w:rPr>
          <w:b/>
        </w:rPr>
        <w:t xml:space="preserve">Fuente:</w:t>
      </w:r>
      <w:r>
        <w:t xml:space="preserve"> </w:t>
      </w:r>
      <w:r>
        <w:t xml:space="preserve">REDUCE-IT (citado explícitamente por nombre del ensayo).</w:t>
      </w:r>
    </w:p>
    <w:p>
      <w:pPr>
        <w:numPr>
          <w:ilvl w:val="0"/>
          <w:numId w:val="1060"/>
        </w:numPr>
        <w:pStyle w:val="Compact"/>
      </w:pPr>
      <w:r>
        <w:rPr>
          <w:b/>
        </w:rPr>
        <w:t xml:space="preserve">Versión de la fuente:</w:t>
      </w:r>
      <w:r>
        <w:t xml:space="preserve"> </w:t>
      </w:r>
      <w:r>
        <w:t xml:space="preserve">No especificada con año de publicación en el comentario.</w:t>
      </w:r>
    </w:p>
    <w:p>
      <w:pPr>
        <w:numPr>
          <w:ilvl w:val="0"/>
          <w:numId w:val="1060"/>
        </w:numPr>
        <w:pStyle w:val="Compact"/>
      </w:pPr>
      <w:r>
        <w:rPr>
          <w:b/>
        </w:rPr>
        <w:t xml:space="preserve">Fecha de revisión:</w:t>
      </w:r>
      <w:r>
        <w:t xml:space="preserve"> </w:t>
      </w:r>
      <w:r>
        <w:t xml:space="preserve">Sin fecha registrada.</w:t>
      </w:r>
    </w:p>
    <w:p>
      <w:pPr>
        <w:numPr>
          <w:ilvl w:val="0"/>
          <w:numId w:val="1060"/>
        </w:numPr>
        <w:pStyle w:val="Compact"/>
      </w:pPr>
      <w:r>
        <w:rPr>
          <w:b/>
        </w:rPr>
        <w:t xml:space="preserve">Quién revisó:</w:t>
      </w:r>
      <w:r>
        <w:t xml:space="preserve"> </w:t>
      </w:r>
      <w:r>
        <w:t xml:space="preserve">No especificado.</w:t>
      </w:r>
    </w:p>
    <w:p>
      <w:pPr>
        <w:numPr>
          <w:ilvl w:val="0"/>
          <w:numId w:val="1060"/>
        </w:numPr>
        <w:pStyle w:val="Compact"/>
      </w:pPr>
      <w:r>
        <w:rPr>
          <w:b/>
        </w:rPr>
        <w:t xml:space="preserve">Casos que la validan:</w:t>
      </w:r>
      <w:r>
        <w:t xml:space="preserve"> </w:t>
      </w:r>
      <w:r>
        <w:t xml:space="preserve">C5 (</w:t>
      </w:r>
      <w:r>
        <w:t xml:space="preserve">“</w:t>
      </w:r>
      <w:r>
        <w:t xml:space="preserve">TG 300 + ASCVD + estatina maxeada → Icosapent Etilo</w:t>
      </w:r>
      <w:r>
        <w:t xml:space="preserve">”</w:t>
      </w:r>
      <w:r>
        <w:t xml:space="preserve">).</w:t>
      </w:r>
    </w:p>
    <w:p>
      <w:pPr>
        <w:numPr>
          <w:ilvl w:val="0"/>
          <w:numId w:val="1060"/>
        </w:numPr>
        <w:pStyle w:val="Compact"/>
      </w:pPr>
      <w:r>
        <w:rPr>
          <w:b/>
        </w:rPr>
        <w:t xml:space="preserve">Excepciones:</w:t>
      </w:r>
      <w:r>
        <w:t xml:space="preserve"> </w:t>
      </w:r>
      <w:r>
        <w:t xml:space="preserve">requiere estatina YA a dosis máxima — documentado también como requisito propio de la ficha del fármaco en</w:t>
      </w:r>
      <w:r>
        <w:t xml:space="preserve"> </w:t>
      </w:r>
      <w:r>
        <w:rPr>
          <w:rStyle w:val="VerbatimChar"/>
        </w:rPr>
        <w:t xml:space="preserve">pharma-db.js</w:t>
      </w:r>
      <w:r>
        <w:t xml:space="preserve"> </w:t>
      </w:r>
      <w:r>
        <w:t xml:space="preserve">(redundancia intencional de seguridad).</w:t>
      </w:r>
    </w:p>
    <w:p>
      <w:pPr>
        <w:numPr>
          <w:ilvl w:val="0"/>
          <w:numId w:val="1060"/>
        </w:numPr>
        <w:pStyle w:val="Compact"/>
      </w:pPr>
      <w:r>
        <w:rPr>
          <w:b/>
        </w:rPr>
        <w:t xml:space="preserve">Qué faltan datos:</w:t>
      </w:r>
      <w:r>
        <w:t xml:space="preserve"> </w:t>
      </w:r>
      <w:r>
        <w:t xml:space="preserve">mismo patrón que 7.8 — TG no capturados quedan como</w:t>
      </w:r>
      <w:r>
        <w:t xml:space="preserve"> </w:t>
      </w:r>
      <w:r>
        <w:rPr>
          <w:rStyle w:val="VerbatimChar"/>
        </w:rPr>
        <w:t xml:space="preserve">0</w:t>
      </w:r>
      <w:r>
        <w:t xml:space="preserve">, fuera del rango, sin advertencia.</w:t>
      </w:r>
    </w:p>
    <w:p>
      <w:pPr>
        <w:numPr>
          <w:ilvl w:val="0"/>
          <w:numId w:val="1060"/>
        </w:numPr>
        <w:pStyle w:val="Compact"/>
      </w:pPr>
      <w:r>
        <w:rPr>
          <w:b/>
        </w:rPr>
        <w:t xml:space="preserve">Discrepancia entre guías:</w:t>
      </w:r>
      <w:r>
        <w:t xml:space="preserve"> </w:t>
      </w:r>
      <w:r>
        <w:t xml:space="preserve">no aplica.</w:t>
      </w:r>
    </w:p>
    <w:p>
      <w:pPr>
        <w:pStyle w:val="Heading3"/>
      </w:pPr>
      <w:bookmarkStart w:id="87" w:name="catch-all-final-lípidos"/>
      <w:r>
        <w:t xml:space="preserve">7.10 Catch-all final Lípidos</w:t>
      </w:r>
      <w:bookmarkEnd w:id="87"/>
    </w:p>
    <w:p>
      <w:pPr>
        <w:numPr>
          <w:ilvl w:val="0"/>
          <w:numId w:val="1061"/>
        </w:numPr>
        <w:pStyle w:val="Compact"/>
      </w:pPr>
      <w:r>
        <w:rPr>
          <w:b/>
        </w:rPr>
        <w:t xml:space="preserve">Qué hace:</w:t>
      </w:r>
      <w:r>
        <w:t xml:space="preserve"> </w:t>
      </w:r>
      <w:r>
        <w:t xml:space="preserve">mismo patrón que 5.11/6.10 — revisa fármacos lipídicos activos no tocados por ninguna rama anterior.</w:t>
      </w:r>
    </w:p>
    <w:p>
      <w:pPr>
        <w:numPr>
          <w:ilvl w:val="0"/>
          <w:numId w:val="1061"/>
        </w:numPr>
        <w:pStyle w:val="Compact"/>
      </w:pPr>
      <w:r>
        <w:rPr>
          <w:b/>
        </w:rPr>
        <w:t xml:space="preserve">Por qué:</w:t>
      </w:r>
      <w:r>
        <w:t xml:space="preserve"> </w:t>
      </w:r>
      <w:r>
        <w:t xml:space="preserve">el ejemplo explícito en el comentario es Fenofibrato/Gemfibrozilo (</w:t>
      </w:r>
      <w:r>
        <w:rPr>
          <w:rStyle w:val="VerbatimChar"/>
        </w:rPr>
        <w:t xml:space="preserve">egfrMin=30</w:t>
      </w:r>
      <w:r>
        <w:t xml:space="preserve">) — esta función nunca tenía ninguna rama de continuación para fibratos, así que un paciente ya en Fenofibrato cuyo eGFR cae después de 30 no recibía ni titulación ni advertencia,</w:t>
      </w:r>
      <w:r>
        <w:t xml:space="preserve"> </w:t>
      </w:r>
      <w:r>
        <w:t xml:space="preserve">“</w:t>
      </w:r>
      <w:r>
        <w:t xml:space="preserve">pasaba en completo silencio</w:t>
      </w:r>
      <w:r>
        <w:t xml:space="preserve">”</w:t>
      </w:r>
      <w:r>
        <w:t xml:space="preserve">.</w:t>
      </w:r>
    </w:p>
    <w:p>
      <w:pPr>
        <w:numPr>
          <w:ilvl w:val="0"/>
          <w:numId w:val="1061"/>
        </w:numPr>
        <w:pStyle w:val="Compact"/>
      </w:pPr>
      <w:r>
        <w:rPr>
          <w:b/>
        </w:rPr>
        <w:t xml:space="preserve">Fuente:</w:t>
      </w:r>
      <w:r>
        <w:t xml:space="preserve"> </w:t>
      </w:r>
      <w:r>
        <w:t xml:space="preserve">hallazgo de auditoría interna.</w:t>
      </w:r>
    </w:p>
    <w:p>
      <w:pPr>
        <w:numPr>
          <w:ilvl w:val="0"/>
          <w:numId w:val="1061"/>
        </w:numPr>
        <w:pStyle w:val="Compact"/>
      </w:pPr>
      <w:r>
        <w:rPr>
          <w:b/>
        </w:rPr>
        <w:t xml:space="preserve">Versión de la fuente:</w:t>
      </w:r>
      <w:r>
        <w:t xml:space="preserve"> </w:t>
      </w:r>
      <w:r>
        <w:t xml:space="preserve">No aplica.</w:t>
      </w:r>
    </w:p>
    <w:p>
      <w:pPr>
        <w:numPr>
          <w:ilvl w:val="0"/>
          <w:numId w:val="1061"/>
        </w:numPr>
        <w:pStyle w:val="Compact"/>
      </w:pPr>
      <w:r>
        <w:rPr>
          <w:b/>
        </w:rPr>
        <w:t xml:space="preserve">Fecha de revisión:</w:t>
      </w:r>
      <w:r>
        <w:t xml:space="preserve"> </w:t>
      </w:r>
      <w:r>
        <w:t xml:space="preserve">Sin fecha exacta en este comentario puntual.</w:t>
      </w:r>
    </w:p>
    <w:p>
      <w:pPr>
        <w:numPr>
          <w:ilvl w:val="0"/>
          <w:numId w:val="1061"/>
        </w:numPr>
        <w:pStyle w:val="Compact"/>
      </w:pPr>
      <w:r>
        <w:rPr>
          <w:b/>
        </w:rPr>
        <w:t xml:space="preserve">Quién revisó:</w:t>
      </w:r>
      <w:r>
        <w:t xml:space="preserve"> </w:t>
      </w:r>
      <w:r>
        <w:t xml:space="preserve">No especificado.</w:t>
      </w:r>
    </w:p>
    <w:p>
      <w:pPr>
        <w:numPr>
          <w:ilvl w:val="0"/>
          <w:numId w:val="1061"/>
        </w:numPr>
        <w:pStyle w:val="Compact"/>
      </w:pPr>
      <w:r>
        <w:rPr>
          <w:b/>
        </w:rPr>
        <w:t xml:space="preserve">Casos que la validan:</w:t>
      </w:r>
      <w:r>
        <w:t xml:space="preserve"> </w:t>
      </w:r>
      <w:r>
        <w:t xml:space="preserve">Sin caso de prueba identificado que ejercite específicamente</w:t>
      </w:r>
      <w:r>
        <w:t xml:space="preserve"> </w:t>
      </w:r>
      <w:r>
        <w:t xml:space="preserve">“</w:t>
      </w:r>
      <w:r>
        <w:t xml:space="preserve">Fenofibrato activo + eGFR cae bajo 30</w:t>
      </w:r>
      <w:r>
        <w:t xml:space="preserve">”</w:t>
      </w:r>
      <w:r>
        <w:t xml:space="preserve"> </w:t>
      </w:r>
      <w:r>
        <w:t xml:space="preserve">en los 3 archivos revisados.</w:t>
      </w:r>
    </w:p>
    <w:p>
      <w:pPr>
        <w:numPr>
          <w:ilvl w:val="0"/>
          <w:numId w:val="1061"/>
        </w:numPr>
        <w:pStyle w:val="Compact"/>
      </w:pPr>
      <w:r>
        <w:rPr>
          <w:b/>
        </w:rPr>
        <w:t xml:space="preserve">Excepciones:</w:t>
      </w:r>
      <w:r>
        <w:t xml:space="preserve"> </w:t>
      </w:r>
      <w:r>
        <w:t xml:space="preserve">ninguna adicional.</w:t>
      </w:r>
    </w:p>
    <w:p>
      <w:pPr>
        <w:numPr>
          <w:ilvl w:val="0"/>
          <w:numId w:val="1061"/>
        </w:numPr>
        <w:pStyle w:val="Compact"/>
      </w:pPr>
      <w:r>
        <w:rPr>
          <w:b/>
        </w:rPr>
        <w:t xml:space="preserve">Qué faltan datos:</w:t>
      </w:r>
      <w:r>
        <w:t xml:space="preserve"> </w:t>
      </w:r>
      <w:r>
        <w:t xml:space="preserve">hereda el hueco de</w:t>
      </w:r>
      <w:r>
        <w:t xml:space="preserve"> </w:t>
      </w:r>
      <w:r>
        <w:rPr>
          <w:rStyle w:val="VerbatimChar"/>
        </w:rPr>
        <w:t xml:space="preserve">currentDrugIssue</w:t>
      </w:r>
      <w:r>
        <w:t xml:space="preserve"> </w:t>
      </w:r>
      <w:r>
        <w:t xml:space="preserve">(4.1, guarda</w:t>
      </w:r>
      <w:r>
        <w:t xml:space="preserve"> </w:t>
      </w:r>
      <w:r>
        <w:rPr>
          <w:rStyle w:val="VerbatimChar"/>
        </w:rPr>
        <w:t xml:space="preserve">egfr&gt;0</w:t>
      </w:r>
      <w:r>
        <w:t xml:space="preserve">) — este catch-all es precisamente el que corrige el</w:t>
      </w:r>
      <w:r>
        <w:t xml:space="preserve"> </w:t>
      </w:r>
      <w:r>
        <w:t xml:space="preserve">“</w:t>
      </w:r>
      <w:r>
        <w:t xml:space="preserve">silencio total</w:t>
      </w:r>
      <w:r>
        <w:t xml:space="preserve">”</w:t>
      </w:r>
      <w:r>
        <w:t xml:space="preserve"> </w:t>
      </w:r>
      <w:r>
        <w:t xml:space="preserve">anterior, pero SIGUE dependiendo de que el eGFR se pueda calcular; si la creatinina falta, el hueco original (omisión silenciosa) reaparece aquí también.</w:t>
      </w:r>
    </w:p>
    <w:p>
      <w:pPr>
        <w:numPr>
          <w:ilvl w:val="0"/>
          <w:numId w:val="1061"/>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88" w:name="plan-de-obesidad-buildobesityplan"/>
      <w:r>
        <w:t xml:space="preserve">8. Plan de Obesidad (</w:t>
      </w:r>
      <w:r>
        <w:rPr>
          <w:rStyle w:val="VerbatimChar"/>
        </w:rPr>
        <w:t xml:space="preserve">buildObesityPlan</w:t>
      </w:r>
      <w:r>
        <w:t xml:space="preserve">)</w:t>
      </w:r>
      <w:bookmarkEnd w:id="88"/>
    </w:p>
    <w:p>
      <w:pPr>
        <w:pStyle w:val="FirstParagraph"/>
      </w:pPr>
      <w:r>
        <w:t xml:space="preserve">Basado en AACE/Endocrine Society/Obesity Medicine Association 2025.</w:t>
      </w:r>
    </w:p>
    <w:p>
      <w:pPr>
        <w:pStyle w:val="Heading3"/>
      </w:pPr>
      <w:bookmarkStart w:id="89" w:name="gate-de-activación-flags.obesidad"/>
      <w:r>
        <w:t xml:space="preserve">8.1 Gate de activación (</w:t>
      </w:r>
      <w:r>
        <w:rPr>
          <w:rStyle w:val="VerbatimChar"/>
        </w:rPr>
        <w:t xml:space="preserve">flags.obesidad</w:t>
      </w:r>
      <w:r>
        <w:t xml:space="preserve">)</w:t>
      </w:r>
      <w:bookmarkEnd w:id="89"/>
    </w:p>
    <w:p>
      <w:pPr>
        <w:numPr>
          <w:ilvl w:val="0"/>
          <w:numId w:val="1062"/>
        </w:numPr>
        <w:pStyle w:val="Compact"/>
      </w:pPr>
      <w:r>
        <w:rPr>
          <w:b/>
        </w:rPr>
        <w:t xml:space="preserve">Qué hace:</w:t>
      </w:r>
      <w:r>
        <w:t xml:space="preserve"> </w:t>
      </w:r>
      <w:r>
        <w:t xml:space="preserve">si</w:t>
      </w:r>
      <w:r>
        <w:t xml:space="preserve"> </w:t>
      </w:r>
      <w:r>
        <w:rPr>
          <w:rStyle w:val="VerbatimChar"/>
        </w:rPr>
        <w:t xml:space="preserve">!flags.obesidad</w:t>
      </w:r>
      <w:r>
        <w:t xml:space="preserve">, regresa plan vacío inmediatamente.</w:t>
      </w:r>
    </w:p>
    <w:p>
      <w:pPr>
        <w:numPr>
          <w:ilvl w:val="0"/>
          <w:numId w:val="1062"/>
        </w:numPr>
        <w:pStyle w:val="Compact"/>
      </w:pPr>
      <w:r>
        <w:rPr>
          <w:b/>
        </w:rPr>
        <w:t xml:space="preserve">Por qué:</w:t>
      </w:r>
      <w:r>
        <w:t xml:space="preserve"> </w:t>
      </w:r>
      <w:r>
        <w:t xml:space="preserve">esta categoría dedicada solo debe activarse cuando el criterio de obesidad (sección 3) ya se cumplió.</w:t>
      </w:r>
    </w:p>
    <w:p>
      <w:pPr>
        <w:numPr>
          <w:ilvl w:val="0"/>
          <w:numId w:val="1062"/>
        </w:numPr>
        <w:pStyle w:val="Compact"/>
      </w:pPr>
      <w:r>
        <w:rPr>
          <w:b/>
        </w:rPr>
        <w:t xml:space="preserve">Fuente:</w:t>
      </w:r>
      <w:r>
        <w:t xml:space="preserve"> </w:t>
      </w:r>
      <w:r>
        <w:t xml:space="preserve">AACE/Endocrine Society/Obesity Medicine Association 2025.</w:t>
      </w:r>
    </w:p>
    <w:p>
      <w:pPr>
        <w:numPr>
          <w:ilvl w:val="0"/>
          <w:numId w:val="1062"/>
        </w:numPr>
        <w:pStyle w:val="Compact"/>
      </w:pPr>
      <w:r>
        <w:rPr>
          <w:b/>
        </w:rPr>
        <w:t xml:space="preserve">Versión de la fuente:</w:t>
      </w:r>
      <w:r>
        <w:t xml:space="preserve"> </w:t>
      </w:r>
      <w:r>
        <w:t xml:space="preserve">2025.</w:t>
      </w:r>
    </w:p>
    <w:p>
      <w:pPr>
        <w:numPr>
          <w:ilvl w:val="0"/>
          <w:numId w:val="1062"/>
        </w:numPr>
        <w:pStyle w:val="Compact"/>
      </w:pPr>
      <w:r>
        <w:rPr>
          <w:b/>
        </w:rPr>
        <w:t xml:space="preserve">Fecha de revisión:</w:t>
      </w:r>
      <w:r>
        <w:t xml:space="preserve"> </w:t>
      </w:r>
      <w:r>
        <w:t xml:space="preserve">Sin fecha propia (hereda de</w:t>
      </w:r>
      <w:r>
        <w:t xml:space="preserve"> </w:t>
      </w:r>
      <w:r>
        <w:rPr>
          <w:rStyle w:val="VerbatimChar"/>
        </w:rPr>
        <w:t xml:space="preserve">flags.obesidad</w:t>
      </w:r>
      <w:r>
        <w:t xml:space="preserve">, sección 3).</w:t>
      </w:r>
    </w:p>
    <w:p>
      <w:pPr>
        <w:numPr>
          <w:ilvl w:val="0"/>
          <w:numId w:val="1062"/>
        </w:numPr>
        <w:pStyle w:val="Compact"/>
      </w:pPr>
      <w:r>
        <w:rPr>
          <w:b/>
        </w:rPr>
        <w:t xml:space="preserve">Quién revisó:</w:t>
      </w:r>
      <w:r>
        <w:t xml:space="preserve"> </w:t>
      </w:r>
      <w:r>
        <w:t xml:space="preserve">No especificado.</w:t>
      </w:r>
    </w:p>
    <w:p>
      <w:pPr>
        <w:numPr>
          <w:ilvl w:val="0"/>
          <w:numId w:val="1062"/>
        </w:numPr>
        <w:pStyle w:val="Compact"/>
      </w:pPr>
      <w:r>
        <w:rPr>
          <w:b/>
        </w:rPr>
        <w:t xml:space="preserve">Casos que la validan:</w:t>
      </w:r>
      <w:r>
        <w:t xml:space="preserve"> </w:t>
      </w:r>
      <w:r>
        <w:t xml:space="preserve">A4/D1 (clinical-cases, indirectamente vía</w:t>
      </w:r>
      <w:r>
        <w:t xml:space="preserve"> </w:t>
      </w:r>
      <w:r>
        <w:rPr>
          <w:rStyle w:val="VerbatimChar"/>
        </w:rPr>
        <w:t xml:space="preserve">flags.obesidad</w:t>
      </w:r>
      <w:r>
        <w:t xml:space="preserve">); Caso 4 multimórbido.</w:t>
      </w:r>
    </w:p>
    <w:p>
      <w:pPr>
        <w:numPr>
          <w:ilvl w:val="0"/>
          <w:numId w:val="1062"/>
        </w:numPr>
        <w:pStyle w:val="Compact"/>
      </w:pPr>
      <w:r>
        <w:rPr>
          <w:b/>
        </w:rPr>
        <w:t xml:space="preserve">Excepciones:</w:t>
      </w:r>
      <w:r>
        <w:t xml:space="preserve"> </w:t>
      </w:r>
      <w:r>
        <w:t xml:space="preserve">ninguna.</w:t>
      </w:r>
    </w:p>
    <w:p>
      <w:pPr>
        <w:numPr>
          <w:ilvl w:val="0"/>
          <w:numId w:val="1062"/>
        </w:numPr>
        <w:pStyle w:val="Compact"/>
      </w:pPr>
      <w:r>
        <w:rPr>
          <w:b/>
        </w:rPr>
        <w:t xml:space="preserve">Qué faltan datos:</w:t>
      </w:r>
      <w:r>
        <w:t xml:space="preserve"> </w:t>
      </w:r>
      <w:r>
        <w:t xml:space="preserve">hereda el patrón de IMC/comorbilidad de la sección 3.</w:t>
      </w:r>
    </w:p>
    <w:p>
      <w:pPr>
        <w:numPr>
          <w:ilvl w:val="0"/>
          <w:numId w:val="1062"/>
        </w:numPr>
        <w:pStyle w:val="Compact"/>
      </w:pPr>
      <w:r>
        <w:rPr>
          <w:b/>
        </w:rPr>
        <w:t xml:space="preserve">Discrepancia entre guías:</w:t>
      </w:r>
      <w:r>
        <w:t xml:space="preserve"> </w:t>
      </w:r>
      <w:r>
        <w:t xml:space="preserve">no aplica.</w:t>
      </w:r>
    </w:p>
    <w:p>
      <w:pPr>
        <w:pStyle w:val="Heading3"/>
      </w:pPr>
      <w:bookmarkStart w:id="90" w:name="Xda55345d349f086a3610369693944cbdbb65ae5"/>
      <w:r>
        <w:t xml:space="preserve">8.2 Continuidad/seguridad de fármacos ya prescritos en categoría</w:t>
      </w:r>
      <w:r>
        <w:t xml:space="preserve"> </w:t>
      </w:r>
      <w:r>
        <w:t xml:space="preserve">“</w:t>
      </w:r>
      <w:r>
        <w:t xml:space="preserve">obesity</w:t>
      </w:r>
      <w:r>
        <w:t xml:space="preserve">”</w:t>
      </w:r>
      <w:bookmarkEnd w:id="90"/>
    </w:p>
    <w:p>
      <w:pPr>
        <w:numPr>
          <w:ilvl w:val="0"/>
          <w:numId w:val="1063"/>
        </w:numPr>
        <w:pStyle w:val="Compact"/>
      </w:pPr>
      <w:r>
        <w:rPr>
          <w:b/>
        </w:rPr>
        <w:t xml:space="preserve">Qué hace:</w:t>
      </w:r>
      <w:r>
        <w:t xml:space="preserve"> </w:t>
      </w:r>
      <w:r>
        <w:t xml:space="preserve">mismo patrón</w:t>
      </w:r>
      <w:r>
        <w:t xml:space="preserve"> </w:t>
      </w:r>
      <w:r>
        <w:rPr>
          <w:rStyle w:val="VerbatimChar"/>
        </w:rPr>
        <w:t xml:space="preserve">currentDrugIssue</w:t>
      </w:r>
      <w:r>
        <w:t xml:space="preserve"> </w:t>
      </w:r>
      <w:r>
        <w:t xml:space="preserve">que el resto del motor — titular si no maxeado y sigue seguro;</w:t>
      </w:r>
      <w:r>
        <w:t xml:space="preserve"> </w:t>
      </w:r>
      <w:r>
        <w:t xml:space="preserve">“</w:t>
      </w:r>
      <w:r>
        <w:t xml:space="preserve">REVALORAR/SUSPENDER</w:t>
      </w:r>
      <w:r>
        <w:t xml:space="preserve">”</w:t>
      </w:r>
      <w:r>
        <w:t xml:space="preserve"> </w:t>
      </w:r>
      <w:r>
        <w:t xml:space="preserve">si se volvió inseguro; catch-all para lo maxeado no tocado.</w:t>
      </w:r>
    </w:p>
    <w:p>
      <w:pPr>
        <w:numPr>
          <w:ilvl w:val="0"/>
          <w:numId w:val="1063"/>
        </w:numPr>
        <w:pStyle w:val="Compact"/>
      </w:pPr>
      <w:r>
        <w:rPr>
          <w:b/>
        </w:rPr>
        <w:t xml:space="preserve">Por qué:</w:t>
      </w:r>
      <w:r>
        <w:t xml:space="preserve"> </w:t>
      </w:r>
      <w:r>
        <w:t xml:space="preserve">consistencia con el resto de las categorías (antidiabetic/htn/lipid).</w:t>
      </w:r>
    </w:p>
    <w:p>
      <w:pPr>
        <w:numPr>
          <w:ilvl w:val="0"/>
          <w:numId w:val="1063"/>
        </w:numPr>
        <w:pStyle w:val="Compact"/>
      </w:pPr>
      <w:r>
        <w:rPr>
          <w:b/>
        </w:rPr>
        <w:t xml:space="preserve">Fuente:</w:t>
      </w:r>
      <w:r>
        <w:t xml:space="preserve"> </w:t>
      </w:r>
      <w:r>
        <w:t xml:space="preserve">patrón interno del proyecto.</w:t>
      </w:r>
    </w:p>
    <w:p>
      <w:pPr>
        <w:numPr>
          <w:ilvl w:val="0"/>
          <w:numId w:val="1063"/>
        </w:numPr>
        <w:pStyle w:val="Compact"/>
      </w:pPr>
      <w:r>
        <w:rPr>
          <w:b/>
        </w:rPr>
        <w:t xml:space="preserve">Versión de la fuente:</w:t>
      </w:r>
      <w:r>
        <w:t xml:space="preserve"> </w:t>
      </w:r>
      <w:r>
        <w:t xml:space="preserve">No aplica.</w:t>
      </w:r>
    </w:p>
    <w:p>
      <w:pPr>
        <w:numPr>
          <w:ilvl w:val="0"/>
          <w:numId w:val="1063"/>
        </w:numPr>
        <w:pStyle w:val="Compact"/>
      </w:pPr>
      <w:r>
        <w:rPr>
          <w:b/>
        </w:rPr>
        <w:t xml:space="preserve">Fecha de revisión:</w:t>
      </w:r>
      <w:r>
        <w:t xml:space="preserve"> </w:t>
      </w:r>
      <w:r>
        <w:t xml:space="preserve">Sin fecha propia (parte del diseño original de la función,</w:t>
      </w:r>
      <w:r>
        <w:t xml:space="preserve"> </w:t>
      </w:r>
      <w:r>
        <w:t xml:space="preserve">“</w:t>
      </w:r>
      <w:r>
        <w:t xml:space="preserve">hallazgo de auditoría de escalonamiento</w:t>
      </w:r>
      <w:r>
        <w:t xml:space="preserve">”</w:t>
      </w:r>
      <w:r>
        <w:t xml:space="preserve">).</w:t>
      </w:r>
    </w:p>
    <w:p>
      <w:pPr>
        <w:numPr>
          <w:ilvl w:val="0"/>
          <w:numId w:val="1063"/>
        </w:numPr>
        <w:pStyle w:val="Compact"/>
      </w:pPr>
      <w:r>
        <w:rPr>
          <w:b/>
        </w:rPr>
        <w:t xml:space="preserve">Quién revisó:</w:t>
      </w:r>
      <w:r>
        <w:t xml:space="preserve"> </w:t>
      </w:r>
      <w:r>
        <w:t xml:space="preserve">No especificado en esta línea puntual (la función en general se atribuye al hallazgo</w:t>
      </w:r>
      <w:r>
        <w:t xml:space="preserve"> </w:t>
      </w:r>
      <w:r>
        <w:t xml:space="preserve">“</w:t>
      </w:r>
      <w:r>
        <w:t xml:space="preserve">Dr. Ortega — revisemos los demás grupos de fármacos y cuándo se deben escalonar</w:t>
      </w:r>
      <w:r>
        <w:t xml:space="preserve">”</w:t>
      </w:r>
      <w:r>
        <w:t xml:space="preserve">).</w:t>
      </w:r>
    </w:p>
    <w:p>
      <w:pPr>
        <w:numPr>
          <w:ilvl w:val="0"/>
          <w:numId w:val="1063"/>
        </w:numPr>
        <w:pStyle w:val="Compact"/>
      </w:pPr>
      <w:r>
        <w:rPr>
          <w:b/>
        </w:rPr>
        <w:t xml:space="preserve">Casos que la validan:</w:t>
      </w:r>
      <w:r>
        <w:t xml:space="preserve"> </w:t>
      </w:r>
      <w:r>
        <w:t xml:space="preserve">Sin caso de prueba identificado directo sobre continuidad en categoría</w:t>
      </w:r>
      <w:r>
        <w:t xml:space="preserve"> </w:t>
      </w:r>
      <w:r>
        <w:t xml:space="preserve">“</w:t>
      </w:r>
      <w:r>
        <w:t xml:space="preserve">obesity</w:t>
      </w:r>
      <w:r>
        <w:t xml:space="preserve">”</w:t>
      </w:r>
      <w:r>
        <w:t xml:space="preserve"> </w:t>
      </w:r>
      <w:r>
        <w:t xml:space="preserve">en los 3 archivos revisados.</w:t>
      </w:r>
    </w:p>
    <w:p>
      <w:pPr>
        <w:numPr>
          <w:ilvl w:val="0"/>
          <w:numId w:val="1063"/>
        </w:numPr>
        <w:pStyle w:val="Compact"/>
      </w:pPr>
      <w:r>
        <w:rPr>
          <w:b/>
        </w:rPr>
        <w:t xml:space="preserve">Excepciones:</w:t>
      </w:r>
      <w:r>
        <w:t xml:space="preserve"> </w:t>
      </w:r>
      <w:r>
        <w:t xml:space="preserve">ninguna adicional.</w:t>
      </w:r>
    </w:p>
    <w:p>
      <w:pPr>
        <w:numPr>
          <w:ilvl w:val="0"/>
          <w:numId w:val="1063"/>
        </w:numPr>
        <w:pStyle w:val="Compact"/>
      </w:pPr>
      <w:r>
        <w:rPr>
          <w:b/>
        </w:rPr>
        <w:t xml:space="preserve">Qué faltan datos:</w:t>
      </w:r>
      <w:r>
        <w:t xml:space="preserve"> </w:t>
      </w:r>
      <w:r>
        <w:t xml:space="preserve">hereda el hueco de</w:t>
      </w:r>
      <w:r>
        <w:t xml:space="preserve"> </w:t>
      </w:r>
      <w:r>
        <w:rPr>
          <w:rStyle w:val="VerbatimChar"/>
        </w:rPr>
        <w:t xml:space="preserve">currentDrugIssue</w:t>
      </w:r>
      <w:r>
        <w:t xml:space="preserve"> </w:t>
      </w:r>
      <w:r>
        <w:t xml:space="preserve">(4.1).</w:t>
      </w:r>
    </w:p>
    <w:p>
      <w:pPr>
        <w:numPr>
          <w:ilvl w:val="0"/>
          <w:numId w:val="1063"/>
        </w:numPr>
        <w:pStyle w:val="Compact"/>
      </w:pPr>
      <w:r>
        <w:rPr>
          <w:b/>
        </w:rPr>
        <w:t xml:space="preserve">Discrepancia entre guías:</w:t>
      </w:r>
      <w:r>
        <w:t xml:space="preserve"> </w:t>
      </w:r>
      <w:r>
        <w:t xml:space="preserve">no aplica.</w:t>
      </w:r>
    </w:p>
    <w:p>
      <w:pPr>
        <w:pStyle w:val="Heading3"/>
      </w:pPr>
      <w:bookmarkStart w:id="91" w:name="X09e967c01c9fc7c55239e33328c27e97bfd9c76"/>
      <w:r>
        <w:t xml:space="preserve">8.3 Escalonamiento dosis-diabetes → dosis-obesidad de la misma molécula</w:t>
      </w:r>
      <w:bookmarkEnd w:id="91"/>
    </w:p>
    <w:p>
      <w:pPr>
        <w:numPr>
          <w:ilvl w:val="0"/>
          <w:numId w:val="1064"/>
        </w:numPr>
        <w:pStyle w:val="Compact"/>
      </w:pPr>
      <w:r>
        <w:rPr>
          <w:b/>
        </w:rPr>
        <w:t xml:space="preserve">Qué hace:</w:t>
      </w:r>
      <w:r>
        <w:t xml:space="preserve"> </w:t>
      </w:r>
      <w:r>
        <w:t xml:space="preserve">si el paciente ya está en la versión</w:t>
      </w:r>
      <w:r>
        <w:t xml:space="preserve"> </w:t>
      </w:r>
      <w:r>
        <w:t xml:space="preserve">“</w:t>
      </w:r>
      <w:r>
        <w:t xml:space="preserve">antidiabetic</w:t>
      </w:r>
      <w:r>
        <w:t xml:space="preserve">”</w:t>
      </w:r>
      <w:r>
        <w:t xml:space="preserve"> </w:t>
      </w:r>
      <w:r>
        <w:t xml:space="preserve">de Semaglutida/Liraglutida/Tirzepatida (</w:t>
      </w:r>
      <w:r>
        <w:rPr>
          <w:rStyle w:val="VerbatimChar"/>
        </w:rPr>
        <w:t xml:space="preserve">SEMA</w:t>
      </w:r>
      <w:r>
        <w:t xml:space="preserve">/</w:t>
      </w:r>
      <w:r>
        <w:rPr>
          <w:rStyle w:val="VerbatimChar"/>
        </w:rPr>
        <w:t xml:space="preserve">LIRA</w:t>
      </w:r>
      <w:r>
        <w:t xml:space="preserve">/</w:t>
      </w:r>
      <w:r>
        <w:rPr>
          <w:rStyle w:val="VerbatimChar"/>
        </w:rPr>
        <w:t xml:space="preserve">TIRZ</w:t>
      </w:r>
      <w:r>
        <w:t xml:space="preserve">) y ya a dosis máxima de esa indicación, y el criterio de obesidad sigue activo, sugiere escalar a la versión de dosis-obesidad (</w:t>
      </w:r>
      <w:r>
        <w:rPr>
          <w:rStyle w:val="VerbatimChar"/>
        </w:rPr>
        <w:t xml:space="preserve">SEMA24</w:t>
      </w:r>
      <w:r>
        <w:t xml:space="preserve">/</w:t>
      </w:r>
      <w:r>
        <w:rPr>
          <w:rStyle w:val="VerbatimChar"/>
        </w:rPr>
        <w:t xml:space="preserve">LIRA3</w:t>
      </w:r>
      <w:r>
        <w:t xml:space="preserve">/</w:t>
      </w:r>
      <w:r>
        <w:rPr>
          <w:rStyle w:val="VerbatimChar"/>
        </w:rPr>
        <w:t xml:space="preserve">TIRZ_OB</w:t>
      </w:r>
      <w:r>
        <w:t xml:space="preserve">) — nunca se ofrece como fármaco</w:t>
      </w:r>
      <w:r>
        <w:t xml:space="preserve"> </w:t>
      </w:r>
      <w:r>
        <w:t xml:space="preserve">“</w:t>
      </w:r>
      <w:r>
        <w:t xml:space="preserve">nuevo</w:t>
      </w:r>
      <w:r>
        <w:t xml:space="preserve">”</w:t>
      </w:r>
      <w:r>
        <w:t xml:space="preserve"> </w:t>
      </w:r>
      <w:r>
        <w:t xml:space="preserve">independiente.</w:t>
      </w:r>
    </w:p>
    <w:p>
      <w:pPr>
        <w:numPr>
          <w:ilvl w:val="0"/>
          <w:numId w:val="1064"/>
        </w:numPr>
        <w:pStyle w:val="Compact"/>
      </w:pPr>
      <w:r>
        <w:rPr>
          <w:b/>
        </w:rPr>
        <w:t xml:space="preserve">Por qué:</w:t>
      </w:r>
      <w:r>
        <w:t xml:space="preserve"> </w:t>
      </w:r>
      <w:r>
        <w:t xml:space="preserve">evitar duplicar el mismo principio activo bajo dos IDs distintos, riesgo real que el comentario señala explícitamente al introducir este motor.</w:t>
      </w:r>
    </w:p>
    <w:p>
      <w:pPr>
        <w:numPr>
          <w:ilvl w:val="0"/>
          <w:numId w:val="1064"/>
        </w:numPr>
        <w:pStyle w:val="Compact"/>
      </w:pPr>
      <w:r>
        <w:rPr>
          <w:b/>
        </w:rPr>
        <w:t xml:space="preserve">Fuente:</w:t>
      </w:r>
      <w:r>
        <w:t xml:space="preserve"> </w:t>
      </w:r>
      <w:r>
        <w:t xml:space="preserve">AACE/Endocrine Society/Obesity Medicine Association 2025 (marco general de la función).</w:t>
      </w:r>
    </w:p>
    <w:p>
      <w:pPr>
        <w:numPr>
          <w:ilvl w:val="0"/>
          <w:numId w:val="1064"/>
        </w:numPr>
        <w:pStyle w:val="Compact"/>
      </w:pPr>
      <w:r>
        <w:rPr>
          <w:b/>
        </w:rPr>
        <w:t xml:space="preserve">Versión de la fuente:</w:t>
      </w:r>
      <w:r>
        <w:t xml:space="preserve"> </w:t>
      </w:r>
      <w:r>
        <w:t xml:space="preserve">2025.</w:t>
      </w:r>
    </w:p>
    <w:p>
      <w:pPr>
        <w:numPr>
          <w:ilvl w:val="0"/>
          <w:numId w:val="1064"/>
        </w:numPr>
        <w:pStyle w:val="Compact"/>
      </w:pPr>
      <w:r>
        <w:rPr>
          <w:b/>
        </w:rPr>
        <w:t xml:space="preserve">Fecha de revisión:</w:t>
      </w:r>
      <w:r>
        <w:t xml:space="preserve"> </w:t>
      </w:r>
      <w:r>
        <w:t xml:space="preserve">Sin fecha exacta en este comentario puntual.</w:t>
      </w:r>
    </w:p>
    <w:p>
      <w:pPr>
        <w:numPr>
          <w:ilvl w:val="0"/>
          <w:numId w:val="1064"/>
        </w:numPr>
        <w:pStyle w:val="Compact"/>
      </w:pPr>
      <w:r>
        <w:rPr>
          <w:b/>
        </w:rPr>
        <w:t xml:space="preserve">Quién revisó:</w:t>
      </w:r>
      <w:r>
        <w:t xml:space="preserve"> </w:t>
      </w:r>
      <w:r>
        <w:t xml:space="preserve">hallazgo atribuido a</w:t>
      </w:r>
      <w:r>
        <w:t xml:space="preserve"> </w:t>
      </w:r>
      <w:r>
        <w:t xml:space="preserve">“</w:t>
      </w:r>
      <w:r>
        <w:t xml:space="preserve">auditoría de escalonamiento, Dr. Ortega</w:t>
      </w:r>
      <w:r>
        <w:t xml:space="preserve">”</w:t>
      </w:r>
      <w:r>
        <w:t xml:space="preserve"> </w:t>
      </w:r>
      <w:r>
        <w:t xml:space="preserve">en el comentario de cabecera de la función completa.</w:t>
      </w:r>
    </w:p>
    <w:p>
      <w:pPr>
        <w:numPr>
          <w:ilvl w:val="0"/>
          <w:numId w:val="1064"/>
        </w:numPr>
        <w:pStyle w:val="Compact"/>
      </w:pPr>
      <w:r>
        <w:rPr>
          <w:b/>
        </w:rPr>
        <w:t xml:space="preserve">Casos que la validan:</w:t>
      </w:r>
      <w:r>
        <w:t xml:space="preserve"> </w:t>
      </w:r>
      <w:r>
        <w:t xml:space="preserve">Sin caso de prueba identificado directo sobre el escalonamiento dosis-diabetes→dosis-obesidad en los 3 archivos revisados.</w:t>
      </w:r>
    </w:p>
    <w:p>
      <w:pPr>
        <w:numPr>
          <w:ilvl w:val="0"/>
          <w:numId w:val="1064"/>
        </w:numPr>
        <w:pStyle w:val="Compact"/>
      </w:pPr>
      <w:r>
        <w:rPr>
          <w:b/>
        </w:rPr>
        <w:t xml:space="preserve">Excepciones:</w:t>
      </w:r>
      <w:r>
        <w:t xml:space="preserve"> </w:t>
      </w:r>
      <w:r>
        <w:t xml:space="preserve">ninguna adicional; también revisa</w:t>
      </w:r>
      <w:r>
        <w:t xml:space="preserve"> </w:t>
      </w:r>
      <w:r>
        <w:rPr>
          <w:rStyle w:val="VerbatimChar"/>
        </w:rPr>
        <w:t xml:space="preserve">currentDrugIssue(obDrug, flags) === null</w:t>
      </w:r>
      <w:r>
        <w:t xml:space="preserve"> </w:t>
      </w:r>
      <w:r>
        <w:t xml:space="preserve">antes de sugerir el cambio, para no recomendar la versión de obesidad si esta ya fuera insegura por otra razón.</w:t>
      </w:r>
    </w:p>
    <w:p>
      <w:pPr>
        <w:numPr>
          <w:ilvl w:val="0"/>
          <w:numId w:val="1064"/>
        </w:numPr>
        <w:pStyle w:val="Compact"/>
      </w:pPr>
      <w:r>
        <w:rPr>
          <w:b/>
        </w:rPr>
        <w:t xml:space="preserve">Qué faltan datos:</w:t>
      </w:r>
      <w:r>
        <w:t xml:space="preserve"> </w:t>
      </w:r>
      <w:r>
        <w:t xml:space="preserve">depende de</w:t>
      </w:r>
      <w:r>
        <w:t xml:space="preserve"> </w:t>
      </w:r>
      <w:r>
        <w:rPr>
          <w:rStyle w:val="VerbatimChar"/>
        </w:rPr>
        <w:t xml:space="preserve">p.medicacionActual.antidiabetic</w:t>
      </w:r>
      <w:r>
        <w:t xml:space="preserve"> </w:t>
      </w:r>
      <w:r>
        <w:t xml:space="preserve">completo y correctamente capturado — un registro incompleto simplemente no dispara este escalonamiento (silencioso, sin advertencia).</w:t>
      </w:r>
    </w:p>
    <w:p>
      <w:pPr>
        <w:numPr>
          <w:ilvl w:val="0"/>
          <w:numId w:val="1064"/>
        </w:numPr>
        <w:pStyle w:val="Compact"/>
      </w:pPr>
      <w:r>
        <w:rPr>
          <w:b/>
        </w:rPr>
        <w:t xml:space="preserve">Discrepancia entre guías:</w:t>
      </w:r>
      <w:r>
        <w:t xml:space="preserve"> </w:t>
      </w:r>
      <w:r>
        <w:t xml:space="preserve">no aplica.</w:t>
      </w:r>
    </w:p>
    <w:p>
      <w:pPr>
        <w:pStyle w:val="Heading3"/>
      </w:pPr>
      <w:bookmarkStart w:id="92" w:name="Xa13682f8ea9f4f43505f1e635fe6f11c31b6b52"/>
      <w:r>
        <w:t xml:space="preserve">8.4 Selección de candidato nuevo (excluye Setmelanotida) con priorización por antipsicótico</w:t>
      </w:r>
      <w:bookmarkEnd w:id="92"/>
    </w:p>
    <w:p>
      <w:pPr>
        <w:numPr>
          <w:ilvl w:val="0"/>
          <w:numId w:val="1065"/>
        </w:numPr>
        <w:pStyle w:val="Compact"/>
      </w:pPr>
      <w:r>
        <w:rPr>
          <w:b/>
        </w:rPr>
        <w:t xml:space="preserve">Qué hace:</w:t>
      </w:r>
      <w:r>
        <w:t xml:space="preserve"> </w:t>
      </w:r>
      <w:r>
        <w:t xml:space="preserve">si no hay nada activo en obesidad ni molécula compartida en uso, y</w:t>
      </w:r>
      <w:r>
        <w:t xml:space="preserve"> </w:t>
      </w:r>
      <w:r>
        <w:rPr>
          <w:rStyle w:val="VerbatimChar"/>
        </w:rPr>
        <w:t xml:space="preserve">buildAntidiabeticPlan</w:t>
      </w:r>
      <w:r>
        <w:t xml:space="preserve"> </w:t>
      </w:r>
      <w:r>
        <w:t xml:space="preserve">no acaba de asignar un fármaco de pérdida de peso en la misma consulta, elige un candidato del catálogo completo de obesidad, EXCLUYENDO Setmelanotida (indicación genética específica no capturada por la app); si</w:t>
      </w:r>
      <w:r>
        <w:t xml:space="preserve"> </w:t>
      </w:r>
      <w:r>
        <w:rPr>
          <w:rStyle w:val="VerbatimChar"/>
        </w:rPr>
        <w:t xml:space="preserve">flags.antipsicoticoAltoRiesgo</w:t>
      </w:r>
      <w:r>
        <w:t xml:space="preserve">, prioriza Tirzepatida/Semaglutida dosis-obesidad por evidencia específica en esa población sobre el desempate genérico por costo.</w:t>
      </w:r>
    </w:p>
    <w:p>
      <w:pPr>
        <w:numPr>
          <w:ilvl w:val="0"/>
          <w:numId w:val="1065"/>
        </w:numPr>
        <w:pStyle w:val="Compact"/>
      </w:pPr>
      <w:r>
        <w:rPr>
          <w:b/>
        </w:rPr>
        <w:t xml:space="preserve">Por qué:</w:t>
      </w:r>
      <w:r>
        <w:t xml:space="preserve"> </w:t>
      </w:r>
      <w:r>
        <w:t xml:space="preserve">Setmelanotida requiere confirmación genética (POMC/PCSK1/LEPR) que el formulario no captura — queda disponible solo para consulta/prescripción manual; la priorización por antipsicótico (Caso 50, DOMINIO 3) responde a evidencia específica en aumento de peso inducido por antipsicóticos.</w:t>
      </w:r>
    </w:p>
    <w:p>
      <w:pPr>
        <w:numPr>
          <w:ilvl w:val="0"/>
          <w:numId w:val="1065"/>
        </w:numPr>
        <w:pStyle w:val="Compact"/>
      </w:pPr>
      <w:r>
        <w:rPr>
          <w:b/>
        </w:rPr>
        <w:t xml:space="preserve">Fuente:</w:t>
      </w:r>
      <w:r>
        <w:t xml:space="preserve"> </w:t>
      </w:r>
      <w:r>
        <w:t xml:space="preserve">AACE/Endocrine Society/Obesity Medicine Association 2025 (marco general); para la priorización por antipsicótico, delegada a</w:t>
      </w:r>
      <w:r>
        <w:t xml:space="preserve"> </w:t>
      </w:r>
      <w:r>
        <w:rPr>
          <w:rStyle w:val="VerbatimChar"/>
        </w:rPr>
        <w:t xml:space="preserve">psychiatry.js</w:t>
      </w:r>
      <w:r>
        <w:t xml:space="preserve"> </w:t>
      </w:r>
      <w:r>
        <w:t xml:space="preserve">(</w:t>
      </w:r>
      <w:r>
        <w:rPr>
          <w:rStyle w:val="VerbatimChar"/>
        </w:rPr>
        <w:t xml:space="preserve">pickAntipsychoticPriorityDrug</w:t>
      </w:r>
      <w:r>
        <w:t xml:space="preserve">).</w:t>
      </w:r>
    </w:p>
    <w:p>
      <w:pPr>
        <w:numPr>
          <w:ilvl w:val="0"/>
          <w:numId w:val="1065"/>
        </w:numPr>
        <w:pStyle w:val="Compact"/>
      </w:pPr>
      <w:r>
        <w:rPr>
          <w:b/>
        </w:rPr>
        <w:t xml:space="preserve">Versión de la fuente:</w:t>
      </w:r>
      <w:r>
        <w:t xml:space="preserve"> </w:t>
      </w:r>
      <w:r>
        <w:t xml:space="preserve">2025.</w:t>
      </w:r>
    </w:p>
    <w:p>
      <w:pPr>
        <w:numPr>
          <w:ilvl w:val="0"/>
          <w:numId w:val="1065"/>
        </w:numPr>
        <w:pStyle w:val="Compact"/>
      </w:pPr>
      <w:r>
        <w:rPr>
          <w:b/>
        </w:rPr>
        <w:t xml:space="preserve">Fecha de revisión:</w:t>
      </w:r>
      <w:r>
        <w:t xml:space="preserve"> </w:t>
      </w:r>
      <w:r>
        <w:t xml:space="preserve">10-ago-2026 (Caso 50).</w:t>
      </w:r>
    </w:p>
    <w:p>
      <w:pPr>
        <w:numPr>
          <w:ilvl w:val="0"/>
          <w:numId w:val="1065"/>
        </w:numPr>
        <w:pStyle w:val="Compact"/>
      </w:pPr>
      <w:r>
        <w:rPr>
          <w:b/>
        </w:rPr>
        <w:t xml:space="preserve">Quién revisó:</w:t>
      </w:r>
      <w:r>
        <w:t xml:space="preserve"> </w:t>
      </w:r>
      <w:r>
        <w:t xml:space="preserve">Dr. Ortega.</w:t>
      </w:r>
    </w:p>
    <w:p>
      <w:pPr>
        <w:numPr>
          <w:ilvl w:val="0"/>
          <w:numId w:val="1065"/>
        </w:numPr>
        <w:pStyle w:val="Compact"/>
      </w:pPr>
      <w:r>
        <w:rPr>
          <w:b/>
        </w:rPr>
        <w:t xml:space="preserve">Casos que la validan:</w:t>
      </w:r>
      <w:r>
        <w:t xml:space="preserve"> </w:t>
      </w:r>
      <w:r>
        <w:t xml:space="preserve">Caso 50 (edge-cases) —</w:t>
      </w:r>
      <w:r>
        <w:t xml:space="preserve"> </w:t>
      </w:r>
      <w:r>
        <w:t xml:space="preserve">“</w:t>
      </w:r>
      <w:r>
        <w:t xml:space="preserve">obesidad + antipsicótico alto riesgo → prioriza Tirzepatida dosis-obesidad</w:t>
      </w:r>
      <w:r>
        <w:t xml:space="preserve">”</w:t>
      </w:r>
      <w:r>
        <w:t xml:space="preserve">.</w:t>
      </w:r>
    </w:p>
    <w:p>
      <w:pPr>
        <w:numPr>
          <w:ilvl w:val="0"/>
          <w:numId w:val="1065"/>
        </w:numPr>
        <w:pStyle w:val="Compact"/>
      </w:pPr>
      <w:r>
        <w:rPr>
          <w:b/>
        </w:rPr>
        <w:t xml:space="preserve">Excepciones:</w:t>
      </w:r>
      <w:r>
        <w:t xml:space="preserve"> </w:t>
      </w:r>
      <w:r>
        <w:t xml:space="preserve">Setmelanotida excluida permanentemente de la selección automática, sin importar otros factores.</w:t>
      </w:r>
    </w:p>
    <w:p>
      <w:pPr>
        <w:numPr>
          <w:ilvl w:val="0"/>
          <w:numId w:val="1065"/>
        </w:numPr>
        <w:pStyle w:val="Compact"/>
      </w:pPr>
      <w:r>
        <w:rPr>
          <w:b/>
        </w:rPr>
        <w:t xml:space="preserve">Qué faltan datos:</w:t>
      </w:r>
      <w:r>
        <w:t xml:space="preserve"> </w:t>
      </w:r>
      <w:r>
        <w:rPr>
          <w:rStyle w:val="VerbatimChar"/>
        </w:rPr>
        <w:t xml:space="preserve">dmFreshWeightPick</w:t>
      </w:r>
      <w:r>
        <w:t xml:space="preserve"> </w:t>
      </w:r>
      <w:r>
        <w:t xml:space="preserve">se determina revisando texto de la razón (</w:t>
      </w:r>
      <w:r>
        <w:rPr>
          <w:rStyle w:val="VerbatimChar"/>
        </w:rPr>
        <w:t xml:space="preserve">x.reason.includes(...)</w:t>
      </w:r>
      <w:r>
        <w:t xml:space="preserve">) del plan antidiabético — un acoplamiento frágil basado en coincidencia de texto en vez de un identificador estructurado; si el texto de la razón cambiara en</w:t>
      </w:r>
      <w:r>
        <w:t xml:space="preserve"> </w:t>
      </w:r>
      <w:r>
        <w:rPr>
          <w:rStyle w:val="VerbatimChar"/>
        </w:rPr>
        <w:t xml:space="preserve">buildAntidiabeticPlan</w:t>
      </w:r>
      <w:r>
        <w:t xml:space="preserve"> </w:t>
      </w:r>
      <w:r>
        <w:t xml:space="preserve">sin actualizar esta comparación, la deduplicación fallaría en silencio (riesgo de diseño, no un hueco de datos faltantes del paciente, pero sí un hueco de robustez del código).</w:t>
      </w:r>
    </w:p>
    <w:p>
      <w:pPr>
        <w:numPr>
          <w:ilvl w:val="0"/>
          <w:numId w:val="1065"/>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93" w:name="Xd44d0b69ba9542c65baa87634edbd6e3eb9cdfe"/>
      <w:r>
        <w:t xml:space="preserve">9. Consolidación (</w:t>
      </w:r>
      <w:r>
        <w:rPr>
          <w:rStyle w:val="VerbatimChar"/>
        </w:rPr>
        <w:t xml:space="preserve">buildTreatmentPlan</w:t>
      </w:r>
      <w:r>
        <w:t xml:space="preserve"> </w:t>
      </w:r>
      <w:r>
        <w:t xml:space="preserve">/</w:t>
      </w:r>
      <w:r>
        <w:t xml:space="preserve"> </w:t>
      </w:r>
      <w:r>
        <w:rPr>
          <w:rStyle w:val="VerbatimChar"/>
        </w:rPr>
        <w:t xml:space="preserve">suggestTherapy</w:t>
      </w:r>
      <w:r>
        <w:t xml:space="preserve">)</w:t>
      </w:r>
      <w:bookmarkEnd w:id="93"/>
    </w:p>
    <w:p>
      <w:pPr>
        <w:pStyle w:val="Heading3"/>
      </w:pPr>
      <w:bookmarkStart w:id="94" w:name="X048fdf5c563a2d82dd62ee0ec04d481f8c190ff"/>
      <w:r>
        <w:t xml:space="preserve">9.1 Guardrail de red flags (extremos fisiológicos)</w:t>
      </w:r>
      <w:bookmarkEnd w:id="94"/>
    </w:p>
    <w:p>
      <w:pPr>
        <w:numPr>
          <w:ilvl w:val="0"/>
          <w:numId w:val="1066"/>
        </w:numPr>
        <w:pStyle w:val="Compact"/>
      </w:pPr>
      <w:r>
        <w:rPr>
          <w:b/>
        </w:rPr>
        <w:t xml:space="preserve">Qué hace:</w:t>
      </w:r>
      <w:r>
        <w:t xml:space="preserve"> </w:t>
      </w:r>
      <w:r>
        <w:t xml:space="preserve">si</w:t>
      </w:r>
      <w:r>
        <w:t xml:space="preserve"> </w:t>
      </w:r>
      <w:r>
        <w:rPr>
          <w:rStyle w:val="VerbatimChar"/>
        </w:rPr>
        <w:t xml:space="preserve">checkRedFlags(p).activo</w:t>
      </w:r>
      <w:r>
        <w:t xml:space="preserve">, NO calcula ningún plan ambulatorio — regresa</w:t>
      </w:r>
      <w:r>
        <w:t xml:space="preserve"> </w:t>
      </w:r>
      <w:r>
        <w:rPr>
          <w:rStyle w:val="VerbatimChar"/>
        </w:rPr>
        <w:t xml:space="preserve">{items: [], ...}</w:t>
      </w:r>
      <w:r>
        <w:t xml:space="preserve"> </w:t>
      </w:r>
      <w:r>
        <w:t xml:space="preserve">con</w:t>
      </w:r>
      <w:r>
        <w:t xml:space="preserve"> </w:t>
      </w:r>
      <w:r>
        <w:rPr>
          <w:rStyle w:val="VerbatimChar"/>
        </w:rPr>
        <w:t xml:space="preserve">redFlags</w:t>
      </w:r>
      <w:r>
        <w:t xml:space="preserve"> </w:t>
      </w:r>
      <w:r>
        <w:t xml:space="preserve">poblado.</w:t>
      </w:r>
    </w:p>
    <w:p>
      <w:pPr>
        <w:numPr>
          <w:ilvl w:val="0"/>
          <w:numId w:val="1066"/>
        </w:numPr>
        <w:pStyle w:val="Compact"/>
      </w:pPr>
      <w:r>
        <w:rPr>
          <w:b/>
        </w:rPr>
        <w:t xml:space="preserve">Por qué:</w:t>
      </w:r>
      <w:r>
        <w:t xml:space="preserve"> </w:t>
      </w:r>
      <w:r>
        <w:t xml:space="preserve">recomendar</w:t>
      </w:r>
      <w:r>
        <w:t xml:space="preserve"> </w:t>
      </w:r>
      <w:r>
        <w:t xml:space="preserve">“</w:t>
      </w:r>
      <w:r>
        <w:t xml:space="preserve">iniciar metformina</w:t>
      </w:r>
      <w:r>
        <w:t xml:space="preserve">”</w:t>
      </w:r>
      <w:r>
        <w:t xml:space="preserve"> </w:t>
      </w:r>
      <w:r>
        <w:t xml:space="preserve">a un paciente con creatinina 12, por ejemplo, sería inútil en el mejor caso y peligroso en el peor</w:t>
      </w:r>
      <w:r>
        <w:t xml:space="preserve"> </w:t>
      </w:r>
      <w:r>
        <w:t xml:space="preserve">“</w:t>
      </w:r>
      <w:r>
        <w:t xml:space="preserve">si alguien lo lee sin pensar</w:t>
      </w:r>
      <w:r>
        <w:t xml:space="preserve">”</w:t>
      </w:r>
      <w:r>
        <w:t xml:space="preserve">. El límite es deliberado: solo detectar y derivar, nunca sugerir manejo agudo.</w:t>
      </w:r>
    </w:p>
    <w:p>
      <w:pPr>
        <w:numPr>
          <w:ilvl w:val="0"/>
          <w:numId w:val="1066"/>
        </w:numPr>
        <w:pStyle w:val="Compact"/>
      </w:pPr>
      <w:r>
        <w:rPr>
          <w:b/>
        </w:rPr>
        <w:t xml:space="preserve">Fuente:</w:t>
      </w:r>
      <w:r>
        <w:t xml:space="preserve"> </w:t>
      </w:r>
      <w:r>
        <w:t xml:space="preserve">delegada a</w:t>
      </w:r>
      <w:r>
        <w:t xml:space="preserve"> </w:t>
      </w:r>
      <w:r>
        <w:rPr>
          <w:rStyle w:val="VerbatimChar"/>
        </w:rPr>
        <w:t xml:space="preserve">redflags.js</w:t>
      </w:r>
      <w:r>
        <w:t xml:space="preserve"> </w:t>
      </w:r>
      <w:r>
        <w:t xml:space="preserve">(umbrales y su fuente documentados ahí, fuera de alcance de esta auditoría).</w:t>
      </w:r>
    </w:p>
    <w:p>
      <w:pPr>
        <w:numPr>
          <w:ilvl w:val="0"/>
          <w:numId w:val="1066"/>
        </w:numPr>
        <w:pStyle w:val="Compact"/>
      </w:pPr>
      <w:r>
        <w:rPr>
          <w:b/>
        </w:rPr>
        <w:t xml:space="preserve">Versión de la fuente:</w:t>
      </w:r>
      <w:r>
        <w:t xml:space="preserve"> </w:t>
      </w:r>
      <w:r>
        <w:t xml:space="preserve">No especificada en este archivo.</w:t>
      </w:r>
    </w:p>
    <w:p>
      <w:pPr>
        <w:numPr>
          <w:ilvl w:val="0"/>
          <w:numId w:val="1066"/>
        </w:numPr>
        <w:pStyle w:val="Compact"/>
      </w:pPr>
      <w:r>
        <w:rPr>
          <w:b/>
        </w:rPr>
        <w:t xml:space="preserve">Fecha de revisión:</w:t>
      </w:r>
      <w:r>
        <w:t xml:space="preserve"> </w:t>
      </w:r>
      <w:r>
        <w:t xml:space="preserve">10-ago-2026 (</w:t>
      </w:r>
      <w:r>
        <w:t xml:space="preserve">“</w:t>
      </w:r>
      <w:r>
        <w:t xml:space="preserve">cláusula de resguardo lógico</w:t>
      </w:r>
      <w:r>
        <w:t xml:space="preserve">”</w:t>
      </w:r>
      <w:r>
        <w:t xml:space="preserve">).</w:t>
      </w:r>
    </w:p>
    <w:p>
      <w:pPr>
        <w:numPr>
          <w:ilvl w:val="0"/>
          <w:numId w:val="1066"/>
        </w:numPr>
        <w:pStyle w:val="Compact"/>
      </w:pPr>
      <w:r>
        <w:rPr>
          <w:b/>
        </w:rPr>
        <w:t xml:space="preserve">Quién revisó:</w:t>
      </w:r>
      <w:r>
        <w:t xml:space="preserve"> </w:t>
      </w:r>
      <w:r>
        <w:t xml:space="preserve">Dr. Ortega (</w:t>
      </w:r>
      <w:r>
        <w:t xml:space="preserve">“</w:t>
      </w:r>
      <w:r>
        <w:t xml:space="preserve">propuesta del Dr. Ortega tras revisar 20 casos de borde clínico</w:t>
      </w:r>
      <w:r>
        <w:t xml:space="preserve">”</w:t>
      </w:r>
      <w:r>
        <w:t xml:space="preserve">).</w:t>
      </w:r>
    </w:p>
    <w:p>
      <w:pPr>
        <w:numPr>
          <w:ilvl w:val="0"/>
          <w:numId w:val="1066"/>
        </w:numPr>
        <w:pStyle w:val="Compact"/>
      </w:pPr>
      <w:r>
        <w:rPr>
          <w:b/>
        </w:rPr>
        <w:t xml:space="preserve">Casos que la validan:</w:t>
      </w:r>
      <w:r>
        <w:t xml:space="preserve"> </w:t>
      </w:r>
      <w:r>
        <w:rPr>
          <w:rStyle w:val="VerbatimChar"/>
        </w:rPr>
        <w:t xml:space="preserve">tests/edge-cases.test.mjs</w:t>
      </w:r>
      <w:r>
        <w:t xml:space="preserve"> </w:t>
      </w:r>
      <w:r>
        <w:t xml:space="preserve">(</w:t>
      </w:r>
      <w:r>
        <w:t xml:space="preserve">“</w:t>
      </w:r>
      <w:r>
        <w:t xml:space="preserve">Creatinina &gt;10 → guardrail activo, items vacíos</w:t>
      </w:r>
      <w:r>
        <w:t xml:space="preserve">”</w:t>
      </w:r>
      <w:r>
        <w:t xml:space="preserve">).</w:t>
      </w:r>
    </w:p>
    <w:p>
      <w:pPr>
        <w:numPr>
          <w:ilvl w:val="0"/>
          <w:numId w:val="1066"/>
        </w:numPr>
        <w:pStyle w:val="Compact"/>
      </w:pPr>
      <w:r>
        <w:rPr>
          <w:b/>
        </w:rPr>
        <w:t xml:space="preserve">Excepciones:</w:t>
      </w:r>
      <w:r>
        <w:t xml:space="preserve"> </w:t>
      </w:r>
      <w:r>
        <w:t xml:space="preserve">ninguna — es un corte absoluto, sin plan parcial.</w:t>
      </w:r>
    </w:p>
    <w:p>
      <w:pPr>
        <w:numPr>
          <w:ilvl w:val="0"/>
          <w:numId w:val="1066"/>
        </w:numPr>
        <w:pStyle w:val="Compact"/>
      </w:pPr>
      <w:r>
        <w:rPr>
          <w:b/>
        </w:rPr>
        <w:t xml:space="preserve">Qué faltan datos:</w:t>
      </w:r>
      <w:r>
        <w:t xml:space="preserve"> </w:t>
      </w:r>
      <w:r>
        <w:t xml:space="preserve">no evaluable en detalle sin leer</w:t>
      </w:r>
      <w:r>
        <w:t xml:space="preserve"> </w:t>
      </w:r>
      <w:r>
        <w:rPr>
          <w:rStyle w:val="VerbatimChar"/>
        </w:rPr>
        <w:t xml:space="preserve">redflags.js</w:t>
      </w:r>
      <w:r>
        <w:t xml:space="preserve">.</w:t>
      </w:r>
    </w:p>
    <w:p>
      <w:pPr>
        <w:numPr>
          <w:ilvl w:val="0"/>
          <w:numId w:val="1066"/>
        </w:numPr>
        <w:pStyle w:val="Compact"/>
      </w:pPr>
      <w:r>
        <w:rPr>
          <w:b/>
        </w:rPr>
        <w:t xml:space="preserve">Discrepancia entre guías:</w:t>
      </w:r>
      <w:r>
        <w:t xml:space="preserve"> </w:t>
      </w:r>
      <w:r>
        <w:t xml:space="preserve">no aplica en este archivo.</w:t>
      </w:r>
    </w:p>
    <w:p>
      <w:pPr>
        <w:pStyle w:val="Heading3"/>
      </w:pPr>
      <w:bookmarkStart w:id="95" w:name="gate-de-pa-para-invocar-buildhtnplan"/>
      <w:r>
        <w:t xml:space="preserve">9.2 Gate de PA para invocar</w:t>
      </w:r>
      <w:r>
        <w:t xml:space="preserve"> </w:t>
      </w:r>
      <w:r>
        <w:rPr>
          <w:rStyle w:val="VerbatimChar"/>
        </w:rPr>
        <w:t xml:space="preserve">buildHTNPlan</w:t>
      </w:r>
      <w:bookmarkEnd w:id="95"/>
    </w:p>
    <w:p>
      <w:pPr>
        <w:numPr>
          <w:ilvl w:val="0"/>
          <w:numId w:val="1067"/>
        </w:numPr>
        <w:pStyle w:val="Compact"/>
      </w:pPr>
      <w:r>
        <w:rPr>
          <w:b/>
        </w:rPr>
        <w:t xml:space="preserve">Qué hace:</w:t>
      </w:r>
      <w:r>
        <w:t xml:space="preserve"> </w:t>
      </w:r>
      <w:r>
        <w:t xml:space="preserve">solo llama a</w:t>
      </w:r>
      <w:r>
        <w:t xml:space="preserve"> </w:t>
      </w:r>
      <w:r>
        <w:rPr>
          <w:rStyle w:val="VerbatimChar"/>
        </w:rPr>
        <w:t xml:space="preserve">buildHTNPlan</w:t>
      </w:r>
      <w:r>
        <w:t xml:space="preserve"> </w:t>
      </w:r>
      <w:r>
        <w:t xml:space="preserve">si</w:t>
      </w:r>
      <w:r>
        <w:t xml:space="preserve"> </w:t>
      </w:r>
      <w:r>
        <w:rPr>
          <w:rStyle w:val="VerbatimChar"/>
        </w:rPr>
        <w:t xml:space="preserve">TAS≥130</w:t>
      </w:r>
      <w:r>
        <w:t xml:space="preserve"> </w:t>
      </w:r>
      <w:r>
        <w:t xml:space="preserve">O</w:t>
      </w:r>
      <w:r>
        <w:t xml:space="preserve"> </w:t>
      </w:r>
      <w:r>
        <w:rPr>
          <w:rStyle w:val="VerbatimChar"/>
        </w:rPr>
        <w:t xml:space="preserve">TAD≥80</w:t>
      </w:r>
      <w:r>
        <w:t xml:space="preserve">.</w:t>
      </w:r>
    </w:p>
    <w:p>
      <w:pPr>
        <w:numPr>
          <w:ilvl w:val="0"/>
          <w:numId w:val="1067"/>
        </w:numPr>
        <w:pStyle w:val="Compact"/>
      </w:pPr>
      <w:r>
        <w:rPr>
          <w:b/>
        </w:rPr>
        <w:t xml:space="preserve">Por qué:</w:t>
      </w:r>
      <w:r>
        <w:t xml:space="preserve"> </w:t>
      </w:r>
      <w:r>
        <w:t xml:space="preserve">evitar mostrar el motor de HTA en pacientes con PA claramente normal.</w:t>
      </w:r>
    </w:p>
    <w:p>
      <w:pPr>
        <w:numPr>
          <w:ilvl w:val="0"/>
          <w:numId w:val="1067"/>
        </w:numPr>
        <w:pStyle w:val="Compact"/>
      </w:pPr>
      <w:r>
        <w:rPr>
          <w:b/>
        </w:rPr>
        <w:t xml:space="preserve">Fuente:</w:t>
      </w:r>
      <w:r>
        <w:t xml:space="preserve"> </w:t>
      </w:r>
      <w:r>
        <w:t xml:space="preserve">umbral alineado a la Etapa 1 de</w:t>
      </w:r>
      <w:r>
        <w:t xml:space="preserve"> </w:t>
      </w:r>
      <w:r>
        <w:rPr>
          <w:rStyle w:val="VerbatimChar"/>
        </w:rPr>
        <w:t xml:space="preserve">classifyBP</w:t>
      </w:r>
      <w:r>
        <w:t xml:space="preserve"> </w:t>
      </w:r>
      <w:r>
        <w:t xml:space="preserve">(AHA/ACC 2025).</w:t>
      </w:r>
    </w:p>
    <w:p>
      <w:pPr>
        <w:numPr>
          <w:ilvl w:val="0"/>
          <w:numId w:val="1067"/>
        </w:numPr>
        <w:pStyle w:val="Compact"/>
      </w:pPr>
      <w:r>
        <w:rPr>
          <w:b/>
        </w:rPr>
        <w:t xml:space="preserve">Versión de la fuente:</w:t>
      </w:r>
      <w:r>
        <w:t xml:space="preserve"> </w:t>
      </w:r>
      <w:r>
        <w:t xml:space="preserve">2025.</w:t>
      </w:r>
    </w:p>
    <w:p>
      <w:pPr>
        <w:numPr>
          <w:ilvl w:val="0"/>
          <w:numId w:val="1067"/>
        </w:numPr>
        <w:pStyle w:val="Compact"/>
      </w:pPr>
      <w:r>
        <w:rPr>
          <w:b/>
        </w:rPr>
        <w:t xml:space="preserve">Fecha de revisión:</w:t>
      </w:r>
      <w:r>
        <w:t xml:space="preserve"> </w:t>
      </w:r>
      <w:r>
        <w:t xml:space="preserve">Sin fecha propia citada en esta línea de</w:t>
      </w:r>
      <w:r>
        <w:t xml:space="preserve"> </w:t>
      </w:r>
      <w:r>
        <w:rPr>
          <w:rStyle w:val="VerbatimChar"/>
        </w:rPr>
        <w:t xml:space="preserve">buildTreatmentPlan</w:t>
      </w:r>
      <w:r>
        <w:t xml:space="preserve">.</w:t>
      </w:r>
    </w:p>
    <w:p>
      <w:pPr>
        <w:numPr>
          <w:ilvl w:val="0"/>
          <w:numId w:val="1067"/>
        </w:numPr>
        <w:pStyle w:val="Compact"/>
      </w:pPr>
      <w:r>
        <w:rPr>
          <w:b/>
        </w:rPr>
        <w:t xml:space="preserve">Quién revisó:</w:t>
      </w:r>
      <w:r>
        <w:t xml:space="preserve"> </w:t>
      </w:r>
      <w:r>
        <w:t xml:space="preserve">No especificado.</w:t>
      </w:r>
    </w:p>
    <w:p>
      <w:pPr>
        <w:numPr>
          <w:ilvl w:val="0"/>
          <w:numId w:val="1067"/>
        </w:numPr>
        <w:pStyle w:val="Compact"/>
      </w:pPr>
      <w:r>
        <w:rPr>
          <w:b/>
        </w:rPr>
        <w:t xml:space="preserve">Casos que la validan:</w:t>
      </w:r>
      <w:r>
        <w:t xml:space="preserve"> </w:t>
      </w:r>
      <w:r>
        <w:t xml:space="preserve">indirectamente por todos los casos B1-B5 (ejercitan</w:t>
      </w:r>
      <w:r>
        <w:t xml:space="preserve"> </w:t>
      </w:r>
      <w:r>
        <w:rPr>
          <w:rStyle w:val="VerbatimChar"/>
        </w:rPr>
        <w:t xml:space="preserve">buildHTNPlan</w:t>
      </w:r>
      <w:r>
        <w:t xml:space="preserve"> </w:t>
      </w:r>
      <w:r>
        <w:t xml:space="preserve">directamente, no a través de este gate) — Sin caso de prueba identificado que ejercite específicamente el gate en</w:t>
      </w:r>
      <w:r>
        <w:t xml:space="preserve"> </w:t>
      </w:r>
      <w:r>
        <w:rPr>
          <w:rStyle w:val="VerbatimChar"/>
        </w:rPr>
        <w:t xml:space="preserve">buildTreatmentPlan</w:t>
      </w:r>
      <w:r>
        <w:t xml:space="preserve"> </w:t>
      </w:r>
      <w:r>
        <w:t xml:space="preserve">(ej. verificar que HTN NO aparece en</w:t>
      </w:r>
      <w:r>
        <w:t xml:space="preserve"> </w:t>
      </w:r>
      <w:r>
        <w:rPr>
          <w:rStyle w:val="VerbatimChar"/>
        </w:rPr>
        <w:t xml:space="preserve">items</w:t>
      </w:r>
      <w:r>
        <w:t xml:space="preserve"> </w:t>
      </w:r>
      <w:r>
        <w:t xml:space="preserve">cuando PA&lt;130/80) en los 3 archivos revisados.</w:t>
      </w:r>
    </w:p>
    <w:p>
      <w:pPr>
        <w:numPr>
          <w:ilvl w:val="0"/>
          <w:numId w:val="1067"/>
        </w:numPr>
        <w:pStyle w:val="Compact"/>
      </w:pPr>
      <w:r>
        <w:rPr>
          <w:b/>
        </w:rPr>
        <w:t xml:space="preserve">Excepciones:</w:t>
      </w:r>
      <w:r>
        <w:t xml:space="preserve"> </w:t>
      </w:r>
      <w:r>
        <w:t xml:space="preserve">documentado explícitamente en el comentario del Caso 42 (9.3): este gate es precisamente la razón por la que la hiperkalemia zona gris se evalúa FUERA de</w:t>
      </w:r>
      <w:r>
        <w:t xml:space="preserve"> </w:t>
      </w:r>
      <w:r>
        <w:rPr>
          <w:rStyle w:val="VerbatimChar"/>
        </w:rPr>
        <w:t xml:space="preserve">buildHTNPlan</w:t>
      </w:r>
      <w:r>
        <w:t xml:space="preserve">, para no depender de que la PA esté elevada.</w:t>
      </w:r>
    </w:p>
    <w:p>
      <w:pPr>
        <w:numPr>
          <w:ilvl w:val="0"/>
          <w:numId w:val="1067"/>
        </w:numPr>
        <w:pStyle w:val="Compact"/>
      </w:pPr>
      <w:r>
        <w:rPr>
          <w:b/>
        </w:rPr>
        <w:t xml:space="preserve">Qué faltan datos:</w:t>
      </w:r>
      <w:r>
        <w:t xml:space="preserve"> </w:t>
      </w:r>
      <w:r>
        <w:t xml:space="preserve">si</w:t>
      </w:r>
      <w:r>
        <w:t xml:space="preserve"> </w:t>
      </w:r>
      <w:r>
        <w:rPr>
          <w:rStyle w:val="VerbatimChar"/>
        </w:rPr>
        <w:t xml:space="preserve">p.tas</w:t>
      </w:r>
      <w:r>
        <w:t xml:space="preserve">/</w:t>
      </w:r>
      <w:r>
        <w:rPr>
          <w:rStyle w:val="VerbatimChar"/>
        </w:rPr>
        <w:t xml:space="preserve">p.tad</w:t>
      </w:r>
      <w:r>
        <w:t xml:space="preserve"> </w:t>
      </w:r>
      <w:r>
        <w:t xml:space="preserve">faltan,</w:t>
      </w:r>
      <w:r>
        <w:t xml:space="preserve"> </w:t>
      </w:r>
      <w:r>
        <w:rPr>
          <w:rStyle w:val="VerbatimChar"/>
        </w:rPr>
        <w:t xml:space="preserve">v()</w:t>
      </w:r>
      <w:r>
        <w:t xml:space="preserve"> </w:t>
      </w:r>
      <w:r>
        <w:t xml:space="preserve">los vuelve</w:t>
      </w:r>
      <w:r>
        <w:t xml:space="preserve"> </w:t>
      </w:r>
      <w:r>
        <w:rPr>
          <w:rStyle w:val="VerbatimChar"/>
        </w:rPr>
        <w:t xml:space="preserve">0</w:t>
      </w:r>
      <w:r>
        <w:t xml:space="preserve">, y</w:t>
      </w:r>
      <w:r>
        <w:t xml:space="preserve"> </w:t>
      </w:r>
      <w:r>
        <w:rPr>
          <w:rStyle w:val="VerbatimChar"/>
        </w:rPr>
        <w:t xml:space="preserve">0≥130</w:t>
      </w:r>
      <w:r>
        <w:t xml:space="preserve"> </w:t>
      </w:r>
      <w:r>
        <w:t xml:space="preserve">es</w:t>
      </w:r>
      <w:r>
        <w:t xml:space="preserve"> </w:t>
      </w:r>
      <w:r>
        <w:rPr>
          <w:rStyle w:val="VerbatimChar"/>
        </w:rPr>
        <w:t xml:space="preserve">false</w:t>
      </w:r>
      <w:r>
        <w:t xml:space="preserve"> </w:t>
      </w:r>
      <w:r>
        <w:t xml:space="preserve">—</w:t>
      </w:r>
      <w:r>
        <w:t xml:space="preserve"> </w:t>
      </w:r>
      <w:r>
        <w:rPr>
          <w:rStyle w:val="VerbatimChar"/>
        </w:rPr>
        <w:t xml:space="preserve">buildHTNPlan</w:t>
      </w:r>
      <w:r>
        <w:t xml:space="preserve"> </w:t>
      </w:r>
      <w:r>
        <w:t xml:space="preserve">nunca se invoca, sin ninguna advertencia de</w:t>
      </w:r>
      <w:r>
        <w:t xml:space="preserve"> </w:t>
      </w:r>
      <w:r>
        <w:t xml:space="preserve">“</w:t>
      </w:r>
      <w:r>
        <w:t xml:space="preserve">PA no evaluada</w:t>
      </w:r>
      <w:r>
        <w:t xml:space="preserve">”</w:t>
      </w:r>
      <w:r>
        <w:t xml:space="preserve">. Un paciente hipertenso real sin PA capturada en esta consulta no recibe ninguna recomendación de HTA.</w:t>
      </w:r>
    </w:p>
    <w:p>
      <w:pPr>
        <w:numPr>
          <w:ilvl w:val="0"/>
          <w:numId w:val="1067"/>
        </w:numPr>
        <w:pStyle w:val="Compact"/>
      </w:pPr>
      <w:r>
        <w:rPr>
          <w:b/>
        </w:rPr>
        <w:t xml:space="preserve">Discrepancia entre guías:</w:t>
      </w:r>
      <w:r>
        <w:t xml:space="preserve"> </w:t>
      </w:r>
      <w:r>
        <w:t xml:space="preserve">no aplica.</w:t>
      </w:r>
    </w:p>
    <w:p>
      <w:pPr>
        <w:pStyle w:val="Heading3"/>
      </w:pPr>
      <w:bookmarkStart w:id="96" w:name="X16b1fd1da2e45a401a1411bc3c5333714ff844e"/>
      <w:r>
        <w:t xml:space="preserve">9.3 Hiperkalemia zona gris con RAAS/MRA activo (evaluada fuera del gate de PA)</w:t>
      </w:r>
      <w:bookmarkEnd w:id="96"/>
    </w:p>
    <w:p>
      <w:pPr>
        <w:numPr>
          <w:ilvl w:val="0"/>
          <w:numId w:val="1068"/>
        </w:numPr>
        <w:pStyle w:val="Compact"/>
      </w:pPr>
      <w:r>
        <w:rPr>
          <w:b/>
        </w:rPr>
        <w:t xml:space="preserve">Qué hace:</w:t>
      </w:r>
      <w:r>
        <w:t xml:space="preserve"> </w:t>
      </w:r>
      <w:r>
        <w:rPr>
          <w:rStyle w:val="VerbatimChar"/>
        </w:rPr>
        <w:t xml:space="preserve">checkHyperkalemiaZoneGray(p, htnStateForAdvisories)</w:t>
      </w:r>
      <w:r>
        <w:t xml:space="preserve"> </w:t>
      </w:r>
      <w:r>
        <w:t xml:space="preserve">se evalúa siempre, independientemente del gate 9.2 — un paciente con PA bien controlada (&lt;130/80) puede seguir en RAAS/MRA por indicación renal/IC y desarrollar hiperkalemia de todos modos.</w:t>
      </w:r>
    </w:p>
    <w:p>
      <w:pPr>
        <w:numPr>
          <w:ilvl w:val="0"/>
          <w:numId w:val="1068"/>
        </w:numPr>
        <w:pStyle w:val="Compact"/>
      </w:pPr>
      <w:r>
        <w:rPr>
          <w:b/>
        </w:rPr>
        <w:t xml:space="preserve">Por qué:</w:t>
      </w:r>
      <w:r>
        <w:t xml:space="preserve"> </w:t>
      </w:r>
      <w:r>
        <w:t xml:space="preserve">el caso no debe depender de que la PA esté elevada para aparecer.</w:t>
      </w:r>
    </w:p>
    <w:p>
      <w:pPr>
        <w:numPr>
          <w:ilvl w:val="0"/>
          <w:numId w:val="1068"/>
        </w:numPr>
        <w:pStyle w:val="Compact"/>
      </w:pPr>
      <w:r>
        <w:rPr>
          <w:b/>
        </w:rPr>
        <w:t xml:space="preserve">Fuente:</w:t>
      </w:r>
      <w:r>
        <w:t xml:space="preserve"> </w:t>
      </w:r>
      <w:r>
        <w:t xml:space="preserve">delegada a</w:t>
      </w:r>
      <w:r>
        <w:t xml:space="preserve"> </w:t>
      </w:r>
      <w:r>
        <w:rPr>
          <w:rStyle w:val="VerbatimChar"/>
        </w:rPr>
        <w:t xml:space="preserve">borderline-labs.js</w:t>
      </w:r>
      <w:r>
        <w:t xml:space="preserve">.</w:t>
      </w:r>
    </w:p>
    <w:p>
      <w:pPr>
        <w:numPr>
          <w:ilvl w:val="0"/>
          <w:numId w:val="1068"/>
        </w:numPr>
        <w:pStyle w:val="Compact"/>
      </w:pPr>
      <w:r>
        <w:rPr>
          <w:b/>
        </w:rPr>
        <w:t xml:space="preserve">Versión de la fuente:</w:t>
      </w:r>
      <w:r>
        <w:t xml:space="preserve"> </w:t>
      </w:r>
      <w:r>
        <w:t xml:space="preserve">No especificada en este archivo.</w:t>
      </w:r>
    </w:p>
    <w:p>
      <w:pPr>
        <w:numPr>
          <w:ilvl w:val="0"/>
          <w:numId w:val="1068"/>
        </w:numPr>
        <w:pStyle w:val="Compact"/>
      </w:pPr>
      <w:r>
        <w:rPr>
          <w:b/>
        </w:rPr>
        <w:t xml:space="preserve">Fecha de revisión:</w:t>
      </w:r>
      <w:r>
        <w:t xml:space="preserve"> </w:t>
      </w:r>
      <w:r>
        <w:t xml:space="preserve">Caso 42, 10-ago-2026.</w:t>
      </w:r>
    </w:p>
    <w:p>
      <w:pPr>
        <w:numPr>
          <w:ilvl w:val="0"/>
          <w:numId w:val="1068"/>
        </w:numPr>
        <w:pStyle w:val="Compact"/>
      </w:pPr>
      <w:r>
        <w:rPr>
          <w:b/>
        </w:rPr>
        <w:t xml:space="preserve">Quién revisó:</w:t>
      </w:r>
      <w:r>
        <w:t xml:space="preserve"> </w:t>
      </w:r>
      <w:r>
        <w:t xml:space="preserve">Dr. Ortega.</w:t>
      </w:r>
    </w:p>
    <w:p>
      <w:pPr>
        <w:numPr>
          <w:ilvl w:val="0"/>
          <w:numId w:val="1068"/>
        </w:numPr>
        <w:pStyle w:val="Compact"/>
      </w:pPr>
      <w:r>
        <w:rPr>
          <w:b/>
        </w:rPr>
        <w:t xml:space="preserve">Casos que la validan:</w:t>
      </w:r>
      <w:r>
        <w:t xml:space="preserve"> </w:t>
      </w:r>
      <w:r>
        <w:t xml:space="preserve">Caso 42 (edge-cases) —</w:t>
      </w:r>
      <w:r>
        <w:t xml:space="preserve"> </w:t>
      </w:r>
      <w:r>
        <w:t xml:space="preserve">“</w:t>
      </w:r>
      <w:r>
        <w:t xml:space="preserve">K+ 5.6 + IECA+MRA (PA controlada, sin gate de PA) → sugiere quelante, NO suspende RAAS</w:t>
      </w:r>
      <w:r>
        <w:t xml:space="preserve">”</w:t>
      </w:r>
      <w:r>
        <w:t xml:space="preserve">;</w:t>
      </w:r>
      <w:r>
        <w:t xml:space="preserve"> </w:t>
      </w:r>
      <w:r>
        <w:t xml:space="preserve">“</w:t>
      </w:r>
      <w:r>
        <w:t xml:space="preserve">K+ &gt;6.5 → va a guardrail, no al aviso de quelante</w:t>
      </w:r>
      <w:r>
        <w:t xml:space="preserve">”</w:t>
      </w:r>
      <w:r>
        <w:t xml:space="preserve">.</w:t>
      </w:r>
    </w:p>
    <w:p>
      <w:pPr>
        <w:numPr>
          <w:ilvl w:val="0"/>
          <w:numId w:val="1068"/>
        </w:numPr>
        <w:pStyle w:val="Compact"/>
      </w:pPr>
      <w:r>
        <w:rPr>
          <w:b/>
        </w:rPr>
        <w:t xml:space="preserve">Excepciones:</w:t>
      </w:r>
      <w:r>
        <w:t xml:space="preserve"> </w:t>
      </w:r>
      <w:r>
        <w:t xml:space="preserve">K+ severo (&gt;6.5) se desvía al guardrail de red flags (9.1), no a esta advertencia de zona gris.</w:t>
      </w:r>
    </w:p>
    <w:p>
      <w:pPr>
        <w:numPr>
          <w:ilvl w:val="0"/>
          <w:numId w:val="1068"/>
        </w:numPr>
        <w:pStyle w:val="Compact"/>
      </w:pPr>
      <w:r>
        <w:rPr>
          <w:b/>
        </w:rPr>
        <w:t xml:space="preserve">Qué faltan datos:</w:t>
      </w:r>
      <w:r>
        <w:t xml:space="preserve"> </w:t>
      </w:r>
      <w:r>
        <w:t xml:space="preserve">no evaluable en detalle sin leer</w:t>
      </w:r>
      <w:r>
        <w:t xml:space="preserve"> </w:t>
      </w:r>
      <w:r>
        <w:rPr>
          <w:rStyle w:val="VerbatimChar"/>
        </w:rPr>
        <w:t xml:space="preserve">borderline-labs.js</w:t>
      </w:r>
      <w:r>
        <w:t xml:space="preserve">.</w:t>
      </w:r>
    </w:p>
    <w:p>
      <w:pPr>
        <w:numPr>
          <w:ilvl w:val="0"/>
          <w:numId w:val="1068"/>
        </w:numPr>
        <w:pStyle w:val="Compact"/>
      </w:pPr>
      <w:r>
        <w:rPr>
          <w:b/>
        </w:rPr>
        <w:t xml:space="preserve">Discrepancia entre guías:</w:t>
      </w:r>
      <w:r>
        <w:t xml:space="preserve"> </w:t>
      </w:r>
      <w:r>
        <w:t xml:space="preserve">no aplica en este archivo.</w:t>
      </w:r>
    </w:p>
    <w:p>
      <w:pPr>
        <w:pStyle w:val="Heading3"/>
      </w:pPr>
      <w:bookmarkStart w:id="97" w:name="X52549cf98457542a40dfef6b2ccf3d490ef306f"/>
      <w:r>
        <w:t xml:space="preserve">9.4 Beta-bloqueante GDMT para IC (fuera del gate de PA)</w:t>
      </w:r>
      <w:bookmarkEnd w:id="97"/>
    </w:p>
    <w:p>
      <w:pPr>
        <w:numPr>
          <w:ilvl w:val="0"/>
          <w:numId w:val="1069"/>
        </w:numPr>
        <w:pStyle w:val="Compact"/>
      </w:pPr>
      <w:r>
        <w:rPr>
          <w:b/>
        </w:rPr>
        <w:t xml:space="preserve">Qué hace:</w:t>
      </w:r>
      <w:r>
        <w:t xml:space="preserve"> </w:t>
      </w:r>
      <w:r>
        <w:t xml:space="preserve">si</w:t>
      </w:r>
      <w:r>
        <w:t xml:space="preserve"> </w:t>
      </w:r>
      <w:r>
        <w:rPr>
          <w:rStyle w:val="VerbatimChar"/>
        </w:rPr>
        <w:t xml:space="preserve">dm.flags.ic</w:t>
      </w:r>
      <w:r>
        <w:t xml:space="preserve"> </w:t>
      </w:r>
      <w:r>
        <w:t xml:space="preserve">y el paciente NO está en NINGÚN beta-bloqueante, sugiere uno de los 3 con evidencia de mortalidad en IC-FEVI reducida (Carvedilol/Bisoprolol/Metoprolol Succinato) — evaluado aquí, no dentro de</w:t>
      </w:r>
      <w:r>
        <w:t xml:space="preserve"> </w:t>
      </w:r>
      <w:r>
        <w:rPr>
          <w:rStyle w:val="VerbatimChar"/>
        </w:rPr>
        <w:t xml:space="preserve">buildHTNPlan</w:t>
      </w:r>
      <w:r>
        <w:t xml:space="preserve">, porque un paciente con IC y PA ya controlada sigue necesitando este pilar.</w:t>
      </w:r>
    </w:p>
    <w:p>
      <w:pPr>
        <w:numPr>
          <w:ilvl w:val="0"/>
          <w:numId w:val="1069"/>
        </w:numPr>
        <w:pStyle w:val="Compact"/>
      </w:pPr>
      <w:r>
        <w:rPr>
          <w:b/>
        </w:rPr>
        <w:t xml:space="preserve">Por qué:</w:t>
      </w:r>
      <w:r>
        <w:t xml:space="preserve"> </w:t>
      </w:r>
      <w:r>
        <w:t xml:space="preserve">completar el 2º pilar de la terapia cuádruple de IC (RAAS + beta-bloqueante + MRA + iSGLT2) — antes ninguna rama del motor los recomendaba activamente pese a existir en el catálogo.</w:t>
      </w:r>
    </w:p>
    <w:p>
      <w:pPr>
        <w:numPr>
          <w:ilvl w:val="0"/>
          <w:numId w:val="1069"/>
        </w:numPr>
        <w:pStyle w:val="Compact"/>
      </w:pPr>
      <w:r>
        <w:rPr>
          <w:b/>
        </w:rPr>
        <w:t xml:space="preserve">Fuente:</w:t>
      </w:r>
      <w:r>
        <w:t xml:space="preserve"> </w:t>
      </w:r>
      <w:r>
        <w:t xml:space="preserve">AHA/ACC/HFSA 2022 (terapia cuádruple GDMT).</w:t>
      </w:r>
    </w:p>
    <w:p>
      <w:pPr>
        <w:numPr>
          <w:ilvl w:val="0"/>
          <w:numId w:val="1069"/>
        </w:numPr>
        <w:pStyle w:val="Compact"/>
      </w:pPr>
      <w:r>
        <w:rPr>
          <w:b/>
        </w:rPr>
        <w:t xml:space="preserve">Versión de la fuente:</w:t>
      </w:r>
      <w:r>
        <w:t xml:space="preserve"> </w:t>
      </w:r>
      <w:r>
        <w:t xml:space="preserve">2022.</w:t>
      </w:r>
    </w:p>
    <w:p>
      <w:pPr>
        <w:numPr>
          <w:ilvl w:val="0"/>
          <w:numId w:val="1069"/>
        </w:numPr>
        <w:pStyle w:val="Compact"/>
      </w:pPr>
      <w:r>
        <w:rPr>
          <w:b/>
        </w:rPr>
        <w:t xml:space="preserve">Fecha de revisión:</w:t>
      </w:r>
      <w:r>
        <w:t xml:space="preserve"> </w:t>
      </w:r>
      <w:r>
        <w:t xml:space="preserve">11-ago-2026 (</w:t>
      </w:r>
      <w:r>
        <w:t xml:space="preserve">“</w:t>
      </w:r>
      <w:r>
        <w:t xml:space="preserve">auditoría de secuencia</w:t>
      </w:r>
      <w:r>
        <w:t xml:space="preserve">”</w:t>
      </w:r>
      <w:r>
        <w:t xml:space="preserve">).</w:t>
      </w:r>
    </w:p>
    <w:p>
      <w:pPr>
        <w:numPr>
          <w:ilvl w:val="0"/>
          <w:numId w:val="1069"/>
        </w:numPr>
        <w:pStyle w:val="Compact"/>
      </w:pPr>
      <w:r>
        <w:rPr>
          <w:b/>
        </w:rPr>
        <w:t xml:space="preserve">Quién revisó:</w:t>
      </w:r>
      <w:r>
        <w:t xml:space="preserve"> </w:t>
      </w:r>
      <w:r>
        <w:t xml:space="preserve">Dr. Ortega.</w:t>
      </w:r>
    </w:p>
    <w:p>
      <w:pPr>
        <w:numPr>
          <w:ilvl w:val="0"/>
          <w:numId w:val="1069"/>
        </w:numPr>
        <w:pStyle w:val="Compact"/>
      </w:pPr>
      <w:r>
        <w:rPr>
          <w:b/>
        </w:rPr>
        <w:t xml:space="preserve">Casos que la validan:</w:t>
      </w:r>
      <w:r>
        <w:t xml:space="preserve"> </w:t>
      </w:r>
      <w:r>
        <w:t xml:space="preserve">Sin caso de prueba identificado directo sobre esta regla específica (beta-bloqueante GDMT vía</w:t>
      </w:r>
      <w:r>
        <w:t xml:space="preserve"> </w:t>
      </w:r>
      <w:r>
        <w:rPr>
          <w:rStyle w:val="VerbatimChar"/>
        </w:rPr>
        <w:t xml:space="preserve">buildTreatmentPlan</w:t>
      </w:r>
      <w:r>
        <w:t xml:space="preserve">) en los 3 archivos revisados.</w:t>
      </w:r>
    </w:p>
    <w:p>
      <w:pPr>
        <w:numPr>
          <w:ilvl w:val="0"/>
          <w:numId w:val="1069"/>
        </w:numPr>
        <w:pStyle w:val="Compact"/>
      </w:pPr>
      <w:r>
        <w:rPr>
          <w:b/>
        </w:rPr>
        <w:t xml:space="preserve">Excepciones:</w:t>
      </w:r>
      <w:r>
        <w:t xml:space="preserve"> </w:t>
      </w:r>
      <w:r>
        <w:t xml:space="preserve">“</w:t>
      </w:r>
      <w:r>
        <w:t xml:space="preserve">no se sustituye uno no-GDMT que el médico ya eligió por otra razón, esto solo cubre el vacío de</w:t>
      </w:r>
      <w:r>
        <w:t xml:space="preserve"> </w:t>
      </w:r>
      <w:r>
        <w:t xml:space="preserve">‘</w:t>
      </w:r>
      <w:r>
        <w:t xml:space="preserve">ninguno en absoluto</w:t>
      </w:r>
      <w:r>
        <w:t xml:space="preserve">’</w:t>
      </w:r>
      <w:r>
        <w:t xml:space="preserve">”</w:t>
      </w:r>
      <w:r>
        <w:t xml:space="preserve"> </w:t>
      </w:r>
      <w:r>
        <w:t xml:space="preserve">— documentado explícitamente.</w:t>
      </w:r>
    </w:p>
    <w:p>
      <w:pPr>
        <w:numPr>
          <w:ilvl w:val="0"/>
          <w:numId w:val="1069"/>
        </w:numPr>
        <w:pStyle w:val="Compact"/>
      </w:pPr>
      <w:r>
        <w:rPr>
          <w:b/>
        </w:rPr>
        <w:t xml:space="preserve">Qué faltan datos:</w:t>
      </w:r>
      <w:r>
        <w:t xml:space="preserve"> </w:t>
      </w:r>
      <w:r>
        <w:t xml:space="preserve">depende de</w:t>
      </w:r>
      <w:r>
        <w:t xml:space="preserve"> </w:t>
      </w:r>
      <w:r>
        <w:rPr>
          <w:rStyle w:val="VerbatimChar"/>
        </w:rPr>
        <w:t xml:space="preserve">dm.flags.ic</w:t>
      </w:r>
      <w:r>
        <w:t xml:space="preserve"> </w:t>
      </w:r>
      <w:r>
        <w:t xml:space="preserve">(checkbox), mismo patrón de</w:t>
      </w:r>
      <w:r>
        <w:t xml:space="preserve"> </w:t>
      </w:r>
      <w:r>
        <w:t xml:space="preserve">“</w:t>
      </w:r>
      <w:r>
        <w:t xml:space="preserve">no marcado = false</w:t>
      </w:r>
      <w:r>
        <w:t xml:space="preserve">”</w:t>
      </w:r>
      <w:r>
        <w:t xml:space="preserve"> </w:t>
      </w:r>
      <w:r>
        <w:t xml:space="preserve">de la sección 3.</w:t>
      </w:r>
    </w:p>
    <w:p>
      <w:pPr>
        <w:numPr>
          <w:ilvl w:val="0"/>
          <w:numId w:val="1069"/>
        </w:numPr>
        <w:pStyle w:val="Compact"/>
      </w:pPr>
      <w:r>
        <w:rPr>
          <w:b/>
        </w:rPr>
        <w:t xml:space="preserve">Discrepancia entre guías:</w:t>
      </w:r>
      <w:r>
        <w:t xml:space="preserve"> </w:t>
      </w:r>
      <w:r>
        <w:t xml:space="preserve">no aplica.</w:t>
      </w:r>
    </w:p>
    <w:p>
      <w:pPr>
        <w:pStyle w:val="Heading3"/>
      </w:pPr>
      <w:bookmarkStart w:id="98" w:name="Xa6c5c2a9aac48f1ced3f012900bf3f89d867947"/>
      <w:r>
        <w:t xml:space="preserve">9.5</w:t>
      </w:r>
      <w:r>
        <w:t xml:space="preserve"> </w:t>
      </w:r>
      <w:r>
        <w:t xml:space="preserve">“</w:t>
      </w:r>
      <w:r>
        <w:t xml:space="preserve">Tríada Mortal</w:t>
      </w:r>
      <w:r>
        <w:t xml:space="preserve">”</w:t>
      </w:r>
      <w:r>
        <w:t xml:space="preserve"> </w:t>
      </w:r>
      <w:r>
        <w:t xml:space="preserve">(AINE + RAAS +/- diurético) y nefrotoxicidad AINE+ERC independiente</w:t>
      </w:r>
      <w:bookmarkEnd w:id="98"/>
    </w:p>
    <w:p>
      <w:pPr>
        <w:numPr>
          <w:ilvl w:val="0"/>
          <w:numId w:val="1070"/>
        </w:numPr>
        <w:pStyle w:val="Compact"/>
      </w:pPr>
      <w:r>
        <w:rPr>
          <w:b/>
        </w:rPr>
        <w:t xml:space="preserve">Qué hace:</w:t>
      </w:r>
      <w:r>
        <w:t xml:space="preserve"> </w:t>
      </w:r>
      <w:r>
        <w:rPr>
          <w:rStyle w:val="VerbatimChar"/>
        </w:rPr>
        <w:t xml:space="preserve">checkTripleWhammy</w:t>
      </w:r>
      <w:r>
        <w:t xml:space="preserve"> </w:t>
      </w:r>
      <w:r>
        <w:t xml:space="preserve">evalúa AINE+RAAS(+diurético) fuera del gate de PA; si NO se activó,</w:t>
      </w:r>
      <w:r>
        <w:t xml:space="preserve"> </w:t>
      </w:r>
      <w:r>
        <w:rPr>
          <w:rStyle w:val="VerbatimChar"/>
        </w:rPr>
        <w:t xml:space="preserve">checkNsaidCkdRisk</w:t>
      </w:r>
      <w:r>
        <w:t xml:space="preserve"> </w:t>
      </w:r>
      <w:r>
        <w:t xml:space="preserve">evalúa nefrotoxicidad AINE+ERC de base independientemente de RAAS/diurético — sin duplicar advertencia si ambas aplicarían a la vez (el mensaje de Tríada Mortal es más específico y gana).</w:t>
      </w:r>
    </w:p>
    <w:p>
      <w:pPr>
        <w:numPr>
          <w:ilvl w:val="0"/>
          <w:numId w:val="1070"/>
        </w:numPr>
        <w:pStyle w:val="Compact"/>
      </w:pPr>
      <w:r>
        <w:rPr>
          <w:b/>
        </w:rPr>
        <w:t xml:space="preserve">Por qué:</w:t>
      </w:r>
      <w:r>
        <w:t xml:space="preserve"> </w:t>
      </w:r>
      <w:r>
        <w:t xml:space="preserve">el riesgo renal de esta combinación no depende de qué tan alta esté la PA actual.</w:t>
      </w:r>
    </w:p>
    <w:p>
      <w:pPr>
        <w:numPr>
          <w:ilvl w:val="0"/>
          <w:numId w:val="1070"/>
        </w:numPr>
        <w:pStyle w:val="Compact"/>
      </w:pPr>
      <w:r>
        <w:rPr>
          <w:b/>
        </w:rPr>
        <w:t xml:space="preserve">Fuente:</w:t>
      </w:r>
      <w:r>
        <w:t xml:space="preserve"> </w:t>
      </w:r>
      <w:r>
        <w:t xml:space="preserve">delegada a</w:t>
      </w:r>
      <w:r>
        <w:t xml:space="preserve"> </w:t>
      </w:r>
      <w:r>
        <w:rPr>
          <w:rStyle w:val="VerbatimChar"/>
        </w:rPr>
        <w:t xml:space="preserve">polypharmacy.js</w:t>
      </w:r>
      <w:r>
        <w:t xml:space="preserve">.</w:t>
      </w:r>
    </w:p>
    <w:p>
      <w:pPr>
        <w:numPr>
          <w:ilvl w:val="0"/>
          <w:numId w:val="1070"/>
        </w:numPr>
        <w:pStyle w:val="Compact"/>
      </w:pPr>
      <w:r>
        <w:rPr>
          <w:b/>
        </w:rPr>
        <w:t xml:space="preserve">Versión de la fuente:</w:t>
      </w:r>
      <w:r>
        <w:t xml:space="preserve"> </w:t>
      </w:r>
      <w:r>
        <w:t xml:space="preserve">No especificada en este archivo.</w:t>
      </w:r>
    </w:p>
    <w:p>
      <w:pPr>
        <w:numPr>
          <w:ilvl w:val="0"/>
          <w:numId w:val="1070"/>
        </w:numPr>
        <w:pStyle w:val="Compact"/>
      </w:pPr>
      <w:r>
        <w:rPr>
          <w:b/>
        </w:rPr>
        <w:t xml:space="preserve">Fecha de revisión:</w:t>
      </w:r>
      <w:r>
        <w:t xml:space="preserve"> </w:t>
      </w:r>
      <w:r>
        <w:t xml:space="preserve">Caso 45 (Tríada Mortal) y Caso 47 (nefrotoxicidad independiente), 10-ago-2026.</w:t>
      </w:r>
    </w:p>
    <w:p>
      <w:pPr>
        <w:numPr>
          <w:ilvl w:val="0"/>
          <w:numId w:val="1070"/>
        </w:numPr>
        <w:pStyle w:val="Compact"/>
      </w:pPr>
      <w:r>
        <w:rPr>
          <w:b/>
        </w:rPr>
        <w:t xml:space="preserve">Quién revisó:</w:t>
      </w:r>
      <w:r>
        <w:t xml:space="preserve"> </w:t>
      </w:r>
      <w:r>
        <w:t xml:space="preserve">Dr. Ortega.</w:t>
      </w:r>
    </w:p>
    <w:p>
      <w:pPr>
        <w:numPr>
          <w:ilvl w:val="0"/>
          <w:numId w:val="1070"/>
        </w:numPr>
        <w:pStyle w:val="Compact"/>
      </w:pPr>
      <w:r>
        <w:rPr>
          <w:b/>
        </w:rPr>
        <w:t xml:space="preserve">Casos que la validan:</w:t>
      </w:r>
      <w:r>
        <w:t xml:space="preserve"> </w:t>
      </w:r>
      <w:r>
        <w:t xml:space="preserve">Caso 45 (edge-cases) —</w:t>
      </w:r>
      <w:r>
        <w:t xml:space="preserve"> </w:t>
      </w:r>
      <w:r>
        <w:t xml:space="preserve">“</w:t>
      </w:r>
      <w:r>
        <w:t xml:space="preserve">AINE+IECA+diurético de asa → Tríada Mortal (riesgo alto)</w:t>
      </w:r>
      <w:r>
        <w:t xml:space="preserve">”</w:t>
      </w:r>
      <w:r>
        <w:t xml:space="preserve">;</w:t>
      </w:r>
      <w:r>
        <w:t xml:space="preserve"> </w:t>
      </w:r>
      <w:r>
        <w:t xml:space="preserve">“</w:t>
      </w:r>
      <w:r>
        <w:t xml:space="preserve">AINE+IECA sin diurético → riesgo moderado</w:t>
      </w:r>
      <w:r>
        <w:t xml:space="preserve">”</w:t>
      </w:r>
      <w:r>
        <w:t xml:space="preserve">;</w:t>
      </w:r>
      <w:r>
        <w:t xml:space="preserve"> </w:t>
      </w:r>
      <w:r>
        <w:t xml:space="preserve">“</w:t>
      </w:r>
      <w:r>
        <w:t xml:space="preserve">sin AINE reciente → no se activa</w:t>
      </w:r>
      <w:r>
        <w:t xml:space="preserve">”</w:t>
      </w:r>
      <w:r>
        <w:t xml:space="preserve">; Caso 47 —</w:t>
      </w:r>
      <w:r>
        <w:t xml:space="preserve"> </w:t>
      </w:r>
      <w:r>
        <w:t xml:space="preserve">“</w:t>
      </w:r>
      <w:r>
        <w:t xml:space="preserve">AINE+ERC de base (sin RAAS/diurético) → advierte nefrotoxicidad independiente</w:t>
      </w:r>
      <w:r>
        <w:t xml:space="preserve">”</w:t>
      </w:r>
      <w:r>
        <w:t xml:space="preserve">;</w:t>
      </w:r>
      <w:r>
        <w:t xml:space="preserve"> </w:t>
      </w:r>
      <w:r>
        <w:t xml:space="preserve">“</w:t>
      </w:r>
      <w:r>
        <w:t xml:space="preserve">Caso 47+45 combinados → no duplica, solo la tarjeta más específica</w:t>
      </w:r>
      <w:r>
        <w:t xml:space="preserve">”</w:t>
      </w:r>
      <w:r>
        <w:t xml:space="preserve">.</w:t>
      </w:r>
    </w:p>
    <w:p>
      <w:pPr>
        <w:numPr>
          <w:ilvl w:val="0"/>
          <w:numId w:val="1070"/>
        </w:numPr>
        <w:pStyle w:val="Compact"/>
      </w:pPr>
      <w:r>
        <w:rPr>
          <w:b/>
        </w:rPr>
        <w:t xml:space="preserve">Excepciones:</w:t>
      </w:r>
      <w:r>
        <w:t xml:space="preserve"> </w:t>
      </w:r>
      <w:r>
        <w:t xml:space="preserve">deduplicación explícita entre ambos casos (47 no se muestra si 45 ya cubrió el mismo AINE).</w:t>
      </w:r>
    </w:p>
    <w:p>
      <w:pPr>
        <w:numPr>
          <w:ilvl w:val="0"/>
          <w:numId w:val="1070"/>
        </w:numPr>
        <w:pStyle w:val="Compact"/>
      </w:pPr>
      <w:r>
        <w:rPr>
          <w:b/>
        </w:rPr>
        <w:t xml:space="preserve">Qué faltan datos:</w:t>
      </w:r>
      <w:r>
        <w:t xml:space="preserve"> </w:t>
      </w:r>
      <w:r>
        <w:t xml:space="preserve">depende de</w:t>
      </w:r>
      <w:r>
        <w:t xml:space="preserve"> </w:t>
      </w:r>
      <w:r>
        <w:rPr>
          <w:rStyle w:val="VerbatimChar"/>
        </w:rPr>
        <w:t xml:space="preserve">dm.flags.aineReciente</w:t>
      </w:r>
      <w:r>
        <w:t xml:space="preserve">, derivado de Medicación Actual →</w:t>
      </w:r>
      <w:r>
        <w:t xml:space="preserve"> </w:t>
      </w:r>
      <w:r>
        <w:t xml:space="preserve">“</w:t>
      </w:r>
      <w:r>
        <w:t xml:space="preserve">otros</w:t>
      </w:r>
      <w:r>
        <w:t xml:space="preserve">”</w:t>
      </w:r>
      <w:r>
        <w:t xml:space="preserve"> </w:t>
      </w:r>
      <w:r>
        <w:t xml:space="preserve">(sección 3) — si el AINE se toma sin registrarse ahí, ninguna de estas dos reglas se activa.</w:t>
      </w:r>
    </w:p>
    <w:p>
      <w:pPr>
        <w:numPr>
          <w:ilvl w:val="0"/>
          <w:numId w:val="1070"/>
        </w:numPr>
        <w:pStyle w:val="Compact"/>
      </w:pPr>
      <w:r>
        <w:rPr>
          <w:b/>
        </w:rPr>
        <w:t xml:space="preserve">Discrepancia entre guías:</w:t>
      </w:r>
      <w:r>
        <w:t xml:space="preserve"> </w:t>
      </w:r>
      <w:r>
        <w:t xml:space="preserve">no aplica en este archivo.</w:t>
      </w:r>
    </w:p>
    <w:p>
      <w:pPr>
        <w:pStyle w:val="Heading3"/>
      </w:pPr>
      <w:bookmarkStart w:id="99" w:name="X51575a258a65047ea87c2365235d78ac7a424c0"/>
      <w:r>
        <w:t xml:space="preserve">9.6 Corticoide sistémico activo (hiperglucemia/HTA)</w:t>
      </w:r>
      <w:bookmarkEnd w:id="99"/>
    </w:p>
    <w:p>
      <w:pPr>
        <w:numPr>
          <w:ilvl w:val="0"/>
          <w:numId w:val="1071"/>
        </w:numPr>
        <w:pStyle w:val="Compact"/>
      </w:pPr>
      <w:r>
        <w:rPr>
          <w:b/>
        </w:rPr>
        <w:t xml:space="preserve">Qué hace:</w:t>
      </w:r>
      <w:r>
        <w:t xml:space="preserve"> </w:t>
      </w:r>
      <w:r>
        <w:rPr>
          <w:rStyle w:val="VerbatimChar"/>
        </w:rPr>
        <w:t xml:space="preserve">checkCorticosteroidRisk(p)</w:t>
      </w:r>
      <w:r>
        <w:t xml:space="preserve"> </w:t>
      </w:r>
      <w:r>
        <w:t xml:space="preserve">evaluado a nivel de</w:t>
      </w:r>
      <w:r>
        <w:t xml:space="preserve"> </w:t>
      </w:r>
      <w:r>
        <w:rPr>
          <w:rStyle w:val="VerbatimChar"/>
        </w:rPr>
        <w:t xml:space="preserve">buildTreatmentPlan</w:t>
      </w:r>
      <w:r>
        <w:t xml:space="preserve"> </w:t>
      </w:r>
      <w:r>
        <w:t xml:space="preserve">porque afecta simultáneamente manejo glucémico y de PA.</w:t>
      </w:r>
    </w:p>
    <w:p>
      <w:pPr>
        <w:numPr>
          <w:ilvl w:val="0"/>
          <w:numId w:val="1071"/>
        </w:numPr>
        <w:pStyle w:val="Compact"/>
      </w:pPr>
      <w:r>
        <w:rPr>
          <w:b/>
        </w:rPr>
        <w:t xml:space="preserve">Por qué:</w:t>
      </w:r>
      <w:r>
        <w:t xml:space="preserve"> </w:t>
      </w:r>
      <w:r>
        <w:t xml:space="preserve">no pertenece exclusivamente a ninguna de las dos categorías (antidiabetic/htn).</w:t>
      </w:r>
    </w:p>
    <w:p>
      <w:pPr>
        <w:numPr>
          <w:ilvl w:val="0"/>
          <w:numId w:val="1071"/>
        </w:numPr>
        <w:pStyle w:val="Compact"/>
      </w:pPr>
      <w:r>
        <w:rPr>
          <w:b/>
        </w:rPr>
        <w:t xml:space="preserve">Fuente:</w:t>
      </w:r>
      <w:r>
        <w:t xml:space="preserve"> </w:t>
      </w:r>
      <w:r>
        <w:t xml:space="preserve">delegada a</w:t>
      </w:r>
      <w:r>
        <w:t xml:space="preserve"> </w:t>
      </w:r>
      <w:r>
        <w:rPr>
          <w:rStyle w:val="VerbatimChar"/>
        </w:rPr>
        <w:t xml:space="preserve">corticosteroids.js</w:t>
      </w:r>
      <w:r>
        <w:t xml:space="preserve">.</w:t>
      </w:r>
    </w:p>
    <w:p>
      <w:pPr>
        <w:numPr>
          <w:ilvl w:val="0"/>
          <w:numId w:val="1071"/>
        </w:numPr>
        <w:pStyle w:val="Compact"/>
      </w:pPr>
      <w:r>
        <w:rPr>
          <w:b/>
        </w:rPr>
        <w:t xml:space="preserve">Versión de la fuente:</w:t>
      </w:r>
      <w:r>
        <w:t xml:space="preserve"> </w:t>
      </w:r>
      <w:r>
        <w:t xml:space="preserve">No especificada en este archivo.</w:t>
      </w:r>
    </w:p>
    <w:p>
      <w:pPr>
        <w:numPr>
          <w:ilvl w:val="0"/>
          <w:numId w:val="1071"/>
        </w:numPr>
        <w:pStyle w:val="Compact"/>
      </w:pPr>
      <w:r>
        <w:rPr>
          <w:b/>
        </w:rPr>
        <w:t xml:space="preserve">Fecha de revisión:</w:t>
      </w:r>
      <w:r>
        <w:t xml:space="preserve"> </w:t>
      </w:r>
      <w:r>
        <w:t xml:space="preserve">Caso 46, 10-ago-2026.</w:t>
      </w:r>
    </w:p>
    <w:p>
      <w:pPr>
        <w:numPr>
          <w:ilvl w:val="0"/>
          <w:numId w:val="1071"/>
        </w:numPr>
        <w:pStyle w:val="Compact"/>
      </w:pPr>
      <w:r>
        <w:rPr>
          <w:b/>
        </w:rPr>
        <w:t xml:space="preserve">Quién revisó:</w:t>
      </w:r>
      <w:r>
        <w:t xml:space="preserve"> </w:t>
      </w:r>
      <w:r>
        <w:t xml:space="preserve">Dr. Ortega.</w:t>
      </w:r>
    </w:p>
    <w:p>
      <w:pPr>
        <w:numPr>
          <w:ilvl w:val="0"/>
          <w:numId w:val="1071"/>
        </w:numPr>
        <w:pStyle w:val="Compact"/>
      </w:pPr>
      <w:r>
        <w:rPr>
          <w:b/>
        </w:rPr>
        <w:t xml:space="preserve">Casos que la validan:</w:t>
      </w:r>
      <w:r>
        <w:t xml:space="preserve"> </w:t>
      </w:r>
      <w:r>
        <w:t xml:space="preserve">Caso 46 (edge-cases) —</w:t>
      </w:r>
      <w:r>
        <w:t xml:space="preserve"> </w:t>
      </w:r>
      <w:r>
        <w:t xml:space="preserve">“</w:t>
      </w:r>
      <w:r>
        <w:t xml:space="preserve">corticoide ≥20mg/día → aviso de riesgo ALTO</w:t>
      </w:r>
      <w:r>
        <w:t xml:space="preserve">”</w:t>
      </w:r>
      <w:r>
        <w:t xml:space="preserve">;</w:t>
      </w:r>
      <w:r>
        <w:t xml:space="preserve"> </w:t>
      </w:r>
      <w:r>
        <w:t xml:space="preserve">“</w:t>
      </w:r>
      <w:r>
        <w:t xml:space="preserve">corticoide dosis baja → aviso de menor urgencia</w:t>
      </w:r>
      <w:r>
        <w:t xml:space="preserve">”</w:t>
      </w:r>
      <w:r>
        <w:t xml:space="preserve">.</w:t>
      </w:r>
    </w:p>
    <w:p>
      <w:pPr>
        <w:numPr>
          <w:ilvl w:val="0"/>
          <w:numId w:val="1071"/>
        </w:numPr>
        <w:pStyle w:val="Compact"/>
      </w:pPr>
      <w:r>
        <w:rPr>
          <w:b/>
        </w:rPr>
        <w:t xml:space="preserve">Excepciones:</w:t>
      </w:r>
      <w:r>
        <w:t xml:space="preserve"> </w:t>
      </w:r>
      <w:r>
        <w:t xml:space="preserve">no evaluable en detalle sin leer</w:t>
      </w:r>
      <w:r>
        <w:t xml:space="preserve"> </w:t>
      </w:r>
      <w:r>
        <w:rPr>
          <w:rStyle w:val="VerbatimChar"/>
        </w:rPr>
        <w:t xml:space="preserve">corticosteroids.js</w:t>
      </w:r>
      <w:r>
        <w:t xml:space="preserve">.</w:t>
      </w:r>
    </w:p>
    <w:p>
      <w:pPr>
        <w:numPr>
          <w:ilvl w:val="0"/>
          <w:numId w:val="1071"/>
        </w:numPr>
        <w:pStyle w:val="Compact"/>
      </w:pPr>
      <w:r>
        <w:rPr>
          <w:b/>
        </w:rPr>
        <w:t xml:space="preserve">Qué faltan datos:</w:t>
      </w:r>
      <w:r>
        <w:t xml:space="preserve"> </w:t>
      </w:r>
      <w:r>
        <w:t xml:space="preserve">no evaluable en detalle sin leer</w:t>
      </w:r>
      <w:r>
        <w:t xml:space="preserve"> </w:t>
      </w:r>
      <w:r>
        <w:rPr>
          <w:rStyle w:val="VerbatimChar"/>
        </w:rPr>
        <w:t xml:space="preserve">corticosteroids.js</w:t>
      </w:r>
      <w:r>
        <w:t xml:space="preserve">.</w:t>
      </w:r>
    </w:p>
    <w:p>
      <w:pPr>
        <w:numPr>
          <w:ilvl w:val="0"/>
          <w:numId w:val="1071"/>
        </w:numPr>
        <w:pStyle w:val="Compact"/>
      </w:pPr>
      <w:r>
        <w:rPr>
          <w:b/>
        </w:rPr>
        <w:t xml:space="preserve">Discrepancia entre guías:</w:t>
      </w:r>
      <w:r>
        <w:t xml:space="preserve"> </w:t>
      </w:r>
      <w:r>
        <w:t xml:space="preserve">no aplica en este archivo.</w:t>
      </w:r>
    </w:p>
    <w:p>
      <w:pPr>
        <w:pStyle w:val="Heading3"/>
      </w:pPr>
      <w:bookmarkStart w:id="100" w:name="X9af64089e50533788c8bad7ee979a0237e75595"/>
      <w:r>
        <w:t xml:space="preserve">9.7 Reglas de Día de Enfermedad (Sick Day Rules)</w:t>
      </w:r>
      <w:bookmarkEnd w:id="100"/>
    </w:p>
    <w:p>
      <w:pPr>
        <w:numPr>
          <w:ilvl w:val="0"/>
          <w:numId w:val="1072"/>
        </w:numPr>
        <w:pStyle w:val="Compact"/>
      </w:pPr>
      <w:r>
        <w:rPr>
          <w:b/>
        </w:rPr>
        <w:t xml:space="preserve">Qué hace:</w:t>
      </w:r>
      <w:r>
        <w:t xml:space="preserve"> </w:t>
      </w:r>
      <w:r>
        <w:rPr>
          <w:rStyle w:val="VerbatimChar"/>
        </w:rPr>
        <w:t xml:space="preserve">checkSickDayRules(p, ...)</w:t>
      </w:r>
      <w:r>
        <w:t xml:space="preserve"> </w:t>
      </w:r>
      <w:r>
        <w:t xml:space="preserve">abarca fármacos de DOS categorías a la vez (Metformina/iSGLT2 antidiabéticos + IECA/ARA-II de HTN) — se evalúa a nivel de</w:t>
      </w:r>
      <w:r>
        <w:t xml:space="preserve"> </w:t>
      </w:r>
      <w:r>
        <w:rPr>
          <w:rStyle w:val="VerbatimChar"/>
        </w:rPr>
        <w:t xml:space="preserve">buildTreatmentPlan</w:t>
      </w:r>
      <w:r>
        <w:t xml:space="preserve">, no dentro de un</w:t>
      </w:r>
      <w:r>
        <w:t xml:space="preserve"> </w:t>
      </w:r>
      <w:r>
        <w:rPr>
          <w:rStyle w:val="VerbatimChar"/>
        </w:rPr>
        <w:t xml:space="preserve">build*Plan</w:t>
      </w:r>
      <w:r>
        <w:t xml:space="preserve"> </w:t>
      </w:r>
      <w:r>
        <w:t xml:space="preserve">individual.</w:t>
      </w:r>
    </w:p>
    <w:p>
      <w:pPr>
        <w:numPr>
          <w:ilvl w:val="0"/>
          <w:numId w:val="1072"/>
        </w:numPr>
        <w:pStyle w:val="Compact"/>
      </w:pPr>
      <w:r>
        <w:rPr>
          <w:b/>
        </w:rPr>
        <w:t xml:space="preserve">Por qué:</w:t>
      </w:r>
      <w:r>
        <w:t xml:space="preserve"> </w:t>
      </w:r>
      <w:r>
        <w:t xml:space="preserve">cruza categorías, no puede vivir en un solo plan categórico.</w:t>
      </w:r>
    </w:p>
    <w:p>
      <w:pPr>
        <w:numPr>
          <w:ilvl w:val="0"/>
          <w:numId w:val="1072"/>
        </w:numPr>
        <w:pStyle w:val="Compact"/>
      </w:pPr>
      <w:r>
        <w:rPr>
          <w:b/>
        </w:rPr>
        <w:t xml:space="preserve">Fuente:</w:t>
      </w:r>
      <w:r>
        <w:t xml:space="preserve"> </w:t>
      </w:r>
      <w:r>
        <w:t xml:space="preserve">delegada a</w:t>
      </w:r>
      <w:r>
        <w:t xml:space="preserve"> </w:t>
      </w:r>
      <w:r>
        <w:rPr>
          <w:rStyle w:val="VerbatimChar"/>
        </w:rPr>
        <w:t xml:space="preserve">sick-day.js</w:t>
      </w:r>
      <w:r>
        <w:t xml:space="preserve">.</w:t>
      </w:r>
    </w:p>
    <w:p>
      <w:pPr>
        <w:numPr>
          <w:ilvl w:val="0"/>
          <w:numId w:val="1072"/>
        </w:numPr>
        <w:pStyle w:val="Compact"/>
      </w:pPr>
      <w:r>
        <w:rPr>
          <w:b/>
        </w:rPr>
        <w:t xml:space="preserve">Versión de la fuente:</w:t>
      </w:r>
      <w:r>
        <w:t xml:space="preserve"> </w:t>
      </w:r>
      <w:r>
        <w:t xml:space="preserve">No especificada en este archivo.</w:t>
      </w:r>
    </w:p>
    <w:p>
      <w:pPr>
        <w:numPr>
          <w:ilvl w:val="0"/>
          <w:numId w:val="1072"/>
        </w:numPr>
        <w:pStyle w:val="Compact"/>
      </w:pPr>
      <w:r>
        <w:rPr>
          <w:b/>
        </w:rPr>
        <w:t xml:space="preserve">Fecha de revisión:</w:t>
      </w:r>
      <w:r>
        <w:t xml:space="preserve"> </w:t>
      </w:r>
      <w:r>
        <w:t xml:space="preserve">Caso 56, 10-ago-2026.</w:t>
      </w:r>
    </w:p>
    <w:p>
      <w:pPr>
        <w:numPr>
          <w:ilvl w:val="0"/>
          <w:numId w:val="1072"/>
        </w:numPr>
        <w:pStyle w:val="Compact"/>
      </w:pPr>
      <w:r>
        <w:rPr>
          <w:b/>
        </w:rPr>
        <w:t xml:space="preserve">Quién revisó:</w:t>
      </w:r>
      <w:r>
        <w:t xml:space="preserve"> </w:t>
      </w:r>
      <w:r>
        <w:t xml:space="preserve">Dr. Ortega.</w:t>
      </w:r>
    </w:p>
    <w:p>
      <w:pPr>
        <w:numPr>
          <w:ilvl w:val="0"/>
          <w:numId w:val="1072"/>
        </w:numPr>
        <w:pStyle w:val="Compact"/>
      </w:pPr>
      <w:r>
        <w:rPr>
          <w:b/>
        </w:rPr>
        <w:t xml:space="preserve">Casos que la validan:</w:t>
      </w:r>
      <w:r>
        <w:t xml:space="preserve"> </w:t>
      </w:r>
      <w:r>
        <w:t xml:space="preserve">Caso 56 (edge-cases) —</w:t>
      </w:r>
      <w:r>
        <w:t xml:space="preserve"> </w:t>
      </w:r>
      <w:r>
        <w:t xml:space="preserve">“</w:t>
      </w:r>
      <w:r>
        <w:t xml:space="preserve">enfermedad aguda + Metformina/iSGLT2/IECA → sugiere suspensión temporal</w:t>
      </w:r>
      <w:r>
        <w:t xml:space="preserve">”</w:t>
      </w:r>
      <w:r>
        <w:t xml:space="preserve">;</w:t>
      </w:r>
      <w:r>
        <w:t xml:space="preserve"> </w:t>
      </w:r>
      <w:r>
        <w:t xml:space="preserve">“</w:t>
      </w:r>
      <w:r>
        <w:t xml:space="preserve">sin enfermedad aguda → NO se activa</w:t>
      </w:r>
      <w:r>
        <w:t xml:space="preserve">”</w:t>
      </w:r>
      <w:r>
        <w:t xml:space="preserve">;</w:t>
      </w:r>
      <w:r>
        <w:t xml:space="preserve"> </w:t>
      </w:r>
      <w:r>
        <w:t xml:space="preserve">“</w:t>
      </w:r>
      <w:r>
        <w:t xml:space="preserve">enfermedad aguda sin fármacos relevantes → NO se activa</w:t>
      </w:r>
      <w:r>
        <w:t xml:space="preserve">”</w:t>
      </w:r>
      <w:r>
        <w:t xml:space="preserve">.</w:t>
      </w:r>
    </w:p>
    <w:p>
      <w:pPr>
        <w:numPr>
          <w:ilvl w:val="0"/>
          <w:numId w:val="1072"/>
        </w:numPr>
        <w:pStyle w:val="Compact"/>
      </w:pPr>
      <w:r>
        <w:rPr>
          <w:b/>
        </w:rPr>
        <w:t xml:space="preserve">Excepciones:</w:t>
      </w:r>
      <w:r>
        <w:t xml:space="preserve"> </w:t>
      </w:r>
      <w:r>
        <w:t xml:space="preserve">no evaluable en detalle sin leer</w:t>
      </w:r>
      <w:r>
        <w:t xml:space="preserve"> </w:t>
      </w:r>
      <w:r>
        <w:rPr>
          <w:rStyle w:val="VerbatimChar"/>
        </w:rPr>
        <w:t xml:space="preserve">sick-day.js</w:t>
      </w:r>
      <w:r>
        <w:t xml:space="preserve">.</w:t>
      </w:r>
    </w:p>
    <w:p>
      <w:pPr>
        <w:numPr>
          <w:ilvl w:val="0"/>
          <w:numId w:val="1072"/>
        </w:numPr>
        <w:pStyle w:val="Compact"/>
      </w:pPr>
      <w:r>
        <w:rPr>
          <w:b/>
        </w:rPr>
        <w:t xml:space="preserve">Qué faltan datos:</w:t>
      </w:r>
      <w:r>
        <w:t xml:space="preserve"> </w:t>
      </w:r>
      <w:r>
        <w:t xml:space="preserve">no evaluable en detalle sin leer</w:t>
      </w:r>
      <w:r>
        <w:t xml:space="preserve"> </w:t>
      </w:r>
      <w:r>
        <w:rPr>
          <w:rStyle w:val="VerbatimChar"/>
        </w:rPr>
        <w:t xml:space="preserve">sick-day.js</w:t>
      </w:r>
      <w:r>
        <w:t xml:space="preserve">.</w:t>
      </w:r>
    </w:p>
    <w:p>
      <w:pPr>
        <w:numPr>
          <w:ilvl w:val="0"/>
          <w:numId w:val="1072"/>
        </w:numPr>
        <w:pStyle w:val="Compact"/>
      </w:pPr>
      <w:r>
        <w:rPr>
          <w:b/>
        </w:rPr>
        <w:t xml:space="preserve">Discrepancia entre guías:</w:t>
      </w:r>
      <w:r>
        <w:t xml:space="preserve"> </w:t>
      </w:r>
      <w:r>
        <w:t xml:space="preserve">no aplica en este archivo.</w:t>
      </w:r>
    </w:p>
    <w:p>
      <w:pPr>
        <w:pStyle w:val="Heading3"/>
      </w:pPr>
      <w:bookmarkStart w:id="101" w:name="X038ed3e3395faaf0080b09374802c572af4929f"/>
      <w:r>
        <w:t xml:space="preserve">9.8 Gate de LDL/TG para invocar</w:t>
      </w:r>
      <w:r>
        <w:t xml:space="preserve"> </w:t>
      </w:r>
      <w:r>
        <w:rPr>
          <w:rStyle w:val="VerbatimChar"/>
        </w:rPr>
        <w:t xml:space="preserve">buildLipidPlan</w:t>
      </w:r>
      <w:bookmarkEnd w:id="101"/>
    </w:p>
    <w:p>
      <w:pPr>
        <w:numPr>
          <w:ilvl w:val="0"/>
          <w:numId w:val="1073"/>
        </w:numPr>
        <w:pStyle w:val="Compact"/>
      </w:pPr>
      <w:r>
        <w:rPr>
          <w:b/>
        </w:rPr>
        <w:t xml:space="preserve">Qué hace:</w:t>
      </w:r>
      <w:r>
        <w:t xml:space="preserve"> </w:t>
      </w:r>
      <w:r>
        <w:t xml:space="preserve">solo llama a</w:t>
      </w:r>
      <w:r>
        <w:t xml:space="preserve"> </w:t>
      </w:r>
      <w:r>
        <w:rPr>
          <w:rStyle w:val="VerbatimChar"/>
        </w:rPr>
        <w:t xml:space="preserve">buildLipidPlan</w:t>
      </w:r>
      <w:r>
        <w:t xml:space="preserve"> </w:t>
      </w:r>
      <w:r>
        <w:t xml:space="preserve">si</w:t>
      </w:r>
      <w:r>
        <w:t xml:space="preserve"> </w:t>
      </w:r>
      <w:r>
        <w:rPr>
          <w:rStyle w:val="VerbatimChar"/>
        </w:rPr>
        <w:t xml:space="preserve">LDL&gt;0</w:t>
      </w:r>
      <w:r>
        <w:t xml:space="preserve"> </w:t>
      </w:r>
      <w:r>
        <w:t xml:space="preserve">O</w:t>
      </w:r>
      <w:r>
        <w:t xml:space="preserve"> </w:t>
      </w:r>
      <w:r>
        <w:rPr>
          <w:rStyle w:val="VerbatimChar"/>
        </w:rPr>
        <w:t xml:space="preserve">TG&gt;0</w:t>
      </w:r>
      <w:r>
        <w:t xml:space="preserve">.</w:t>
      </w:r>
    </w:p>
    <w:p>
      <w:pPr>
        <w:numPr>
          <w:ilvl w:val="0"/>
          <w:numId w:val="1073"/>
        </w:numPr>
        <w:pStyle w:val="Compact"/>
      </w:pPr>
      <w:r>
        <w:rPr>
          <w:b/>
        </w:rPr>
        <w:t xml:space="preserve">Por qué:</w:t>
      </w:r>
      <w:r>
        <w:t xml:space="preserve"> </w:t>
      </w:r>
      <w:r>
        <w:t xml:space="preserve">evitar correr el motor de lípidos sin ningún dato lipídico capturado.</w:t>
      </w:r>
    </w:p>
    <w:p>
      <w:pPr>
        <w:numPr>
          <w:ilvl w:val="0"/>
          <w:numId w:val="1073"/>
        </w:numPr>
        <w:pStyle w:val="Compact"/>
      </w:pPr>
      <w:r>
        <w:rPr>
          <w:b/>
        </w:rPr>
        <w:t xml:space="preserve">Fuente:</w:t>
      </w:r>
      <w:r>
        <w:t xml:space="preserve"> </w:t>
      </w:r>
      <w:r>
        <w:t xml:space="preserve">decisión de diseño interna, no cita guía externa.</w:t>
      </w:r>
    </w:p>
    <w:p>
      <w:pPr>
        <w:numPr>
          <w:ilvl w:val="0"/>
          <w:numId w:val="1073"/>
        </w:numPr>
        <w:pStyle w:val="Compact"/>
      </w:pPr>
      <w:r>
        <w:rPr>
          <w:b/>
        </w:rPr>
        <w:t xml:space="preserve">Versión de la fuente:</w:t>
      </w:r>
      <w:r>
        <w:t xml:space="preserve"> </w:t>
      </w:r>
      <w:r>
        <w:t xml:space="preserve">No aplica.</w:t>
      </w:r>
    </w:p>
    <w:p>
      <w:pPr>
        <w:numPr>
          <w:ilvl w:val="0"/>
          <w:numId w:val="1073"/>
        </w:numPr>
        <w:pStyle w:val="Compact"/>
      </w:pPr>
      <w:r>
        <w:rPr>
          <w:b/>
        </w:rPr>
        <w:t xml:space="preserve">Fecha de revisión:</w:t>
      </w:r>
      <w:r>
        <w:t xml:space="preserve"> </w:t>
      </w:r>
      <w:r>
        <w:t xml:space="preserve">Sin fecha propia.</w:t>
      </w:r>
    </w:p>
    <w:p>
      <w:pPr>
        <w:numPr>
          <w:ilvl w:val="0"/>
          <w:numId w:val="1073"/>
        </w:numPr>
        <w:pStyle w:val="Compact"/>
      </w:pPr>
      <w:r>
        <w:rPr>
          <w:b/>
        </w:rPr>
        <w:t xml:space="preserve">Quién revisó:</w:t>
      </w:r>
      <w:r>
        <w:t xml:space="preserve"> </w:t>
      </w:r>
      <w:r>
        <w:t xml:space="preserve">No especificado.</w:t>
      </w:r>
    </w:p>
    <w:p>
      <w:pPr>
        <w:numPr>
          <w:ilvl w:val="0"/>
          <w:numId w:val="1073"/>
        </w:numPr>
        <w:pStyle w:val="Compact"/>
      </w:pPr>
      <w:r>
        <w:rPr>
          <w:b/>
        </w:rPr>
        <w:t xml:space="preserve">Casos que la validan:</w:t>
      </w:r>
      <w:r>
        <w:t xml:space="preserve"> </w:t>
      </w:r>
      <w:r>
        <w:t xml:space="preserve">indirectamente por todos los casos C1-C5 (que sí capturan LDL/TG); Sin caso de prueba identificado que verifique explícitamente que</w:t>
      </w:r>
      <w:r>
        <w:t xml:space="preserve"> </w:t>
      </w:r>
      <w:r>
        <w:rPr>
          <w:rStyle w:val="VerbatimChar"/>
        </w:rPr>
        <w:t xml:space="preserve">buildLipidPlan</w:t>
      </w:r>
      <w:r>
        <w:t xml:space="preserve"> </w:t>
      </w:r>
      <w:r>
        <w:t xml:space="preserve">NO se invoca cuando ambos faltan.</w:t>
      </w:r>
    </w:p>
    <w:p>
      <w:pPr>
        <w:numPr>
          <w:ilvl w:val="0"/>
          <w:numId w:val="1073"/>
        </w:numPr>
        <w:pStyle w:val="Compact"/>
      </w:pPr>
      <w:r>
        <w:rPr>
          <w:b/>
        </w:rPr>
        <w:t xml:space="preserve">Excepciones:</w:t>
      </w:r>
      <w:r>
        <w:t xml:space="preserve"> </w:t>
      </w:r>
      <w:r>
        <w:t xml:space="preserve">ninguna.</w:t>
      </w:r>
    </w:p>
    <w:p>
      <w:pPr>
        <w:numPr>
          <w:ilvl w:val="0"/>
          <w:numId w:val="1073"/>
        </w:numPr>
        <w:pStyle w:val="Compact"/>
      </w:pPr>
      <w:r>
        <w:rPr>
          <w:b/>
        </w:rPr>
        <w:t xml:space="preserve">Qué faltan datos:</w:t>
      </w:r>
      <w:r>
        <w:t xml:space="preserve"> </w:t>
      </w:r>
      <w:r>
        <w:t xml:space="preserve">si ambos faltan, el plan lipídico completo se omite — comportamiento correcto y esperado (no hay nada que evaluar sin datos lipídicos), a diferencia del gate de PA (9.2) donde faltar el dato SÍ podría ocultar hipertensión real no capturada en esta consulta puntual.</w:t>
      </w:r>
    </w:p>
    <w:p>
      <w:pPr>
        <w:numPr>
          <w:ilvl w:val="0"/>
          <w:numId w:val="1073"/>
        </w:numPr>
        <w:pStyle w:val="Compact"/>
      </w:pPr>
      <w:r>
        <w:rPr>
          <w:b/>
        </w:rPr>
        <w:t xml:space="preserve">Discrepancia entre guías:</w:t>
      </w:r>
      <w:r>
        <w:t xml:space="preserve"> </w:t>
      </w:r>
      <w:r>
        <w:t xml:space="preserve">no aplica.</w:t>
      </w:r>
    </w:p>
    <w:p>
      <w:pPr>
        <w:pStyle w:val="Heading3"/>
      </w:pPr>
      <w:bookmarkStart w:id="102" w:name="Xd5c1048f9e60ecc9e054c9baa769ae0dae1680e"/>
      <w:r>
        <w:t xml:space="preserve">9.9 Verificación de interacciones fármaco-fármaco entre categorías distintas</w:t>
      </w:r>
      <w:bookmarkEnd w:id="102"/>
    </w:p>
    <w:p>
      <w:pPr>
        <w:numPr>
          <w:ilvl w:val="0"/>
          <w:numId w:val="1074"/>
        </w:numPr>
        <w:pStyle w:val="Compact"/>
      </w:pPr>
      <w:r>
        <w:rPr>
          <w:b/>
        </w:rPr>
        <w:t xml:space="preserve">Qué hace:</w:t>
      </w:r>
      <w:r>
        <w:t xml:space="preserve"> </w:t>
      </w:r>
      <w:r>
        <w:rPr>
          <w:rStyle w:val="VerbatimChar"/>
        </w:rPr>
        <w:t xml:space="preserve">checkInteractions(allActiveAndPlanned)</w:t>
      </w:r>
      <w:r>
        <w:t xml:space="preserve"> </w:t>
      </w:r>
      <w:r>
        <w:t xml:space="preserve">revisa TODOS los fármacos activos de las 4 categorías (no solo lo recién recomendado en</w:t>
      </w:r>
      <w:r>
        <w:t xml:space="preserve"> </w:t>
      </w:r>
      <w:r>
        <w:rPr>
          <w:rStyle w:val="VerbatimChar"/>
        </w:rPr>
        <w:t xml:space="preserve">out</w:t>
      </w:r>
      <w:r>
        <w:t xml:space="preserve">) más lo planeado en esta consulta — porque un fármaco ya prescrito y maxeado, sin problema propio, no genera ninguna línea en</w:t>
      </w:r>
      <w:r>
        <w:t xml:space="preserve"> </w:t>
      </w:r>
      <w:r>
        <w:rPr>
          <w:rStyle w:val="VerbatimChar"/>
        </w:rPr>
        <w:t xml:space="preserve">out</w:t>
      </w:r>
      <w:r>
        <w:t xml:space="preserve">, así que revisar solo</w:t>
      </w:r>
      <w:r>
        <w:t xml:space="preserve"> </w:t>
      </w:r>
      <w:r>
        <w:rPr>
          <w:rStyle w:val="VerbatimChar"/>
        </w:rPr>
        <w:t xml:space="preserve">out</w:t>
      </w:r>
      <w:r>
        <w:t xml:space="preserve"> </w:t>
      </w:r>
      <w:r>
        <w:t xml:space="preserve">dejaría pasar interacciones entre dos fármacos ya estables.</w:t>
      </w:r>
    </w:p>
    <w:p>
      <w:pPr>
        <w:numPr>
          <w:ilvl w:val="0"/>
          <w:numId w:val="1074"/>
        </w:numPr>
        <w:pStyle w:val="Compact"/>
      </w:pPr>
      <w:r>
        <w:rPr>
          <w:b/>
        </w:rPr>
        <w:t xml:space="preserve">Por qué:</w:t>
      </w:r>
      <w:r>
        <w:t xml:space="preserve"> </w:t>
      </w:r>
      <w:r>
        <w:t xml:space="preserve">cada</w:t>
      </w:r>
      <w:r>
        <w:t xml:space="preserve"> </w:t>
      </w:r>
      <w:r>
        <w:rPr>
          <w:rStyle w:val="VerbatimChar"/>
        </w:rPr>
        <w:t xml:space="preserve">build*Plan</w:t>
      </w:r>
      <w:r>
        <w:t xml:space="preserve"> </w:t>
      </w:r>
      <w:r>
        <w:t xml:space="preserve">revisa contraindicación por comorbilidad/eGFR y evita duplicar subgrupo DENTRO de su propia categoría, pero ninguno comparaba fármacos de categorías DISTINTAS entre sí (ej. Gemfibrozilo de</w:t>
      </w:r>
      <w:r>
        <w:t xml:space="preserve"> </w:t>
      </w:r>
      <w:r>
        <w:t xml:space="preserve">“</w:t>
      </w:r>
      <w:r>
        <w:t xml:space="preserve">lipid</w:t>
      </w:r>
      <w:r>
        <w:t xml:space="preserve">”</w:t>
      </w:r>
      <w:r>
        <w:t xml:space="preserve"> </w:t>
      </w:r>
      <w:r>
        <w:t xml:space="preserve">contra una estatina de</w:t>
      </w:r>
      <w:r>
        <w:t xml:space="preserve"> </w:t>
      </w:r>
      <w:r>
        <w:t xml:space="preserve">“</w:t>
      </w:r>
      <w:r>
        <w:t xml:space="preserve">lipid</w:t>
      </w:r>
      <w:r>
        <w:t xml:space="preserve">”</w:t>
      </w:r>
      <w:r>
        <w:t xml:space="preserve"> </w:t>
      </w:r>
      <w:r>
        <w:t xml:space="preserve">en otro subgrupo, o un IECA de</w:t>
      </w:r>
      <w:r>
        <w:t xml:space="preserve"> </w:t>
      </w:r>
      <w:r>
        <w:t xml:space="preserve">“</w:t>
      </w:r>
      <w:r>
        <w:t xml:space="preserve">htn</w:t>
      </w:r>
      <w:r>
        <w:t xml:space="preserve">”</w:t>
      </w:r>
      <w:r>
        <w:t xml:space="preserve"> </w:t>
      </w:r>
      <w:r>
        <w:t xml:space="preserve">contra una MRA también de</w:t>
      </w:r>
      <w:r>
        <w:t xml:space="preserve"> </w:t>
      </w:r>
      <w:r>
        <w:t xml:space="preserve">“</w:t>
      </w:r>
      <w:r>
        <w:t xml:space="preserve">htn</w:t>
      </w:r>
      <w:r>
        <w:t xml:space="preserve">”</w:t>
      </w:r>
      <w:r>
        <w:t xml:space="preserve">) — esto se documenta explícitamente en el código como</w:t>
      </w:r>
      <w:r>
        <w:t xml:space="preserve"> </w:t>
      </w:r>
      <w:r>
        <w:rPr>
          <w:b/>
        </w:rPr>
        <w:t xml:space="preserve">“</w:t>
      </w:r>
      <w:r>
        <w:rPr>
          <w:b/>
        </w:rPr>
        <w:t xml:space="preserve">limitación documentada —</w:t>
      </w:r>
      <w:r>
        <w:rPr>
          <w:b/>
        </w:rPr>
        <w:t xml:space="preserve"> </w:t>
      </w:r>
      <w:r>
        <w:rPr>
          <w:b/>
        </w:rPr>
        <w:t xml:space="preserve">‘</w:t>
      </w:r>
      <w:r>
        <w:rPr>
          <w:b/>
        </w:rPr>
        <w:t xml:space="preserve">sin verificación de interacciones fármaco-fármaco</w:t>
      </w:r>
      <w:r>
        <w:rPr>
          <w:b/>
        </w:rPr>
        <w:t xml:space="preserve">’</w:t>
      </w:r>
      <w:r>
        <w:rPr>
          <w:b/>
        </w:rPr>
        <w:t xml:space="preserve">”</w:t>
      </w:r>
      <w:r>
        <w:t xml:space="preserve"> </w:t>
      </w:r>
      <w:r>
        <w:t xml:space="preserve">antes de esta corrección.</w:t>
      </w:r>
    </w:p>
    <w:p>
      <w:pPr>
        <w:numPr>
          <w:ilvl w:val="0"/>
          <w:numId w:val="1074"/>
        </w:numPr>
        <w:pStyle w:val="Compact"/>
      </w:pPr>
      <w:r>
        <w:rPr>
          <w:b/>
        </w:rPr>
        <w:t xml:space="preserve">Fuente:</w:t>
      </w:r>
      <w:r>
        <w:t xml:space="preserve"> </w:t>
      </w:r>
      <w:r>
        <w:t xml:space="preserve">delegada a</w:t>
      </w:r>
      <w:r>
        <w:t xml:space="preserve"> </w:t>
      </w:r>
      <w:r>
        <w:rPr>
          <w:rStyle w:val="VerbatimChar"/>
        </w:rPr>
        <w:t xml:space="preserve">interactions.js</w:t>
      </w:r>
      <w:r>
        <w:t xml:space="preserve">.</w:t>
      </w:r>
    </w:p>
    <w:p>
      <w:pPr>
        <w:numPr>
          <w:ilvl w:val="0"/>
          <w:numId w:val="1074"/>
        </w:numPr>
        <w:pStyle w:val="Compact"/>
      </w:pPr>
      <w:r>
        <w:rPr>
          <w:b/>
        </w:rPr>
        <w:t xml:space="preserve">Versión de la fuente:</w:t>
      </w:r>
      <w:r>
        <w:t xml:space="preserve"> </w:t>
      </w:r>
      <w:r>
        <w:t xml:space="preserve">No especificada en este archivo.</w:t>
      </w:r>
    </w:p>
    <w:p>
      <w:pPr>
        <w:numPr>
          <w:ilvl w:val="0"/>
          <w:numId w:val="1074"/>
        </w:numPr>
        <w:pStyle w:val="Compact"/>
      </w:pPr>
      <w:r>
        <w:rPr>
          <w:b/>
        </w:rPr>
        <w:t xml:space="preserve">Fecha de revisión:</w:t>
      </w:r>
      <w:r>
        <w:t xml:space="preserve"> </w:t>
      </w:r>
      <w:r>
        <w:t xml:space="preserve">Sin fecha exacta citada en este comentario puntual.</w:t>
      </w:r>
    </w:p>
    <w:p>
      <w:pPr>
        <w:numPr>
          <w:ilvl w:val="0"/>
          <w:numId w:val="1074"/>
        </w:numPr>
        <w:pStyle w:val="Compact"/>
      </w:pPr>
      <w:r>
        <w:rPr>
          <w:b/>
        </w:rPr>
        <w:t xml:space="preserve">Quién revisó:</w:t>
      </w:r>
      <w:r>
        <w:t xml:space="preserve"> </w:t>
      </w:r>
      <w:r>
        <w:t xml:space="preserve">No especificado nominalmente en esta línea.</w:t>
      </w:r>
    </w:p>
    <w:p>
      <w:pPr>
        <w:numPr>
          <w:ilvl w:val="0"/>
          <w:numId w:val="1074"/>
        </w:numPr>
        <w:pStyle w:val="Compact"/>
      </w:pPr>
      <w:r>
        <w:rPr>
          <w:b/>
        </w:rPr>
        <w:t xml:space="preserve">Casos que la validan:</w:t>
      </w:r>
      <w:r>
        <w:t xml:space="preserve"> </w:t>
      </w:r>
      <w:r>
        <w:t xml:space="preserve">no evaluable en detalle sin leer</w:t>
      </w:r>
      <w:r>
        <w:t xml:space="preserve"> </w:t>
      </w:r>
      <w:r>
        <w:rPr>
          <w:rStyle w:val="VerbatimChar"/>
        </w:rPr>
        <w:t xml:space="preserve">interactions.js</w:t>
      </w:r>
      <w:r>
        <w:t xml:space="preserve"> </w:t>
      </w:r>
      <w:r>
        <w:t xml:space="preserve">— los 3 archivos revisados no muestran un</w:t>
      </w:r>
      <w:r>
        <w:t xml:space="preserve"> </w:t>
      </w:r>
      <w:r>
        <w:rPr>
          <w:rStyle w:val="VerbatimChar"/>
        </w:rPr>
        <w:t xml:space="preserve">check()</w:t>
      </w:r>
      <w:r>
        <w:t xml:space="preserve"> </w:t>
      </w:r>
      <w:r>
        <w:t xml:space="preserve">que aísle explícitamente</w:t>
      </w:r>
      <w:r>
        <w:t xml:space="preserve"> </w:t>
      </w:r>
      <w:r>
        <w:rPr>
          <w:rStyle w:val="VerbatimChar"/>
        </w:rPr>
        <w:t xml:space="preserve">interactionWarnings</w:t>
      </w:r>
      <w:r>
        <w:t xml:space="preserve"> </w:t>
      </w:r>
      <w:r>
        <w:t xml:space="preserve">de</w:t>
      </w:r>
      <w:r>
        <w:t xml:space="preserve"> </w:t>
      </w:r>
      <w:r>
        <w:rPr>
          <w:rStyle w:val="VerbatimChar"/>
        </w:rPr>
        <w:t xml:space="preserve">buildTreatmentPlan</w:t>
      </w:r>
      <w:r>
        <w:t xml:space="preserve">.</w:t>
      </w:r>
    </w:p>
    <w:p>
      <w:pPr>
        <w:numPr>
          <w:ilvl w:val="0"/>
          <w:numId w:val="1074"/>
        </w:numPr>
        <w:pStyle w:val="Compact"/>
      </w:pPr>
      <w:r>
        <w:rPr>
          <w:b/>
        </w:rPr>
        <w:t xml:space="preserve">Excepciones:</w:t>
      </w:r>
      <w:r>
        <w:t xml:space="preserve"> </w:t>
      </w:r>
      <w:r>
        <w:t xml:space="preserve">ninguna adicional documentada en este archivo.</w:t>
      </w:r>
    </w:p>
    <w:p>
      <w:pPr>
        <w:numPr>
          <w:ilvl w:val="0"/>
          <w:numId w:val="1074"/>
        </w:numPr>
        <w:pStyle w:val="Compact"/>
      </w:pPr>
      <w:r>
        <w:rPr>
          <w:b/>
        </w:rPr>
        <w:t xml:space="preserve">Qué faltan datos:</w:t>
      </w:r>
      <w:r>
        <w:t xml:space="preserve"> </w:t>
      </w:r>
      <w:r>
        <w:t xml:space="preserve">depende de que</w:t>
      </w:r>
      <w:r>
        <w:t xml:space="preserve"> </w:t>
      </w:r>
      <w:r>
        <w:rPr>
          <w:rStyle w:val="VerbatimChar"/>
        </w:rPr>
        <w:t xml:space="preserve">p.medicacionActual</w:t>
      </w:r>
      <w:r>
        <w:t xml:space="preserve"> </w:t>
      </w:r>
      <w:r>
        <w:t xml:space="preserve">esté completo en las 4 categorías — un fármaco activo no registrado ahí (tomado por el paciente pero no capturado en el sistema) es invisible para esta verificación, sin ninguna forma de que el motor lo sepa.</w:t>
      </w:r>
    </w:p>
    <w:p>
      <w:pPr>
        <w:numPr>
          <w:ilvl w:val="0"/>
          <w:numId w:val="1074"/>
        </w:numPr>
        <w:pStyle w:val="Compact"/>
      </w:pPr>
      <w:r>
        <w:rPr>
          <w:b/>
        </w:rPr>
        <w:t xml:space="preserve">Discrepancia entre guías:</w:t>
      </w:r>
      <w:r>
        <w:t xml:space="preserve"> </w:t>
      </w:r>
      <w:r>
        <w:t xml:space="preserve">no aplica en este archivo — es un hallazgo de cobertura incompleta del propio motor, no de guías clínicas en conflicto, documentado honestamente como limitación reconocida.</w:t>
      </w:r>
    </w:p>
    <w:p>
      <w:pPr>
        <w:pStyle w:val="Heading3"/>
      </w:pPr>
      <w:bookmarkStart w:id="103" w:name="suggesttherapy-wrapper-legado"/>
      <w:r>
        <w:t xml:space="preserve">9.10</w:t>
      </w:r>
      <w:r>
        <w:t xml:space="preserve"> </w:t>
      </w:r>
      <w:r>
        <w:rPr>
          <w:rStyle w:val="VerbatimChar"/>
        </w:rPr>
        <w:t xml:space="preserve">suggestTherapy</w:t>
      </w:r>
      <w:r>
        <w:t xml:space="preserve"> </w:t>
      </w:r>
      <w:r>
        <w:t xml:space="preserve">— Wrapper legado</w:t>
      </w:r>
      <w:bookmarkEnd w:id="103"/>
    </w:p>
    <w:p>
      <w:pPr>
        <w:numPr>
          <w:ilvl w:val="0"/>
          <w:numId w:val="1075"/>
        </w:numPr>
        <w:pStyle w:val="Compact"/>
      </w:pPr>
      <w:r>
        <w:rPr>
          <w:b/>
        </w:rPr>
        <w:t xml:space="preserve">Qué hace:</w:t>
      </w:r>
      <w:r>
        <w:t xml:space="preserve"> </w:t>
      </w:r>
      <w:r>
        <w:rPr>
          <w:rStyle w:val="VerbatimChar"/>
        </w:rPr>
        <w:t xml:space="preserve">buildTreatmentPlan(p).items</w:t>
      </w:r>
      <w:r>
        <w:t xml:space="preserve"> </w:t>
      </w:r>
      <w:r>
        <w:t xml:space="preserve">— expone solo el arreglo de items, sin</w:t>
      </w:r>
      <w:r>
        <w:t xml:space="preserve"> </w:t>
      </w:r>
      <w:r>
        <w:rPr>
          <w:rStyle w:val="VerbatimChar"/>
        </w:rPr>
        <w:t xml:space="preserve">flags</w:t>
      </w:r>
      <w:r>
        <w:t xml:space="preserve">/</w:t>
      </w:r>
      <w:r>
        <w:rPr>
          <w:rStyle w:val="VerbatimChar"/>
        </w:rPr>
        <w:t xml:space="preserve">redFlags</w:t>
      </w:r>
      <w:r>
        <w:t xml:space="preserve">/</w:t>
      </w:r>
      <w:r>
        <w:rPr>
          <w:rStyle w:val="VerbatimChar"/>
        </w:rPr>
        <w:t xml:space="preserve">interactionWarnings</w:t>
      </w:r>
      <w:r>
        <w:t xml:space="preserve">.</w:t>
      </w:r>
    </w:p>
    <w:p>
      <w:pPr>
        <w:numPr>
          <w:ilvl w:val="0"/>
          <w:numId w:val="1075"/>
        </w:numPr>
        <w:pStyle w:val="Compact"/>
      </w:pPr>
      <w:r>
        <w:rPr>
          <w:b/>
        </w:rPr>
        <w:t xml:space="preserve">Por qué:</w:t>
      </w:r>
      <w:r>
        <w:t xml:space="preserve"> </w:t>
      </w:r>
      <w:r>
        <w:t xml:space="preserve">mantiene compatibilidad con consumidores antiguos (</w:t>
      </w:r>
      <w:r>
        <w:t xml:space="preserve">“</w:t>
      </w:r>
      <w:r>
        <w:t xml:space="preserve">Ahora respaldadas por el motor categórico</w:t>
      </w:r>
      <w:r>
        <w:t xml:space="preserve">”</w:t>
      </w:r>
      <w:r>
        <w:t xml:space="preserve">).</w:t>
      </w:r>
    </w:p>
    <w:p>
      <w:pPr>
        <w:numPr>
          <w:ilvl w:val="0"/>
          <w:numId w:val="1075"/>
        </w:numPr>
        <w:pStyle w:val="Compact"/>
      </w:pPr>
      <w:r>
        <w:rPr>
          <w:b/>
        </w:rPr>
        <w:t xml:space="preserve">Fuente:</w:t>
      </w:r>
      <w:r>
        <w:t xml:space="preserve"> </w:t>
      </w:r>
      <w:r>
        <w:t xml:space="preserve">no aplica (wrapper de compatibilidad).</w:t>
      </w:r>
    </w:p>
    <w:p>
      <w:pPr>
        <w:numPr>
          <w:ilvl w:val="0"/>
          <w:numId w:val="1075"/>
        </w:numPr>
        <w:pStyle w:val="Compact"/>
      </w:pPr>
      <w:r>
        <w:rPr>
          <w:b/>
        </w:rPr>
        <w:t xml:space="preserve">Versión de la fuente:</w:t>
      </w:r>
      <w:r>
        <w:t xml:space="preserve"> </w:t>
      </w:r>
      <w:r>
        <w:t xml:space="preserve">No aplica.</w:t>
      </w:r>
    </w:p>
    <w:p>
      <w:pPr>
        <w:numPr>
          <w:ilvl w:val="0"/>
          <w:numId w:val="1075"/>
        </w:numPr>
        <w:pStyle w:val="Compact"/>
      </w:pPr>
      <w:r>
        <w:rPr>
          <w:b/>
        </w:rPr>
        <w:t xml:space="preserve">Fecha de revisión:</w:t>
      </w:r>
      <w:r>
        <w:t xml:space="preserve"> </w:t>
      </w:r>
      <w:r>
        <w:t xml:space="preserve">Sin fecha registrada.</w:t>
      </w:r>
    </w:p>
    <w:p>
      <w:pPr>
        <w:numPr>
          <w:ilvl w:val="0"/>
          <w:numId w:val="1075"/>
        </w:numPr>
        <w:pStyle w:val="Compact"/>
      </w:pPr>
      <w:r>
        <w:rPr>
          <w:b/>
        </w:rPr>
        <w:t xml:space="preserve">Quién revisó:</w:t>
      </w:r>
      <w:r>
        <w:t xml:space="preserve"> </w:t>
      </w:r>
      <w:r>
        <w:t xml:space="preserve">No especificado.</w:t>
      </w:r>
    </w:p>
    <w:p>
      <w:pPr>
        <w:numPr>
          <w:ilvl w:val="0"/>
          <w:numId w:val="1075"/>
        </w:numPr>
        <w:pStyle w:val="Compact"/>
      </w:pPr>
      <w:r>
        <w:rPr>
          <w:b/>
        </w:rPr>
        <w:t xml:space="preserve">Casos que la validan:</w:t>
      </w:r>
      <w:r>
        <w:t xml:space="preserve"> </w:t>
      </w:r>
      <w:r>
        <w:t xml:space="preserve">no se identificó un test que invoque</w:t>
      </w:r>
      <w:r>
        <w:t xml:space="preserve"> </w:t>
      </w:r>
      <w:r>
        <w:rPr>
          <w:rStyle w:val="VerbatimChar"/>
        </w:rPr>
        <w:t xml:space="preserve">suggestTherapy</w:t>
      </w:r>
      <w:r>
        <w:t xml:space="preserve"> </w:t>
      </w:r>
      <w:r>
        <w:t xml:space="preserve">directamente en los 3 archivos revisados (los tests usan</w:t>
      </w:r>
      <w:r>
        <w:t xml:space="preserve"> </w:t>
      </w:r>
      <w:r>
        <w:rPr>
          <w:rStyle w:val="VerbatimChar"/>
        </w:rPr>
        <w:t xml:space="preserve">buildTreatmentPlan</w:t>
      </w:r>
      <w:r>
        <w:t xml:space="preserve">/</w:t>
      </w:r>
      <w:r>
        <w:rPr>
          <w:rStyle w:val="VerbatimChar"/>
        </w:rPr>
        <w:t xml:space="preserve">buildAntidiabeticPlan</w:t>
      </w:r>
      <w:r>
        <w:t xml:space="preserve">/etc. directamente) — Sin caso de prueba identificado.</w:t>
      </w:r>
    </w:p>
    <w:p>
      <w:pPr>
        <w:numPr>
          <w:ilvl w:val="0"/>
          <w:numId w:val="1075"/>
        </w:numPr>
        <w:pStyle w:val="Compact"/>
      </w:pPr>
      <w:r>
        <w:rPr>
          <w:b/>
        </w:rPr>
        <w:t xml:space="preserve">Excepciones:</w:t>
      </w:r>
      <w:r>
        <w:t xml:space="preserve"> </w:t>
      </w:r>
      <w:r>
        <w:t xml:space="preserve">ninguna — es un simple wrapper, hereda todas las reglas de 9.1-9.9.</w:t>
      </w:r>
    </w:p>
    <w:p>
      <w:pPr>
        <w:numPr>
          <w:ilvl w:val="0"/>
          <w:numId w:val="1075"/>
        </w:numPr>
        <w:pStyle w:val="Compact"/>
      </w:pPr>
      <w:r>
        <w:rPr>
          <w:b/>
        </w:rPr>
        <w:t xml:space="preserve">Qué faltan datos:</w:t>
      </w:r>
      <w:r>
        <w:t xml:space="preserve"> </w:t>
      </w:r>
      <w:r>
        <w:t xml:space="preserve">hereda todos los huecos de</w:t>
      </w:r>
      <w:r>
        <w:t xml:space="preserve"> </w:t>
      </w:r>
      <w:r>
        <w:rPr>
          <w:rStyle w:val="VerbatimChar"/>
        </w:rPr>
        <w:t xml:space="preserve">buildTreatmentPlan</w:t>
      </w:r>
      <w:r>
        <w:t xml:space="preserve">, con el agravante de que un consumidor que solo use</w:t>
      </w:r>
      <w:r>
        <w:t xml:space="preserve"> </w:t>
      </w:r>
      <w:r>
        <w:rPr>
          <w:rStyle w:val="VerbatimChar"/>
        </w:rPr>
        <w:t xml:space="preserve">suggestTherapy</w:t>
      </w:r>
      <w:r>
        <w:t xml:space="preserve"> </w:t>
      </w:r>
      <w:r>
        <w:t xml:space="preserve">no tiene acceso a</w:t>
      </w:r>
      <w:r>
        <w:t xml:space="preserve"> </w:t>
      </w:r>
      <w:r>
        <w:rPr>
          <w:rStyle w:val="VerbatimChar"/>
        </w:rPr>
        <w:t xml:space="preserve">redFlags</w:t>
      </w:r>
      <w:r>
        <w:t xml:space="preserve">/</w:t>
      </w:r>
      <w:r>
        <w:rPr>
          <w:rStyle w:val="VerbatimChar"/>
        </w:rPr>
        <w:t xml:space="preserve">interactionWarnings</w:t>
      </w:r>
      <w:r>
        <w:t xml:space="preserve"> </w:t>
      </w:r>
      <w:r>
        <w:t xml:space="preserve">— si algún código en</w:t>
      </w:r>
      <w:r>
        <w:t xml:space="preserve"> </w:t>
      </w:r>
      <w:r>
        <w:rPr>
          <w:rStyle w:val="VerbatimChar"/>
        </w:rPr>
        <w:t xml:space="preserve">render.js</w:t>
      </w:r>
      <w:r>
        <w:t xml:space="preserve"> </w:t>
      </w:r>
      <w:r>
        <w:t xml:space="preserve">u otro módulo usa este wrapper en vez de</w:t>
      </w:r>
      <w:r>
        <w:t xml:space="preserve"> </w:t>
      </w:r>
      <w:r>
        <w:rPr>
          <w:rStyle w:val="VerbatimChar"/>
        </w:rPr>
        <w:t xml:space="preserve">buildTreatmentPlan</w:t>
      </w:r>
      <w:r>
        <w:t xml:space="preserve"> </w:t>
      </w:r>
      <w:r>
        <w:t xml:space="preserve">directamente, pierde visibilidad de esas señales de seguridad (riesgo estructural, no verificado en el alcance de esta auditoría del archivo</w:t>
      </w:r>
      <w:r>
        <w:t xml:space="preserve"> </w:t>
      </w:r>
      <w:r>
        <w:rPr>
          <w:rStyle w:val="VerbatimChar"/>
        </w:rPr>
        <w:t xml:space="preserve">calculations.js</w:t>
      </w:r>
      <w:r>
        <w:t xml:space="preserve"> </w:t>
      </w:r>
      <w:r>
        <w:t xml:space="preserve">en sí).</w:t>
      </w:r>
    </w:p>
    <w:p>
      <w:pPr>
        <w:numPr>
          <w:ilvl w:val="0"/>
          <w:numId w:val="1075"/>
        </w:numPr>
        <w:pStyle w:val="Compact"/>
      </w:pPr>
      <w:r>
        <w:rPr>
          <w:b/>
        </w:rPr>
        <w:t xml:space="preserve">Discrepancia entre guías:</w:t>
      </w:r>
      <w:r>
        <w:t xml:space="preserve"> </w:t>
      </w:r>
      <w:r>
        <w:t xml:space="preserve">no aplica.</w:t>
      </w:r>
    </w:p>
    <w:p>
      <w:r>
        <w:pict>
          <v:rect style="width:0;height:1.5pt" o:hralign="center" o:hrstd="t" o:hr="t"/>
        </w:pict>
      </w:r>
    </w:p>
    <w:p>
      <w:pPr>
        <w:pStyle w:val="Heading2"/>
      </w:pPr>
      <w:bookmarkStart w:id="104" w:name="X9256d4290e57db42e992c431a72fc62650cd62e"/>
      <w:r>
        <w:t xml:space="preserve">Resumen de hallazgos honestos (huecos) — patrón</w:t>
      </w:r>
      <w:r>
        <w:t xml:space="preserve"> </w:t>
      </w:r>
      <w:r>
        <w:t xml:space="preserve">“</w:t>
      </w:r>
      <w:r>
        <w:t xml:space="preserve">guarda que omite en silencio</w:t>
      </w:r>
      <w:r>
        <w:t xml:space="preserve">”</w:t>
      </w:r>
      <w:bookmarkEnd w:id="104"/>
    </w:p>
    <w:p>
      <w:pPr>
        <w:pStyle w:val="FirstParagraph"/>
      </w:pPr>
      <w:r>
        <w:t xml:space="preserve">Instancias confirmadas del patrón</w:t>
      </w:r>
      <w:r>
        <w:t xml:space="preserve"> </w:t>
      </w:r>
      <w:r>
        <w:rPr>
          <w:rStyle w:val="VerbatimChar"/>
        </w:rPr>
        <w:t xml:space="preserve">&gt; 0</w:t>
      </w:r>
      <w:r>
        <w:t xml:space="preserve"> </w:t>
      </w:r>
      <w:r>
        <w:t xml:space="preserve">/</w:t>
      </w:r>
      <w:r>
        <w:t xml:space="preserve"> </w:t>
      </w:r>
      <w:r>
        <w:rPr>
          <w:rStyle w:val="VerbatimChar"/>
        </w:rPr>
        <w:t xml:space="preserve">=== 0</w:t>
      </w:r>
      <w:r>
        <w:t xml:space="preserve"> </w:t>
      </w:r>
      <w:r>
        <w:t xml:space="preserve">/ booleano-por-defecto que oculta</w:t>
      </w:r>
      <w:r>
        <w:t xml:space="preserve"> </w:t>
      </w:r>
      <w:r>
        <w:t xml:space="preserve">“</w:t>
      </w:r>
      <w:r>
        <w:t xml:space="preserve">dato faltante</w:t>
      </w:r>
      <w:r>
        <w:t xml:space="preserve">”</w:t>
      </w:r>
      <w:r>
        <w:t xml:space="preserve"> </w:t>
      </w:r>
      <w:r>
        <w:t xml:space="preserve">tratándolo como</w:t>
      </w:r>
      <w:r>
        <w:t xml:space="preserve"> </w:t>
      </w:r>
      <w:r>
        <w:t xml:space="preserve">“</w:t>
      </w:r>
      <w:r>
        <w:t xml:space="preserve">condición negativa</w:t>
      </w:r>
      <w:r>
        <w:t xml:space="preserve">”</w:t>
      </w:r>
      <w:r>
        <w:t xml:space="preserve">, encontradas en esta lectura completa del archivo:</w:t>
      </w:r>
    </w:p>
    <w:p>
      <w:pPr>
        <w:numPr>
          <w:ilvl w:val="0"/>
          <w:numId w:val="1076"/>
        </w:numPr>
        <w:pStyle w:val="Compact"/>
      </w:pPr>
      <w:r>
        <w:rPr>
          <w:rStyle w:val="VerbatimChar"/>
          <w:b/>
        </w:rPr>
        <w:t xml:space="preserve">currentDrugIssue</w:t>
      </w:r>
      <w:r>
        <w:rPr>
          <w:b/>
        </w:rPr>
        <w:t xml:space="preserve"> </w:t>
      </w:r>
      <w:r>
        <w:rPr>
          <w:b/>
        </w:rPr>
        <w:t xml:space="preserve">— eGFR mínimo seguro (4.1):</w:t>
      </w:r>
      <w:r>
        <w:t xml:space="preserve"> </w:t>
      </w:r>
      <w:r>
        <w:rPr>
          <w:rStyle w:val="VerbatimChar"/>
        </w:rPr>
        <w:t xml:space="preserve">flags.egfr &gt; 0 &amp;&amp; flags.egfr &lt; drug.egfrMin</w:t>
      </w:r>
      <w:r>
        <w:t xml:space="preserve"> </w:t>
      </w:r>
      <w:r>
        <w:t xml:space="preserve">— el hueco ya conocido y señalado explícitamente en el encargo de esta auditoría. Confirmado: sin creatinina (y sin</w:t>
      </w:r>
      <w:r>
        <w:t xml:space="preserve"> </w:t>
      </w:r>
      <w:r>
        <w:rPr>
          <w:rStyle w:val="VerbatimChar"/>
        </w:rPr>
        <w:t xml:space="preserve">p.tfg</w:t>
      </w:r>
      <w:r>
        <w:t xml:space="preserve"> </w:t>
      </w:r>
      <w:r>
        <w:t xml:space="preserve">manual), el chequeo se omite en silencio para CUALQUIER fármaco del catálogo, no solo metformina.</w:t>
      </w:r>
    </w:p>
    <w:p>
      <w:pPr>
        <w:numPr>
          <w:ilvl w:val="0"/>
          <w:numId w:val="1076"/>
        </w:numPr>
        <w:pStyle w:val="Compact"/>
      </w:pPr>
      <w:r>
        <w:rPr>
          <w:b/>
        </w:rPr>
        <w:t xml:space="preserve">Metformina, rama de inicio virgen (5.9):</w:t>
      </w:r>
      <w:r>
        <w:t xml:space="preserve"> </w:t>
      </w:r>
      <w:r>
        <w:rPr>
          <w:rStyle w:val="VerbatimChar"/>
        </w:rPr>
        <w:t xml:space="preserve">flags.egfr === 0 || flags.egfr &gt;= 30</w:t>
      </w:r>
      <w:r>
        <w:t xml:space="preserve"> </w:t>
      </w:r>
      <w:r>
        <w:t xml:space="preserve">— más grave que el anterior porque el</w:t>
      </w:r>
      <w:r>
        <w:t xml:space="preserve"> </w:t>
      </w:r>
      <w:r>
        <w:rPr>
          <w:rStyle w:val="VerbatimChar"/>
        </w:rPr>
        <w:t xml:space="preserve">0</w:t>
      </w:r>
      <w:r>
        <w:t xml:space="preserve"> </w:t>
      </w:r>
      <w:r>
        <w:t xml:space="preserve">(dato faltante) se usa activamente como condición de</w:t>
      </w:r>
      <w:r>
        <w:t xml:space="preserve"> </w:t>
      </w:r>
      <w:r>
        <w:t xml:space="preserve">“</w:t>
      </w:r>
      <w:r>
        <w:t xml:space="preserve">sí iniciar</w:t>
      </w:r>
      <w:r>
        <w:t xml:space="preserve">”</w:t>
      </w:r>
      <w:r>
        <w:t xml:space="preserve"> </w:t>
      </w:r>
      <w:r>
        <w:t xml:space="preserve">metformina, no solo como omisión de un bloqueo.</w:t>
      </w:r>
    </w:p>
    <w:p>
      <w:pPr>
        <w:numPr>
          <w:ilvl w:val="0"/>
          <w:numId w:val="1076"/>
        </w:numPr>
        <w:pStyle w:val="Compact"/>
      </w:pPr>
      <w:r>
        <w:rPr>
          <w:rStyle w:val="VerbatimChar"/>
          <w:b/>
        </w:rPr>
        <w:t xml:space="preserve">classifyLipidRisk</w:t>
      </w:r>
      <w:r>
        <w:rPr>
          <w:b/>
        </w:rPr>
        <w:t xml:space="preserve">, ramas (a) y (c) (2.2):</w:t>
      </w:r>
      <w:r>
        <w:t xml:space="preserve"> </w:t>
      </w:r>
      <w:r>
        <w:rPr>
          <w:rStyle w:val="VerbatimChar"/>
        </w:rPr>
        <w:t xml:space="preserve">egfr &gt; 0 &amp;&amp; egfr &lt; 30</w:t>
      </w:r>
      <w:r>
        <w:t xml:space="preserve"> </w:t>
      </w:r>
      <w:r>
        <w:t xml:space="preserve">/</w:t>
      </w:r>
      <w:r>
        <w:t xml:space="preserve"> </w:t>
      </w:r>
      <w:r>
        <w:rPr>
          <w:rStyle w:val="VerbatimChar"/>
        </w:rPr>
        <w:t xml:space="preserve">egfr &gt; 0 &amp;&amp; egfr &lt; 60</w:t>
      </w:r>
      <w:r>
        <w:t xml:space="preserve"> </w:t>
      </w:r>
      <w:r>
        <w:t xml:space="preserve">— sin eGFR calculable, un paciente con ERC severa real no capturada nunca cae en</w:t>
      </w:r>
      <w:r>
        <w:t xml:space="preserve"> </w:t>
      </w:r>
      <w:r>
        <w:t xml:space="preserve">“</w:t>
      </w:r>
      <w:r>
        <w:t xml:space="preserve">MUY ALTO</w:t>
      </w:r>
      <w:r>
        <w:t xml:space="preserve">”</w:t>
      </w:r>
      <w:r>
        <w:t xml:space="preserve">/</w:t>
      </w:r>
      <w:r>
        <w:t xml:space="preserve">“</w:t>
      </w:r>
      <w:r>
        <w:t xml:space="preserve">ALTO</w:t>
      </w:r>
      <w:r>
        <w:t xml:space="preserve">”</w:t>
      </w:r>
      <w:r>
        <w:t xml:space="preserve"> </w:t>
      </w:r>
      <w:r>
        <w:t xml:space="preserve">por esta vía.</w:t>
      </w:r>
    </w:p>
    <w:p>
      <w:pPr>
        <w:numPr>
          <w:ilvl w:val="0"/>
          <w:numId w:val="1076"/>
        </w:numPr>
        <w:pStyle w:val="Compact"/>
      </w:pPr>
      <w:r>
        <w:rPr>
          <w:rStyle w:val="VerbatimChar"/>
          <w:b/>
        </w:rPr>
        <w:t xml:space="preserve">buildLipidPlan</w:t>
      </w:r>
      <w:r>
        <w:rPr>
          <w:b/>
        </w:rPr>
        <w:t xml:space="preserve">,</w:t>
      </w:r>
      <w:r>
        <w:rPr>
          <w:b/>
        </w:rPr>
        <w:t xml:space="preserve"> </w:t>
      </w:r>
      <w:r>
        <w:rPr>
          <w:rStyle w:val="VerbatimChar"/>
          <w:b/>
        </w:rPr>
        <w:t xml:space="preserve">frailDeintensify</w:t>
      </w:r>
      <w:r>
        <w:rPr>
          <w:b/>
        </w:rPr>
        <w:t xml:space="preserve">/</w:t>
      </w:r>
      <w:r>
        <w:rPr>
          <w:rStyle w:val="VerbatimChar"/>
          <w:b/>
        </w:rPr>
        <w:t xml:space="preserve">severeCKD</w:t>
      </w:r>
      <w:r>
        <w:rPr>
          <w:b/>
        </w:rPr>
        <w:t xml:space="preserve"> </w:t>
      </w:r>
      <w:r>
        <w:rPr>
          <w:b/>
        </w:rPr>
        <w:t xml:space="preserve">(7.1):</w:t>
      </w:r>
      <w:r>
        <w:t xml:space="preserve"> </w:t>
      </w:r>
      <w:r>
        <w:rPr>
          <w:rStyle w:val="VerbatimChar"/>
        </w:rPr>
        <w:t xml:space="preserve">egfrLipid &gt; 0 &amp;&amp; egfrLipid &lt; 30</w:t>
      </w:r>
      <w:r>
        <w:t xml:space="preserve"> </w:t>
      </w:r>
      <w:r>
        <w:t xml:space="preserve">— sin eGFR,</w:t>
      </w:r>
      <w:r>
        <w:t xml:space="preserve"> </w:t>
      </w:r>
      <w:r>
        <w:rPr>
          <w:rStyle w:val="VerbatimChar"/>
        </w:rPr>
        <w:t xml:space="preserve">severeCKD=false</w:t>
      </w:r>
      <w:r>
        <w:t xml:space="preserve">, lo que puede permitir de-intensificar la estatina de un paciente con ERC severa no documentada.</w:t>
      </w:r>
    </w:p>
    <w:p>
      <w:pPr>
        <w:numPr>
          <w:ilvl w:val="0"/>
          <w:numId w:val="1076"/>
        </w:numPr>
        <w:pStyle w:val="Compact"/>
      </w:pPr>
      <w:r>
        <w:rPr>
          <w:rStyle w:val="VerbatimChar"/>
          <w:b/>
        </w:rPr>
        <w:t xml:space="preserve">buildHTNPlan</w:t>
      </w:r>
      <w:r>
        <w:rPr>
          <w:b/>
        </w:rPr>
        <w:t xml:space="preserve">, Finerenona (6.9):</w:t>
      </w:r>
      <w:r>
        <w:t xml:space="preserve"> </w:t>
      </w:r>
      <w:r>
        <w:rPr>
          <w:rStyle w:val="VerbatimChar"/>
        </w:rPr>
        <w:t xml:space="preserve">flags.egfr &gt;= 25</w:t>
      </w:r>
      <w:r>
        <w:t xml:space="preserve"> </w:t>
      </w:r>
      <w:r>
        <w:t xml:space="preserve">sin guarda</w:t>
      </w:r>
      <w:r>
        <w:t xml:space="preserve"> </w:t>
      </w:r>
      <w:r>
        <w:rPr>
          <w:rStyle w:val="VerbatimChar"/>
        </w:rPr>
        <w:t xml:space="preserve">&gt;0</w:t>
      </w:r>
      <w:r>
        <w:t xml:space="preserve"> </w:t>
      </w:r>
      <w:r>
        <w:t xml:space="preserve">adicional pero con el mismo efecto — sin eGFR, la condición es</w:t>
      </w:r>
      <w:r>
        <w:t xml:space="preserve"> </w:t>
      </w:r>
      <w:r>
        <w:rPr>
          <w:rStyle w:val="VerbatimChar"/>
        </w:rPr>
        <w:t xml:space="preserve">false</w:t>
      </w:r>
      <w:r>
        <w:t xml:space="preserve"> </w:t>
      </w:r>
      <w:r>
        <w:t xml:space="preserve">y Finerenona nunca se sugiere (conservador en este caso, pero silencioso).</w:t>
      </w:r>
    </w:p>
    <w:p>
      <w:pPr>
        <w:numPr>
          <w:ilvl w:val="0"/>
          <w:numId w:val="1076"/>
        </w:numPr>
        <w:pStyle w:val="Compact"/>
      </w:pPr>
      <w:r>
        <w:rPr>
          <w:rStyle w:val="VerbatimChar"/>
          <w:b/>
        </w:rPr>
        <w:t xml:space="preserve">classifyGlobalRisk</w:t>
      </w:r>
      <w:r>
        <w:rPr>
          <w:b/>
        </w:rPr>
        <w:t xml:space="preserve"> </w:t>
      </w:r>
      <w:r>
        <w:rPr>
          <w:b/>
        </w:rPr>
        <w:t xml:space="preserve">(2.4) y</w:t>
      </w:r>
      <w:r>
        <w:rPr>
          <w:b/>
        </w:rPr>
        <w:t xml:space="preserve"> </w:t>
      </w:r>
      <w:r>
        <w:rPr>
          <w:rStyle w:val="VerbatimChar"/>
          <w:b/>
        </w:rPr>
        <w:t xml:space="preserve">classifyFIB4</w:t>
      </w:r>
      <w:r>
        <w:rPr>
          <w:b/>
        </w:rPr>
        <w:t xml:space="preserve"> </w:t>
      </w:r>
      <w:r>
        <w:rPr>
          <w:b/>
        </w:rPr>
        <w:t xml:space="preserve">local (2.1):</w:t>
      </w:r>
      <w:r>
        <w:t xml:space="preserve"> </w:t>
      </w:r>
      <w:r>
        <w:t xml:space="preserve">mismo patrón</w:t>
      </w:r>
      <w:r>
        <w:t xml:space="preserve"> </w:t>
      </w:r>
      <w:r>
        <w:rPr>
          <w:rStyle w:val="VerbatimChar"/>
        </w:rPr>
        <w:t xml:space="preserve">egfr &gt; 0</w:t>
      </w:r>
      <w:r>
        <w:t xml:space="preserve">, mitigado por ser código muerto no usado en producción.</w:t>
      </w:r>
    </w:p>
    <w:p>
      <w:pPr>
        <w:numPr>
          <w:ilvl w:val="0"/>
          <w:numId w:val="1076"/>
        </w:numPr>
        <w:pStyle w:val="Compact"/>
      </w:pPr>
      <w:r>
        <w:rPr>
          <w:rStyle w:val="VerbatimChar"/>
          <w:b/>
        </w:rPr>
        <w:t xml:space="preserve">calcIMC</w:t>
      </w:r>
      <w:r>
        <w:rPr>
          <w:b/>
        </w:rPr>
        <w:t xml:space="preserve">/</w:t>
      </w:r>
      <w:r>
        <w:rPr>
          <w:rStyle w:val="VerbatimChar"/>
          <w:b/>
        </w:rPr>
        <w:t xml:space="preserve">calcICC</w:t>
      </w:r>
      <w:r>
        <w:rPr>
          <w:b/>
        </w:rPr>
        <w:t xml:space="preserve">/</w:t>
      </w:r>
      <w:r>
        <w:rPr>
          <w:rStyle w:val="VerbatimChar"/>
          <w:b/>
        </w:rPr>
        <w:t xml:space="preserve">calcICA</w:t>
      </w:r>
      <w:r>
        <w:rPr>
          <w:b/>
        </w:rPr>
        <w:t xml:space="preserve"> </w:t>
      </w:r>
      <w:r>
        <w:rPr>
          <w:b/>
        </w:rPr>
        <w:t xml:space="preserve">→</w:t>
      </w:r>
      <w:r>
        <w:rPr>
          <w:b/>
        </w:rPr>
        <w:t xml:space="preserve"> </w:t>
      </w:r>
      <w:r>
        <w:rPr>
          <w:rStyle w:val="VerbatimChar"/>
          <w:b/>
        </w:rPr>
        <w:t xml:space="preserve">getPatientFlags.imc</w:t>
      </w:r>
      <w:r>
        <w:rPr>
          <w:b/>
        </w:rPr>
        <w:t xml:space="preserve"> </w:t>
      </w:r>
      <w:r>
        <w:rPr>
          <w:b/>
        </w:rPr>
        <w:t xml:space="preserve">(1.4):</w:t>
      </w:r>
      <w:r>
        <w:t xml:space="preserve"> </w:t>
      </w:r>
      <w:r>
        <w:t xml:space="preserve">las fórmulas antropométricas SÍ devuelven</w:t>
      </w:r>
      <w:r>
        <w:t xml:space="preserve"> </w:t>
      </w:r>
      <w:r>
        <w:rPr>
          <w:rStyle w:val="VerbatimChar"/>
        </w:rPr>
        <w:t xml:space="preserve">null</w:t>
      </w:r>
      <w:r>
        <w:t xml:space="preserve"> </w:t>
      </w:r>
      <w:r>
        <w:t xml:space="preserve">explícito, pero</w:t>
      </w:r>
      <w:r>
        <w:t xml:space="preserve"> </w:t>
      </w:r>
      <w:r>
        <w:rPr>
          <w:rStyle w:val="VerbatimChar"/>
        </w:rPr>
        <w:t xml:space="preserve">const imc = calcIMC(p) || 0</w:t>
      </w:r>
      <w:r>
        <w:t xml:space="preserve"> </w:t>
      </w:r>
      <w:r>
        <w:t xml:space="preserve">en</w:t>
      </w:r>
      <w:r>
        <w:t xml:space="preserve"> </w:t>
      </w:r>
      <w:r>
        <w:rPr>
          <w:rStyle w:val="VerbatimChar"/>
        </w:rPr>
        <w:t xml:space="preserve">getPatientFlags</w:t>
      </w:r>
      <w:r>
        <w:t xml:space="preserve"> </w:t>
      </w:r>
      <w:r>
        <w:t xml:space="preserve">reintroduce la ambigüedad 0-vs-faltante justo antes de evaluar</w:t>
      </w:r>
      <w:r>
        <w:t xml:space="preserve"> </w:t>
      </w:r>
      <w:r>
        <w:rPr>
          <w:rStyle w:val="VerbatimChar"/>
        </w:rPr>
        <w:t xml:space="preserve">flags.obesidad</w:t>
      </w:r>
      <w:r>
        <w:t xml:space="preserve">.</w:t>
      </w:r>
    </w:p>
    <w:p>
      <w:pPr>
        <w:numPr>
          <w:ilvl w:val="0"/>
          <w:numId w:val="1076"/>
        </w:numPr>
        <w:pStyle w:val="Compact"/>
      </w:pPr>
      <w:r>
        <w:rPr>
          <w:rStyle w:val="VerbatimChar"/>
          <w:b/>
        </w:rPr>
        <w:t xml:space="preserve">getA1cEfectiva</w:t>
      </w:r>
      <w:r>
        <w:rPr>
          <w:b/>
        </w:rPr>
        <w:t xml:space="preserve"> </w:t>
      </w:r>
      <w:r>
        <w:rPr>
          <w:b/>
        </w:rPr>
        <w:t xml:space="preserve">(1.8):</w:t>
      </w:r>
      <w:r>
        <w:t xml:space="preserve"> </w:t>
      </w:r>
      <w:r>
        <w:t xml:space="preserve">es la excepción positiva del archivo — SÍ distingue</w:t>
      </w:r>
      <w:r>
        <w:t xml:space="preserve"> </w:t>
      </w:r>
      <w:r>
        <w:rPr>
          <w:rStyle w:val="VerbatimChar"/>
        </w:rPr>
        <w:t xml:space="preserve">source: "medida"|"estimada"|null</w:t>
      </w:r>
      <w:r>
        <w:t xml:space="preserve">, pero varios consumidores (ej.</w:t>
      </w:r>
      <w:r>
        <w:t xml:space="preserve"> </w:t>
      </w:r>
      <w:r>
        <w:rPr>
          <w:rStyle w:val="VerbatimChar"/>
        </w:rPr>
        <w:t xml:space="preserve">classifyLipidRisk</w:t>
      </w:r>
      <w:r>
        <w:t xml:space="preserve">) extraen solo</w:t>
      </w:r>
      <w:r>
        <w:t xml:space="preserve"> </w:t>
      </w:r>
      <w:r>
        <w:rPr>
          <w:rStyle w:val="VerbatimChar"/>
        </w:rPr>
        <w:t xml:space="preserve">.value</w:t>
      </w:r>
      <w:r>
        <w:t xml:space="preserve"> </w:t>
      </w:r>
      <w:r>
        <w:t xml:space="preserve">sin revisar</w:t>
      </w:r>
      <w:r>
        <w:t xml:space="preserve"> </w:t>
      </w:r>
      <w:r>
        <w:rPr>
          <w:rStyle w:val="VerbatimChar"/>
        </w:rPr>
        <w:t xml:space="preserve">.source</w:t>
      </w:r>
      <w:r>
        <w:t xml:space="preserve">, perdiendo esa señal en la práctica.</w:t>
      </w:r>
    </w:p>
    <w:p>
      <w:pPr>
        <w:numPr>
          <w:ilvl w:val="0"/>
          <w:numId w:val="1076"/>
        </w:numPr>
        <w:pStyle w:val="Compact"/>
      </w:pPr>
      <w:r>
        <w:rPr>
          <w:rStyle w:val="VerbatimChar"/>
          <w:b/>
        </w:rPr>
        <w:t xml:space="preserve">buildTreatmentPlan</w:t>
      </w:r>
      <w:r>
        <w:rPr>
          <w:b/>
        </w:rPr>
        <w:t xml:space="preserve">, gate de PA (9.2):</w:t>
      </w:r>
      <w:r>
        <w:t xml:space="preserve"> </w:t>
      </w:r>
      <w:r>
        <w:rPr>
          <w:rStyle w:val="VerbatimChar"/>
        </w:rPr>
        <w:t xml:space="preserve">TAS≥130 || TAD≥80</w:t>
      </w:r>
      <w:r>
        <w:t xml:space="preserve"> </w:t>
      </w:r>
      <w:r>
        <w:t xml:space="preserve">con</w:t>
      </w:r>
      <w:r>
        <w:t xml:space="preserve"> </w:t>
      </w:r>
      <w:r>
        <w:rPr>
          <w:rStyle w:val="VerbatimChar"/>
        </w:rPr>
        <w:t xml:space="preserve">v()</w:t>
      </w:r>
      <w:r>
        <w:t xml:space="preserve"> </w:t>
      </w:r>
      <w:r>
        <w:t xml:space="preserve">— sin PA capturada en la consulta,</w:t>
      </w:r>
      <w:r>
        <w:t xml:space="preserve"> </w:t>
      </w:r>
      <w:r>
        <w:rPr>
          <w:rStyle w:val="VerbatimChar"/>
        </w:rPr>
        <w:t xml:space="preserve">buildHTNPlan</w:t>
      </w:r>
      <w:r>
        <w:t xml:space="preserve"> </w:t>
      </w:r>
      <w:r>
        <w:t xml:space="preserve">nunca se invoca, sin ninguna advertencia de</w:t>
      </w:r>
      <w:r>
        <w:t xml:space="preserve"> </w:t>
      </w:r>
      <w:r>
        <w:t xml:space="preserve">“</w:t>
      </w:r>
      <w:r>
        <w:t xml:space="preserve">PA no evaluada en esta consulta</w:t>
      </w:r>
      <w:r>
        <w:t xml:space="preserve">”</w:t>
      </w:r>
      <w:r>
        <w:t xml:space="preserve">.</w:t>
      </w:r>
    </w:p>
    <w:p>
      <w:pPr>
        <w:numPr>
          <w:ilvl w:val="0"/>
          <w:numId w:val="1076"/>
        </w:numPr>
        <w:pStyle w:val="Compact"/>
      </w:pPr>
      <w:r>
        <w:rPr>
          <w:rStyle w:val="VerbatimChar"/>
          <w:b/>
        </w:rPr>
        <w:t xml:space="preserve">getPatientFlags</w:t>
      </w:r>
      <w:r>
        <w:rPr>
          <w:b/>
        </w:rPr>
        <w:t xml:space="preserve">, banderas por comorbilidad/antecedente familiar (sección 3, general):</w:t>
      </w:r>
      <w:r>
        <w:t xml:space="preserve"> </w:t>
      </w:r>
      <w:r>
        <w:t xml:space="preserve">todas las banderas basadas en</w:t>
      </w:r>
      <w:r>
        <w:t xml:space="preserve"> </w:t>
      </w:r>
      <w:r>
        <w:rPr>
          <w:rStyle w:val="VerbatimChar"/>
        </w:rPr>
        <w:t xml:space="preserve">hasComorb</w:t>
      </w:r>
      <w:r>
        <w:t xml:space="preserve">/</w:t>
      </w:r>
      <w:r>
        <w:rPr>
          <w:rStyle w:val="VerbatimChar"/>
        </w:rPr>
        <w:t xml:space="preserve">hasFamHx</w:t>
      </w:r>
      <w:r>
        <w:t xml:space="preserve"> </w:t>
      </w:r>
      <w:r>
        <w:t xml:space="preserve">son</w:t>
      </w:r>
      <w:r>
        <w:t xml:space="preserve"> </w:t>
      </w:r>
      <w:r>
        <w:rPr>
          <w:rStyle w:val="VerbatimChar"/>
        </w:rPr>
        <w:t xml:space="preserve">false</w:t>
      </w:r>
      <w:r>
        <w:t xml:space="preserve"> </w:t>
      </w:r>
      <w:r>
        <w:t xml:space="preserve">por defecto si el arreglo no existe o el checkbox no fue marcado —</w:t>
      </w:r>
      <w:r>
        <w:t xml:space="preserve"> </w:t>
      </w:r>
      <w:r>
        <w:t xml:space="preserve">“</w:t>
      </w:r>
      <w:r>
        <w:t xml:space="preserve">no marcado</w:t>
      </w:r>
      <w:r>
        <w:t xml:space="preserve">”</w:t>
      </w:r>
      <w:r>
        <w:t xml:space="preserve"> </w:t>
      </w:r>
      <w:r>
        <w:t xml:space="preserve">y</w:t>
      </w:r>
      <w:r>
        <w:t xml:space="preserve"> </w:t>
      </w:r>
      <w:r>
        <w:t xml:space="preserve">“</w:t>
      </w:r>
      <w:r>
        <w:t xml:space="preserve">no preguntado</w:t>
      </w:r>
      <w:r>
        <w:t xml:space="preserve">”</w:t>
      </w:r>
      <w:r>
        <w:t xml:space="preserve"> </w:t>
      </w:r>
      <w:r>
        <w:t xml:space="preserve">son indistinguibles en todo el motor de banderas (24 banderas afectadas por este patrón general).</w:t>
      </w:r>
    </w:p>
    <w:p>
      <w:pPr>
        <w:pStyle w:val="FirstParagraph"/>
      </w:pPr>
      <w:r>
        <w:rPr>
          <w:b/>
        </w:rPr>
        <w:t xml:space="preserve">Total de reglas discretas catalogadas en este documento:</w:t>
      </w:r>
      <w:r>
        <w:t xml:space="preserve"> </w:t>
      </w:r>
      <w:r>
        <w:t xml:space="preserve">aproximadamente 90 (19 fórmulas/cálculos base, 4 funciones de clasificación con sus ramas internas documentadas, 24 banderas de</w:t>
      </w:r>
      <w:r>
        <w:t xml:space="preserve"> </w:t>
      </w:r>
      <w:r>
        <w:rPr>
          <w:rStyle w:val="VerbatimChar"/>
        </w:rPr>
        <w:t xml:space="preserve">getPatientFlags</w:t>
      </w:r>
      <w:r>
        <w:t xml:space="preserve">, 5 reglas de</w:t>
      </w:r>
      <w:r>
        <w:t xml:space="preserve"> </w:t>
      </w:r>
      <w:r>
        <w:rPr>
          <w:rStyle w:val="VerbatimChar"/>
        </w:rPr>
        <w:t xml:space="preserve">currentDrugIssue</w:t>
      </w:r>
      <w:r>
        <w:t xml:space="preserve">/</w:t>
      </w:r>
      <w:r>
        <w:rPr>
          <w:rStyle w:val="VerbatimChar"/>
        </w:rPr>
        <w:t xml:space="preserve">filterSafe</w:t>
      </w:r>
      <w:r>
        <w:t xml:space="preserve">, 11 pasos de decisión en el Plan Antidiabético, 10 en el Plan de Hipertensión, 10 en el Plan de Lípidos, 4 en el Plan de Obesidad, 10 en la Consolidación).</w:t>
      </w:r>
    </w:p>
    <w:p>
      <w:pPr>
        <w:pStyle w:val="BodyText"/>
      </w:pPr>
      <w:r>
        <w:rPr>
          <w:b/>
        </w:rPr>
        <w:t xml:space="preserve">Total de huecos honestos documentados explícitamente en el resumen final:</w:t>
      </w:r>
      <w:r>
        <w:t xml:space="preserve"> </w:t>
      </w:r>
      <w:r>
        <w:t xml:space="preserve">10 instancias confirmadas del patrón de guarda silenciosa, más 1 discrepancia de fuentes no documentada por el equipo (7.5: mezcla ACC/AHA 2018 para orden de escalonamiento con Guía de Dislipidemia 2026 para el nivel de riesgo, sin comentario que lo justifique) identificada como hallazgo nuevo de esta auditoría, más 1 riesgo de acoplamiento frágil por coincidencia de texto (8.4,</w:t>
      </w:r>
      <w:r>
        <w:t xml:space="preserve"> </w:t>
      </w:r>
      <w:r>
        <w:rPr>
          <w:rStyle w:val="VerbatimChar"/>
        </w:rPr>
        <w:t xml:space="preserve">dmFreshWeightPick</w:t>
      </w:r>
      <w:r>
        <w:t xml:space="preserve">).</w:t>
      </w:r>
    </w:p>
    <w:p>
      <w:pPr>
        <w:pStyle w:val="Heading1"/>
      </w:pPr>
      <w:bookmarkStart w:id="105" w:name="parte-ii-capas-de-seguridad-de-dominio"/>
      <w:r>
        <w:t xml:space="preserve">Parte II — Capas de Seguridad de Dominio</w:t>
      </w:r>
      <w:bookmarkEnd w:id="105"/>
    </w:p>
    <w:p>
      <w:pPr>
        <w:pStyle w:val="Heading2"/>
      </w:pPr>
      <w:bookmarkStart w:id="106" w:name="Xe92bb13a2766c80bfd4536e9d00400f139fcdde"/>
      <w:r>
        <w:t xml:space="preserve">NEXORA — EndoCore: Gobernanza Clínica del Motor de Decisión</w:t>
      </w:r>
      <w:bookmarkEnd w:id="106"/>
    </w:p>
    <w:p>
      <w:pPr>
        <w:pStyle w:val="FirstParagraph"/>
      </w:pPr>
      <w:r>
        <w:rPr>
          <w:b/>
        </w:rPr>
        <w:t xml:space="preserve">Documento de auditoría/gobernanza.</w:t>
      </w:r>
      <w:r>
        <w:t xml:space="preserve"> </w:t>
      </w:r>
      <w:r>
        <w:t xml:space="preserve">Catálogo exhaustivo de cada regla clínica discreta implementada en las 12 capas de seguridad y clasificación del motor (</w:t>
      </w:r>
      <w:r>
        <w:rPr>
          <w:rStyle w:val="VerbatimChar"/>
        </w:rPr>
        <w:t xml:space="preserve">redflags.js</w:t>
      </w:r>
      <w:r>
        <w:t xml:space="preserve">,</w:t>
      </w:r>
      <w:r>
        <w:t xml:space="preserve"> </w:t>
      </w:r>
      <w:r>
        <w:rPr>
          <w:rStyle w:val="VerbatimChar"/>
        </w:rPr>
        <w:t xml:space="preserve">boundary-alerts.js</w:t>
      </w:r>
      <w:r>
        <w:t xml:space="preserve">,</w:t>
      </w:r>
      <w:r>
        <w:t xml:space="preserve"> </w:t>
      </w:r>
      <w:r>
        <w:rPr>
          <w:rStyle w:val="VerbatimChar"/>
        </w:rPr>
        <w:t xml:space="preserve">individualization.js</w:t>
      </w:r>
      <w:r>
        <w:t xml:space="preserve">,</w:t>
      </w:r>
      <w:r>
        <w:t xml:space="preserve"> </w:t>
      </w:r>
      <w:r>
        <w:rPr>
          <w:rStyle w:val="VerbatimChar"/>
        </w:rPr>
        <w:t xml:space="preserve">interactions.js</w:t>
      </w:r>
      <w:r>
        <w:t xml:space="preserve">,</w:t>
      </w:r>
      <w:r>
        <w:t xml:space="preserve"> </w:t>
      </w:r>
      <w:r>
        <w:rPr>
          <w:rStyle w:val="VerbatimChar"/>
        </w:rPr>
        <w:t xml:space="preserve">corticosteroids.js</w:t>
      </w:r>
      <w:r>
        <w:t xml:space="preserve">,</w:t>
      </w:r>
      <w:r>
        <w:t xml:space="preserve"> </w:t>
      </w:r>
      <w:r>
        <w:rPr>
          <w:rStyle w:val="VerbatimChar"/>
        </w:rPr>
        <w:t xml:space="preserve">geriatric.js</w:t>
      </w:r>
      <w:r>
        <w:t xml:space="preserve">,</w:t>
      </w:r>
      <w:r>
        <w:t xml:space="preserve"> </w:t>
      </w:r>
      <w:r>
        <w:rPr>
          <w:rStyle w:val="VerbatimChar"/>
        </w:rPr>
        <w:t xml:space="preserve">hiv-art.js</w:t>
      </w:r>
      <w:r>
        <w:t xml:space="preserve">,</w:t>
      </w:r>
      <w:r>
        <w:t xml:space="preserve"> </w:t>
      </w:r>
      <w:r>
        <w:rPr>
          <w:rStyle w:val="VerbatimChar"/>
        </w:rPr>
        <w:t xml:space="preserve">perioperative.js</w:t>
      </w:r>
      <w:r>
        <w:t xml:space="preserve">,</w:t>
      </w:r>
      <w:r>
        <w:t xml:space="preserve"> </w:t>
      </w:r>
      <w:r>
        <w:rPr>
          <w:rStyle w:val="VerbatimChar"/>
        </w:rPr>
        <w:t xml:space="preserve">polypharmacy.js</w:t>
      </w:r>
      <w:r>
        <w:t xml:space="preserve">,</w:t>
      </w:r>
      <w:r>
        <w:t xml:space="preserve"> </w:t>
      </w:r>
      <w:r>
        <w:rPr>
          <w:rStyle w:val="VerbatimChar"/>
        </w:rPr>
        <w:t xml:space="preserve">psychiatry.js</w:t>
      </w:r>
      <w:r>
        <w:t xml:space="preserve">,</w:t>
      </w:r>
      <w:r>
        <w:t xml:space="preserve"> </w:t>
      </w:r>
      <w:r>
        <w:rPr>
          <w:rStyle w:val="VerbatimChar"/>
        </w:rPr>
        <w:t xml:space="preserve">sick-day.js</w:t>
      </w:r>
      <w:r>
        <w:t xml:space="preserve">,</w:t>
      </w:r>
      <w:r>
        <w:t xml:space="preserve"> </w:t>
      </w:r>
      <w:r>
        <w:rPr>
          <w:rStyle w:val="VerbatimChar"/>
        </w:rPr>
        <w:t xml:space="preserve">borderline-labs.js</w:t>
      </w:r>
      <w:r>
        <w:t xml:space="preserve">). Cada regla se documenta con el esquema fijo de 10 campos propuesto por el Dr. Ortega.</w:t>
      </w:r>
    </w:p>
    <w:p>
      <w:pPr>
        <w:pStyle w:val="BodyText"/>
      </w:pPr>
      <w:r>
        <w:rPr>
          <w:b/>
        </w:rPr>
        <w:t xml:space="preserve">Metodología.</w:t>
      </w:r>
      <w:r>
        <w:t xml:space="preserve"> </w:t>
      </w:r>
      <w:r>
        <w:t xml:space="preserve">La fuente primaria de verdad es el comentario de cabecera y en línea de cada archivo — estos módulos citan explícitamente el</w:t>
      </w:r>
      <w:r>
        <w:t xml:space="preserve"> </w:t>
      </w:r>
      <w:r>
        <w:t xml:space="preserve">“</w:t>
      </w:r>
      <w:r>
        <w:t xml:space="preserve">caso de borde</w:t>
      </w:r>
      <w:r>
        <w:t xml:space="preserve">”</w:t>
      </w:r>
      <w:r>
        <w:t xml:space="preserve"> </w:t>
      </w:r>
      <w:r>
        <w:t xml:space="preserve">que los originó (ronda de 20 casos 38-57, propuesta del Dr. Ortega el 10-ago-2026), la fuente clínica y, cuando aplica, la fecha y quién la confirmó. El campo 7 (</w:t>
      </w:r>
      <w:r>
        <w:t xml:space="preserve">“</w:t>
      </w:r>
      <w:r>
        <w:t xml:space="preserve">qué casos la validan</w:t>
      </w:r>
      <w:r>
        <w:t xml:space="preserve">”</w:t>
      </w:r>
      <w:r>
        <w:t xml:space="preserve">) se obtuvo con</w:t>
      </w:r>
      <w:r>
        <w:t xml:space="preserve"> </w:t>
      </w:r>
      <w:r>
        <w:rPr>
          <w:rStyle w:val="VerbatimChar"/>
        </w:rPr>
        <w:t xml:space="preserve">grep</w:t>
      </w:r>
      <w:r>
        <w:t xml:space="preserve"> </w:t>
      </w:r>
      <w:r>
        <w:t xml:space="preserve">sobre</w:t>
      </w:r>
      <w:r>
        <w:t xml:space="preserve"> </w:t>
      </w:r>
      <w:r>
        <w:rPr>
          <w:rStyle w:val="VerbatimChar"/>
        </w:rPr>
        <w:t xml:space="preserve">tests/*.test.mjs</w:t>
      </w:r>
      <w:r>
        <w:t xml:space="preserve"> </w:t>
      </w:r>
      <w:r>
        <w:t xml:space="preserve">buscando el nombre de la función/id de cada regla — no se infiere ni se asume cobertura no verificada. Ninguna fuente, fecha o validación fue inventada: donde el código no lo especifica, el campo dice explícitamente que no se especifica.</w:t>
      </w:r>
    </w:p>
    <w:p>
      <w:pPr>
        <w:pStyle w:val="BodyText"/>
      </w:pPr>
      <w:r>
        <w:rPr>
          <w:b/>
        </w:rPr>
        <w:t xml:space="preserve">Resumen de honestidad.</w:t>
      </w:r>
      <w:r>
        <w:t xml:space="preserve"> </w:t>
      </w:r>
      <w:r>
        <w:t xml:space="preserve">Varios módulos declaran limitaciones de forma explícita en sus propios comentarios (</w:t>
      </w:r>
      <w:r>
        <w:t xml:space="preserve">“</w:t>
      </w:r>
      <w:r>
        <w:t xml:space="preserve">LIMITACIÓN HONESTA</w:t>
      </w:r>
      <w:r>
        <w:t xml:space="preserve">”</w:t>
      </w:r>
      <w:r>
        <w:t xml:space="preserve">,</w:t>
      </w:r>
      <w:r>
        <w:t xml:space="preserve"> </w:t>
      </w:r>
      <w:r>
        <w:t xml:space="preserve">“</w:t>
      </w:r>
      <w:r>
        <w:t xml:space="preserve">LÍMITE DELIBERADO</w:t>
      </w:r>
      <w:r>
        <w:t xml:space="preserve">”</w:t>
      </w:r>
      <w:r>
        <w:t xml:space="preserve">,</w:t>
      </w:r>
      <w:r>
        <w:t xml:space="preserve"> </w:t>
      </w:r>
      <w:r>
        <w:t xml:space="preserve">“</w:t>
      </w:r>
      <w:r>
        <w:t xml:space="preserve">LIMITACIÓN CONOCIDA</w:t>
      </w:r>
      <w:r>
        <w:t xml:space="preserve">”</w:t>
      </w:r>
      <w:r>
        <w:t xml:space="preserve">); se transcriben literalmente donde corresponde. Además, esta auditoría identificó comportamientos de manejo de datos faltantes que el código no señala como</w:t>
      </w:r>
      <w:r>
        <w:t xml:space="preserve"> </w:t>
      </w:r>
      <w:r>
        <w:t xml:space="preserve">“</w:t>
      </w:r>
      <w:r>
        <w:t xml:space="preserve">limitación</w:t>
      </w:r>
      <w:r>
        <w:t xml:space="preserve">”</w:t>
      </w:r>
      <w:r>
        <w:t xml:space="preserve"> </w:t>
      </w:r>
      <w:r>
        <w:t xml:space="preserve">en el comentario pero que son observables leyendo la lógica — se documentan igual de explícitamente en el campo 9, sin suavizarlos.</w:t>
      </w:r>
    </w:p>
    <w:p>
      <w:r>
        <w:pict>
          <v:rect style="width:0;height:1.5pt" o:hralign="center" o:hrstd="t" o:hr="t"/>
        </w:pict>
      </w:r>
    </w:p>
    <w:p>
      <w:pPr>
        <w:pStyle w:val="Heading2"/>
      </w:pPr>
      <w:bookmarkStart w:id="107" w:name="X7328c8bae59396b3c97afb335b028ba7abd3495"/>
      <w:r>
        <w:t xml:space="preserve">1. Extremos fisiológicos (red flags) —</w:t>
      </w:r>
      <w:r>
        <w:t xml:space="preserve"> </w:t>
      </w:r>
      <w:r>
        <w:rPr>
          <w:rStyle w:val="VerbatimChar"/>
        </w:rPr>
        <w:t xml:space="preserve">js/redflags.js</w:t>
      </w:r>
      <w:bookmarkEnd w:id="107"/>
    </w:p>
    <w:p>
      <w:pPr>
        <w:pStyle w:val="FirstParagraph"/>
      </w:pPr>
      <w:r>
        <w:t xml:space="preserve">Guardrail de resguardo lógico: si un valor está fuera del alcance de consulta externa, el motor debe derivar, no recomendar. Propuesto por el Dr. Ortega (10-ago-2026), ronda de casos 38-57.</w:t>
      </w:r>
    </w:p>
    <w:p>
      <w:pPr>
        <w:pStyle w:val="Heading3"/>
      </w:pPr>
      <w:bookmarkStart w:id="108" w:name="creatinina_critica-creatinina-crítica"/>
      <w:r>
        <w:t xml:space="preserve">1.1 CREATININA_CRITICA — Creatinina crítica</w:t>
      </w:r>
      <w:bookmarkEnd w:id="108"/>
    </w:p>
    <w:p>
      <w:pPr>
        <w:numPr>
          <w:ilvl w:val="0"/>
          <w:numId w:val="1077"/>
        </w:numPr>
        <w:pStyle w:val="Compact"/>
      </w:pPr>
      <w:r>
        <w:rPr>
          <w:b/>
        </w:rPr>
        <w:t xml:space="preserve">Qué hace</w:t>
      </w:r>
      <w:r>
        <w:t xml:space="preserve">: Si creatinina &gt; 10 mg/dL, activa el guardrail (</w:t>
      </w:r>
      <w:r>
        <w:rPr>
          <w:rStyle w:val="VerbatimChar"/>
        </w:rPr>
        <w:t xml:space="preserve">activo: true</w:t>
      </w:r>
      <w:r>
        <w:t xml:space="preserve">), bloquea la generación de cualquier plan de tratamiento ambulatorio y muestra el mensaje de derivación a Urgencias.</w:t>
      </w:r>
    </w:p>
    <w:p>
      <w:pPr>
        <w:numPr>
          <w:ilvl w:val="0"/>
          <w:numId w:val="1077"/>
        </w:numPr>
        <w:pStyle w:val="Compact"/>
      </w:pPr>
      <w:r>
        <w:rPr>
          <w:b/>
        </w:rPr>
        <w:t xml:space="preserve">Por qué</w:t>
      </w:r>
      <w:r>
        <w:t xml:space="preserve">: A ese nivel, la falla renal es</w:t>
      </w:r>
      <w:r>
        <w:t xml:space="preserve"> </w:t>
      </w:r>
      <w:r>
        <w:t xml:space="preserve">“</w:t>
      </w:r>
      <w:r>
        <w:t xml:space="preserve">de magnitud probablemente dialítica</w:t>
      </w:r>
      <w:r>
        <w:t xml:space="preserve">”</w:t>
      </w:r>
      <w:r>
        <w:t xml:space="preserve"> </w:t>
      </w:r>
      <w:r>
        <w:t xml:space="preserve">en la enorme mayoría de los casos — fuera del alcance de un ajuste farmacológico de consulta externa.</w:t>
      </w:r>
    </w:p>
    <w:p>
      <w:pPr>
        <w:numPr>
          <w:ilvl w:val="0"/>
          <w:numId w:val="1077"/>
        </w:numPr>
        <w:pStyle w:val="Compact"/>
      </w:pPr>
      <w:r>
        <w:rPr>
          <w:b/>
        </w:rPr>
        <w:t xml:space="preserve">Fuente</w:t>
      </w:r>
      <w:r>
        <w:t xml:space="preserve">: Umbral sugerido directamente por el Dr. Ortega (sin cita de guía externa para este valor puntual).</w:t>
      </w:r>
    </w:p>
    <w:p>
      <w:pPr>
        <w:numPr>
          <w:ilvl w:val="0"/>
          <w:numId w:val="1077"/>
        </w:numPr>
        <w:pStyle w:val="Compact"/>
      </w:pPr>
      <w:r>
        <w:rPr>
          <w:b/>
        </w:rPr>
        <w:t xml:space="preserve">Versión de la fuente</w:t>
      </w:r>
      <w:r>
        <w:t xml:space="preserve">: No especificada en el código — pendiente de documentar (es un juicio clínico del Dr. Ortega, no una cifra de guía publicada).</w:t>
      </w:r>
    </w:p>
    <w:p>
      <w:pPr>
        <w:numPr>
          <w:ilvl w:val="0"/>
          <w:numId w:val="1077"/>
        </w:numPr>
        <w:pStyle w:val="Compact"/>
      </w:pPr>
      <w:r>
        <w:rPr>
          <w:b/>
        </w:rPr>
        <w:t xml:space="preserve">Fecha de revisión</w:t>
      </w:r>
      <w:r>
        <w:t xml:space="preserve">: 10-ago-2026.</w:t>
      </w:r>
    </w:p>
    <w:p>
      <w:pPr>
        <w:numPr>
          <w:ilvl w:val="0"/>
          <w:numId w:val="1077"/>
        </w:numPr>
        <w:pStyle w:val="Compact"/>
      </w:pPr>
      <w:r>
        <w:rPr>
          <w:b/>
        </w:rPr>
        <w:t xml:space="preserve">Quién revisó</w:t>
      </w:r>
      <w:r>
        <w:t xml:space="preserve">: Dr. Ortega.</w:t>
      </w:r>
    </w:p>
    <w:p>
      <w:pPr>
        <w:numPr>
          <w:ilvl w:val="0"/>
          <w:numId w:val="1077"/>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w:t>
      </w:r>
      <w:r>
        <w:t xml:space="preserve"> </w:t>
      </w:r>
      <w:r>
        <w:t xml:space="preserve">“</w:t>
      </w:r>
      <w:r>
        <w:t xml:space="preserve">Creatinina &gt;10 -&gt; guardrail activo, items vacíos</w:t>
      </w:r>
      <w:r>
        <w:t xml:space="preserve">”</w:t>
      </w:r>
      <w:r>
        <w:t xml:space="preserve"> </w:t>
      </w:r>
      <w:r>
        <w:t xml:space="preserve">(línea 34).</w:t>
      </w:r>
    </w:p>
    <w:p>
      <w:pPr>
        <w:numPr>
          <w:ilvl w:val="0"/>
          <w:numId w:val="1077"/>
        </w:numPr>
        <w:pStyle w:val="Compact"/>
      </w:pPr>
      <w:r>
        <w:rPr>
          <w:b/>
        </w:rPr>
        <w:t xml:space="preserve">Qué excepciones tiene</w:t>
      </w:r>
      <w:r>
        <w:t xml:space="preserve">: Ninguna — es un bloqueo absoluto, sin excepción documentada.</w:t>
      </w:r>
    </w:p>
    <w:p>
      <w:pPr>
        <w:numPr>
          <w:ilvl w:val="0"/>
          <w:numId w:val="1077"/>
        </w:numPr>
        <w:pStyle w:val="Compact"/>
      </w:pPr>
      <w:r>
        <w:rPr>
          <w:b/>
        </w:rPr>
        <w:t xml:space="preserve">Qué ocurre si faltan datos</w:t>
      </w:r>
      <w:r>
        <w:t xml:space="preserve">: El chequeo usa el helper</w:t>
      </w:r>
      <w:r>
        <w:t xml:space="preserve"> </w:t>
      </w:r>
      <w:r>
        <w:rPr>
          <w:rStyle w:val="VerbatimChar"/>
        </w:rPr>
        <w:t xml:space="preserve">v(p.creatinina)</w:t>
      </w:r>
      <w:r>
        <w:t xml:space="preserve"> </w:t>
      </w:r>
      <w:r>
        <w:t xml:space="preserve">de</w:t>
      </w:r>
      <w:r>
        <w:t xml:space="preserve"> </w:t>
      </w:r>
      <w:r>
        <w:rPr>
          <w:rStyle w:val="VerbatimChar"/>
        </w:rPr>
        <w:t xml:space="preserve">calculations.js</w:t>
      </w:r>
      <w:r>
        <w:t xml:space="preserve">, que convierte</w:t>
      </w:r>
      <w:r>
        <w:t xml:space="preserve"> </w:t>
      </w:r>
      <w:r>
        <w:rPr>
          <w:rStyle w:val="VerbatimChar"/>
        </w:rPr>
        <w:t xml:space="preserve">""</w:t>
      </w:r>
      <w:r>
        <w:t xml:space="preserve">/</w:t>
      </w:r>
      <w:r>
        <w:rPr>
          <w:rStyle w:val="VerbatimChar"/>
        </w:rPr>
        <w:t xml:space="preserve">null</w:t>
      </w:r>
      <w:r>
        <w:t xml:space="preserve">/</w:t>
      </w:r>
      <w:r>
        <w:rPr>
          <w:rStyle w:val="VerbatimChar"/>
        </w:rPr>
        <w:t xml:space="preserve">undefined</w:t>
      </w:r>
      <w:r>
        <w:t xml:space="preserve"> </w:t>
      </w:r>
      <w:r>
        <w:t xml:space="preserve">en</w:t>
      </w:r>
      <w:r>
        <w:t xml:space="preserve"> </w:t>
      </w:r>
      <w:r>
        <w:rPr>
          <w:rStyle w:val="VerbatimChar"/>
        </w:rPr>
        <w:t xml:space="preserve">0</w:t>
      </w:r>
      <w:r>
        <w:t xml:space="preserve">. Si el campo creatinina está vacío,</w:t>
      </w:r>
      <w:r>
        <w:t xml:space="preserve"> </w:t>
      </w:r>
      <w:r>
        <w:rPr>
          <w:rStyle w:val="VerbatimChar"/>
        </w:rPr>
        <w:t xml:space="preserve">v(p.creatinina) &gt; 10</w:t>
      </w:r>
      <w:r>
        <w:t xml:space="preserve"> </w:t>
      </w:r>
      <w:r>
        <w:t xml:space="preserve">es</w:t>
      </w:r>
      <w:r>
        <w:t xml:space="preserve"> </w:t>
      </w:r>
      <w:r>
        <w:rPr>
          <w:rStyle w:val="VerbatimChar"/>
        </w:rPr>
        <w:t xml:space="preserve">0 &gt; 10</w:t>
      </w:r>
      <w:r>
        <w:t xml:space="preserve"> </w:t>
      </w:r>
      <w:r>
        <w:t xml:space="preserve">→</w:t>
      </w:r>
      <w:r>
        <w:t xml:space="preserve"> </w:t>
      </w:r>
      <w:r>
        <w:rPr>
          <w:rStyle w:val="VerbatimChar"/>
        </w:rPr>
        <w:t xml:space="preserve">false</w:t>
      </w:r>
      <w:r>
        <w:t xml:space="preserve">.</w:t>
      </w:r>
      <w:r>
        <w:t xml:space="preserve"> </w:t>
      </w:r>
      <w:r>
        <w:rPr>
          <w:b/>
        </w:rPr>
        <w:t xml:space="preserve">La regla se omite en silencio si el dato no se capturó</w:t>
      </w:r>
      <w:r>
        <w:t xml:space="preserve"> </w:t>
      </w:r>
      <w:r>
        <w:t xml:space="preserve">— no hay ningún aviso de</w:t>
      </w:r>
      <w:r>
        <w:t xml:space="preserve"> </w:t>
      </w:r>
      <w:r>
        <w:t xml:space="preserve">“</w:t>
      </w:r>
      <w:r>
        <w:t xml:space="preserve">dato faltante, no se pudo evaluar el guardrail</w:t>
      </w:r>
      <w:r>
        <w:t xml:space="preserve">”</w:t>
      </w:r>
      <w:r>
        <w:t xml:space="preserve">. Esto es consistente con el resto del motor (no bloquea por ausencia de datos) pero no está declarado como limitación en el comentario de cabecera; se documenta aquí como hallazgo de esta auditoría.</w:t>
      </w:r>
    </w:p>
    <w:p>
      <w:pPr>
        <w:numPr>
          <w:ilvl w:val="0"/>
          <w:numId w:val="1077"/>
        </w:numPr>
        <w:pStyle w:val="Compact"/>
      </w:pPr>
      <w:r>
        <w:rPr>
          <w:b/>
        </w:rPr>
        <w:t xml:space="preserve">Qué ocurre si dos guías discrepan</w:t>
      </w:r>
      <w:r>
        <w:t xml:space="preserve">: No aplica / sin discrepancia documentada para esta regla.</w:t>
      </w:r>
    </w:p>
    <w:p>
      <w:pPr>
        <w:pStyle w:val="Heading3"/>
      </w:pPr>
      <w:bookmarkStart w:id="109" w:name="hiperk_severa-hiperkalemia-severa"/>
      <w:r>
        <w:t xml:space="preserve">1.2 HIPERK_SEVERA — Hiperkalemia severa</w:t>
      </w:r>
      <w:bookmarkEnd w:id="109"/>
    </w:p>
    <w:p>
      <w:pPr>
        <w:numPr>
          <w:ilvl w:val="0"/>
          <w:numId w:val="1078"/>
        </w:numPr>
        <w:pStyle w:val="Compact"/>
      </w:pPr>
      <w:r>
        <w:rPr>
          <w:b/>
        </w:rPr>
        <w:t xml:space="preserve">Qué hace</w:t>
      </w:r>
      <w:r>
        <w:t xml:space="preserve">: Si potasio &gt; 6.5 mEq/L, activa el guardrail de derivación inmediata.</w:t>
      </w:r>
    </w:p>
    <w:p>
      <w:pPr>
        <w:numPr>
          <w:ilvl w:val="0"/>
          <w:numId w:val="1078"/>
        </w:numPr>
        <w:pStyle w:val="Compact"/>
      </w:pPr>
      <w:r>
        <w:rPr>
          <w:b/>
        </w:rPr>
        <w:t xml:space="preserve">Por qué</w:t>
      </w:r>
      <w:r>
        <w:t xml:space="preserve">: Riesgo inminente de arritmia letal; requiere manejo urgente con gluconato de calcio/insulina-glucosa IV, no ajuste de fármaco oral.</w:t>
      </w:r>
    </w:p>
    <w:p>
      <w:pPr>
        <w:numPr>
          <w:ilvl w:val="0"/>
          <w:numId w:val="1078"/>
        </w:numPr>
        <w:pStyle w:val="Compact"/>
      </w:pPr>
      <w:r>
        <w:rPr>
          <w:b/>
        </w:rPr>
        <w:t xml:space="preserve">Fuente</w:t>
      </w:r>
      <w:r>
        <w:t xml:space="preserve">:</w:t>
      </w:r>
      <w:r>
        <w:t xml:space="preserve"> </w:t>
      </w:r>
      <w:r>
        <w:t xml:space="preserve">“</w:t>
      </w:r>
      <w:r>
        <w:t xml:space="preserve">Umbral clásico de hiperkalemia severa</w:t>
      </w:r>
      <w:r>
        <w:t xml:space="preserve">”</w:t>
      </w:r>
      <w:r>
        <w:t xml:space="preserve"> </w:t>
      </w:r>
      <w:r>
        <w:t xml:space="preserve">— descrito en el comentario como consenso clínico establecido, sin cita de guía específica en el código.</w:t>
      </w:r>
    </w:p>
    <w:p>
      <w:pPr>
        <w:numPr>
          <w:ilvl w:val="0"/>
          <w:numId w:val="1078"/>
        </w:numPr>
        <w:pStyle w:val="Compact"/>
      </w:pPr>
      <w:r>
        <w:rPr>
          <w:b/>
        </w:rPr>
        <w:t xml:space="preserve">Versión de la fuente</w:t>
      </w:r>
      <w:r>
        <w:t xml:space="preserve">: No especificada en el código — pendiente de documentar.</w:t>
      </w:r>
    </w:p>
    <w:p>
      <w:pPr>
        <w:numPr>
          <w:ilvl w:val="0"/>
          <w:numId w:val="1078"/>
        </w:numPr>
        <w:pStyle w:val="Compact"/>
      </w:pPr>
      <w:r>
        <w:rPr>
          <w:b/>
        </w:rPr>
        <w:t xml:space="preserve">Fecha de revisión</w:t>
      </w:r>
      <w:r>
        <w:t xml:space="preserve">: 10-ago-2026.</w:t>
      </w:r>
    </w:p>
    <w:p>
      <w:pPr>
        <w:numPr>
          <w:ilvl w:val="0"/>
          <w:numId w:val="1078"/>
        </w:numPr>
        <w:pStyle w:val="Compact"/>
      </w:pPr>
      <w:r>
        <w:rPr>
          <w:b/>
        </w:rPr>
        <w:t xml:space="preserve">Quién revisó</w:t>
      </w:r>
      <w:r>
        <w:t xml:space="preserve">: Dr. Ortega.</w:t>
      </w:r>
    </w:p>
    <w:p>
      <w:pPr>
        <w:numPr>
          <w:ilvl w:val="0"/>
          <w:numId w:val="1078"/>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w:t>
      </w:r>
      <w:r>
        <w:t xml:space="preserve"> </w:t>
      </w:r>
      <w:r>
        <w:t xml:space="preserve">“</w:t>
      </w:r>
      <w:r>
        <w:t xml:space="preserve">K+ &gt;6.5 -&gt; guardrail activo</w:t>
      </w:r>
      <w:r>
        <w:t xml:space="preserve">”</w:t>
      </w:r>
      <w:r>
        <w:t xml:space="preserve"> </w:t>
      </w:r>
      <w:r>
        <w:t xml:space="preserve">(línea 36); también reutilizado y reprobado en el Caso 42 de</w:t>
      </w:r>
      <w:r>
        <w:t xml:space="preserve"> </w:t>
      </w:r>
      <w:r>
        <w:rPr>
          <w:rStyle w:val="VerbatimChar"/>
        </w:rPr>
        <w:t xml:space="preserve">borderline-labs.js</w:t>
      </w:r>
      <w:r>
        <w:t xml:space="preserve"> </w:t>
      </w:r>
      <w:r>
        <w:t xml:space="preserve">(línea 92:</w:t>
      </w:r>
      <w:r>
        <w:t xml:space="preserve"> </w:t>
      </w:r>
      <w:r>
        <w:t xml:space="preserve">“</w:t>
      </w:r>
      <w:r>
        <w:t xml:space="preserve">K+ &gt;6.5 -&gt; va a guardrail, no al aviso de quelante</w:t>
      </w:r>
      <w:r>
        <w:t xml:space="preserve">”</w:t>
      </w:r>
      <w:r>
        <w:t xml:space="preserve">).</w:t>
      </w:r>
    </w:p>
    <w:p>
      <w:pPr>
        <w:numPr>
          <w:ilvl w:val="0"/>
          <w:numId w:val="1078"/>
        </w:numPr>
        <w:pStyle w:val="Compact"/>
      </w:pPr>
      <w:r>
        <w:rPr>
          <w:b/>
        </w:rPr>
        <w:t xml:space="preserve">Qué excepciones tiene</w:t>
      </w:r>
      <w:r>
        <w:t xml:space="preserve">: Ninguna directa en este módulo. Nota de diseño explícita en</w:t>
      </w:r>
      <w:r>
        <w:t xml:space="preserve"> </w:t>
      </w:r>
      <w:r>
        <w:rPr>
          <w:rStyle w:val="VerbatimChar"/>
        </w:rPr>
        <w:t xml:space="preserve">individualization.js</w:t>
      </w:r>
      <w:r>
        <w:t xml:space="preserve"> </w:t>
      </w:r>
      <w:r>
        <w:t xml:space="preserve">(electrolitos) y en</w:t>
      </w:r>
      <w:r>
        <w:t xml:space="preserve"> </w:t>
      </w:r>
      <w:r>
        <w:rPr>
          <w:rStyle w:val="VerbatimChar"/>
        </w:rPr>
        <w:t xml:space="preserve">borderline-labs.js</w:t>
      </w:r>
      <w:r>
        <w:t xml:space="preserve">: el mismo corte de 6.5 se reutiliza como techo de la</w:t>
      </w:r>
      <w:r>
        <w:t xml:space="preserve"> </w:t>
      </w:r>
      <w:r>
        <w:t xml:space="preserve">“</w:t>
      </w:r>
      <w:r>
        <w:t xml:space="preserve">zona gris</w:t>
      </w:r>
      <w:r>
        <w:t xml:space="preserve">”</w:t>
      </w:r>
      <w:r>
        <w:t xml:space="preserve"> </w:t>
      </w:r>
      <w:r>
        <w:t xml:space="preserve">de hiperkalemia leve-moderada (5.0–6.5), de modo que por debajo de 6.5 el paciente cae en un manejo distinto (quelante de potasio) y nunca compite con este guardrail.</w:t>
      </w:r>
    </w:p>
    <w:p>
      <w:pPr>
        <w:numPr>
          <w:ilvl w:val="0"/>
          <w:numId w:val="1078"/>
        </w:numPr>
        <w:pStyle w:val="Compact"/>
      </w:pPr>
      <w:r>
        <w:rPr>
          <w:b/>
        </w:rPr>
        <w:t xml:space="preserve">Qué ocurre si faltan datos</w:t>
      </w:r>
      <w:r>
        <w:t xml:space="preserve">: Igual que 1.1 —</w:t>
      </w:r>
      <w:r>
        <w:t xml:space="preserve"> </w:t>
      </w:r>
      <w:r>
        <w:rPr>
          <w:rStyle w:val="VerbatimChar"/>
        </w:rPr>
        <w:t xml:space="preserve">v(p.potasio)</w:t>
      </w:r>
      <w:r>
        <w:t xml:space="preserve"> </w:t>
      </w:r>
      <w:r>
        <w:t xml:space="preserve">convierte dato faltante a</w:t>
      </w:r>
      <w:r>
        <w:t xml:space="preserve"> </w:t>
      </w:r>
      <w:r>
        <w:rPr>
          <w:rStyle w:val="VerbatimChar"/>
        </w:rPr>
        <w:t xml:space="preserve">0</w:t>
      </w:r>
      <w:r>
        <w:t xml:space="preserve">, por lo que</w:t>
      </w:r>
      <w:r>
        <w:t xml:space="preserve"> </w:t>
      </w:r>
      <w:r>
        <w:rPr>
          <w:rStyle w:val="VerbatimChar"/>
        </w:rPr>
        <w:t xml:space="preserve">0 &gt; 6.5</w:t>
      </w:r>
      <w:r>
        <w:t xml:space="preserve"> </w:t>
      </w:r>
      <w:r>
        <w:t xml:space="preserve">es</w:t>
      </w:r>
      <w:r>
        <w:t xml:space="preserve"> </w:t>
      </w:r>
      <w:r>
        <w:rPr>
          <w:rStyle w:val="VerbatimChar"/>
        </w:rPr>
        <w:t xml:space="preserve">false</w:t>
      </w:r>
      <w:r>
        <w:t xml:space="preserve"> </w:t>
      </w:r>
      <w:r>
        <w:t xml:space="preserve">y</w:t>
      </w:r>
      <w:r>
        <w:t xml:space="preserve"> </w:t>
      </w:r>
      <w:r>
        <w:rPr>
          <w:b/>
        </w:rPr>
        <w:t xml:space="preserve">la regla se omite en silencio</w:t>
      </w:r>
      <w:r>
        <w:t xml:space="preserve"> </w:t>
      </w:r>
      <w:r>
        <w:t xml:space="preserve">si no se capturó potasio.</w:t>
      </w:r>
    </w:p>
    <w:p>
      <w:pPr>
        <w:numPr>
          <w:ilvl w:val="0"/>
          <w:numId w:val="1078"/>
        </w:numPr>
        <w:pStyle w:val="Compact"/>
      </w:pPr>
      <w:r>
        <w:rPr>
          <w:b/>
        </w:rPr>
        <w:t xml:space="preserve">Qué ocurre si dos guías discrepan</w:t>
      </w:r>
      <w:r>
        <w:t xml:space="preserve">: No aplica / sin discrepancia documentada para esta regla.</w:t>
      </w:r>
    </w:p>
    <w:p>
      <w:pPr>
        <w:pStyle w:val="Heading3"/>
      </w:pPr>
      <w:bookmarkStart w:id="110" w:name="crisis_hipertensiva-crisis-hipertensiva"/>
      <w:r>
        <w:t xml:space="preserve">1.3 CRISIS_HIPERTENSIVA — Crisis hipertensiva</w:t>
      </w:r>
      <w:bookmarkEnd w:id="110"/>
    </w:p>
    <w:p>
      <w:pPr>
        <w:numPr>
          <w:ilvl w:val="0"/>
          <w:numId w:val="1079"/>
        </w:numPr>
        <w:pStyle w:val="Compact"/>
      </w:pPr>
      <w:r>
        <w:rPr>
          <w:b/>
        </w:rPr>
        <w:t xml:space="preserve">Qué hace</w:t>
      </w:r>
      <w:r>
        <w:t xml:space="preserve">: Si TAS ≥ 180 mmHg O TAD ≥ 120 mmHg, activa el guardrail.</w:t>
      </w:r>
    </w:p>
    <w:p>
      <w:pPr>
        <w:numPr>
          <w:ilvl w:val="0"/>
          <w:numId w:val="1079"/>
        </w:numPr>
        <w:pStyle w:val="Compact"/>
      </w:pPr>
      <w:r>
        <w:rPr>
          <w:b/>
        </w:rPr>
        <w:t xml:space="preserve">Por qué</w:t>
      </w:r>
      <w:r>
        <w:t xml:space="preserve">: A ese nivel se exige evaluación urgente para descartar daño de órgano blanco, con o sin síntomas.</w:t>
      </w:r>
    </w:p>
    <w:p>
      <w:pPr>
        <w:numPr>
          <w:ilvl w:val="0"/>
          <w:numId w:val="1079"/>
        </w:numPr>
        <w:pStyle w:val="Compact"/>
      </w:pPr>
      <w:r>
        <w:rPr>
          <w:b/>
        </w:rPr>
        <w:t xml:space="preserve">Fuente</w:t>
      </w:r>
      <w:r>
        <w:t xml:space="preserve">: ACC/AHA 2017/2025, umbral de</w:t>
      </w:r>
      <w:r>
        <w:t xml:space="preserve"> </w:t>
      </w:r>
      <w:r>
        <w:t xml:space="preserve">“</w:t>
      </w:r>
      <w:r>
        <w:t xml:space="preserve">Crisis Hipertensiva</w:t>
      </w:r>
      <w:r>
        <w:t xml:space="preserve">”</w:t>
      </w:r>
      <w:r>
        <w:t xml:space="preserve">.</w:t>
      </w:r>
    </w:p>
    <w:p>
      <w:pPr>
        <w:numPr>
          <w:ilvl w:val="0"/>
          <w:numId w:val="1079"/>
        </w:numPr>
        <w:pStyle w:val="Compact"/>
      </w:pPr>
      <w:r>
        <w:rPr>
          <w:b/>
        </w:rPr>
        <w:t xml:space="preserve">Versión de la fuente</w:t>
      </w:r>
      <w:r>
        <w:t xml:space="preserve">: ACC/AHA 2017/2025 (el comentario cita explícitamente ambos años como referencia del umbral 180/120).</w:t>
      </w:r>
    </w:p>
    <w:p>
      <w:pPr>
        <w:numPr>
          <w:ilvl w:val="0"/>
          <w:numId w:val="1079"/>
        </w:numPr>
        <w:pStyle w:val="Compact"/>
      </w:pPr>
      <w:r>
        <w:rPr>
          <w:b/>
        </w:rPr>
        <w:t xml:space="preserve">Fecha de revisión</w:t>
      </w:r>
      <w:r>
        <w:t xml:space="preserve">: 10-ago-2026.</w:t>
      </w:r>
    </w:p>
    <w:p>
      <w:pPr>
        <w:numPr>
          <w:ilvl w:val="0"/>
          <w:numId w:val="1079"/>
        </w:numPr>
        <w:pStyle w:val="Compact"/>
      </w:pPr>
      <w:r>
        <w:rPr>
          <w:b/>
        </w:rPr>
        <w:t xml:space="preserve">Quién revisó</w:t>
      </w:r>
      <w:r>
        <w:t xml:space="preserve">: Dr. Ortega — con una corrección documentada explícitamente:</w:t>
      </w:r>
      <w:r>
        <w:t xml:space="preserve"> </w:t>
      </w:r>
      <w:r>
        <w:rPr>
          <w:b/>
        </w:rPr>
        <w:t xml:space="preserve">“</w:t>
      </w:r>
      <w:r>
        <w:rPr>
          <w:b/>
        </w:rPr>
        <w:t xml:space="preserve">el Dr. Ortega sugirió &gt;220, pero el umbral de</w:t>
      </w:r>
      <w:r>
        <w:rPr>
          <w:b/>
        </w:rPr>
        <w:t xml:space="preserve"> </w:t>
      </w:r>
      <w:r>
        <w:rPr>
          <w:b/>
        </w:rPr>
        <w:t xml:space="preserve">‘</w:t>
      </w:r>
      <w:r>
        <w:rPr>
          <w:b/>
        </w:rPr>
        <w:t xml:space="preserve">Crisis Hipertensiva</w:t>
      </w:r>
      <w:r>
        <w:rPr>
          <w:b/>
        </w:rPr>
        <w:t xml:space="preserve">’</w:t>
      </w:r>
      <w:r>
        <w:rPr>
          <w:b/>
        </w:rPr>
        <w:t xml:space="preserve"> </w:t>
      </w:r>
      <w:r>
        <w:rPr>
          <w:b/>
        </w:rPr>
        <w:t xml:space="preserve">según ACC/AHA 2017/2025 es 180/120 (systolic OR diastolic) — se usa el umbral de guía, no el sugerido, y se documenta aquí el porqué del ajuste.</w:t>
      </w:r>
      <w:r>
        <w:rPr>
          <w:b/>
        </w:rPr>
        <w:t xml:space="preserve">”</w:t>
      </w:r>
      <w:r>
        <w:t xml:space="preserve"> </w:t>
      </w:r>
      <w:r>
        <w:t xml:space="preserve">Es decir, el propio código registra que la cifra propuesta inicialmente por el clínico fue sobrescrita por la guía, con la justificación explícita.</w:t>
      </w:r>
    </w:p>
    <w:p>
      <w:pPr>
        <w:numPr>
          <w:ilvl w:val="0"/>
          <w:numId w:val="1079"/>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w:t>
      </w:r>
      <w:r>
        <w:t xml:space="preserve"> </w:t>
      </w:r>
      <w:r>
        <w:t xml:space="preserve">“</w:t>
      </w:r>
      <w:r>
        <w:t xml:space="preserve">PA ≥180 sistólica -&gt; guardrail activo</w:t>
      </w:r>
      <w:r>
        <w:t xml:space="preserve">”</w:t>
      </w:r>
      <w:r>
        <w:t xml:space="preserve"> </w:t>
      </w:r>
      <w:r>
        <w:t xml:space="preserve">(línea 38) y</w:t>
      </w:r>
      <w:r>
        <w:t xml:space="preserve"> </w:t>
      </w:r>
      <w:r>
        <w:t xml:space="preserve">“</w:t>
      </w:r>
      <w:r>
        <w:t xml:space="preserve">PA ≥120 diastólica -&gt; guardrail activo</w:t>
      </w:r>
      <w:r>
        <w:t xml:space="preserve">”</w:t>
      </w:r>
      <w:r>
        <w:t xml:space="preserve"> </w:t>
      </w:r>
      <w:r>
        <w:t xml:space="preserve">(línea 40).</w:t>
      </w:r>
    </w:p>
    <w:p>
      <w:pPr>
        <w:numPr>
          <w:ilvl w:val="0"/>
          <w:numId w:val="1079"/>
        </w:numPr>
        <w:pStyle w:val="Compact"/>
      </w:pPr>
      <w:r>
        <w:rPr>
          <w:b/>
        </w:rPr>
        <w:t xml:space="preserve">Qué excepciones tiene</w:t>
      </w:r>
      <w:r>
        <w:t xml:space="preserve">: Ninguna. El umbral numérico se usa precisamente porque la guía lo considera suficiente por sí solo para exigir evaluación urgente, sin requerir hallazgos de exploración física para activarse.</w:t>
      </w:r>
    </w:p>
    <w:p>
      <w:pPr>
        <w:numPr>
          <w:ilvl w:val="0"/>
          <w:numId w:val="1079"/>
        </w:numPr>
        <w:pStyle w:val="Compact"/>
      </w:pPr>
      <w:r>
        <w:rPr>
          <w:b/>
        </w:rPr>
        <w:t xml:space="preserve">Qué ocurre si faltan datos</w:t>
      </w:r>
      <w:r>
        <w:t xml:space="preserve">:</w:t>
      </w:r>
      <w:r>
        <w:t xml:space="preserve"> </w:t>
      </w:r>
      <w:r>
        <w:rPr>
          <w:rStyle w:val="VerbatimChar"/>
        </w:rPr>
        <w:t xml:space="preserve">v(p.tas) &gt;= 180 || v(p.tad) &gt;= 120</w:t>
      </w:r>
      <w:r>
        <w:t xml:space="preserve"> </w:t>
      </w:r>
      <w:r>
        <w:t xml:space="preserve">— con dato faltante convertido a</w:t>
      </w:r>
      <w:r>
        <w:t xml:space="preserve"> </w:t>
      </w:r>
      <w:r>
        <w:rPr>
          <w:rStyle w:val="VerbatimChar"/>
        </w:rPr>
        <w:t xml:space="preserve">0</w:t>
      </w:r>
      <w:r>
        <w:t xml:space="preserve">, ninguna de las dos condiciones se cumple y</w:t>
      </w:r>
      <w:r>
        <w:t xml:space="preserve"> </w:t>
      </w:r>
      <w:r>
        <w:rPr>
          <w:b/>
        </w:rPr>
        <w:t xml:space="preserve">la regla se omite en silencio</w:t>
      </w:r>
      <w:r>
        <w:t xml:space="preserve">.</w:t>
      </w:r>
    </w:p>
    <w:p>
      <w:pPr>
        <w:numPr>
          <w:ilvl w:val="0"/>
          <w:numId w:val="1079"/>
        </w:numPr>
        <w:pStyle w:val="Compact"/>
      </w:pPr>
      <w:r>
        <w:rPr>
          <w:b/>
        </w:rPr>
        <w:t xml:space="preserve">Qué ocurre si dos guías discrepan</w:t>
      </w:r>
      <w:r>
        <w:t xml:space="preserve">: Documentado explícitamente en el propio código: la sugerencia inicial del Dr. Ortega (&gt;220) se consideró en conflicto con la guía ACC/AHA (180/120) y se resolvió a favor de la guía, con el razonamiento del ajuste dejado por escrito en el comentario — un ejemplo directo de gobernanza</w:t>
      </w:r>
      <w:r>
        <w:t xml:space="preserve"> </w:t>
      </w:r>
      <w:r>
        <w:t xml:space="preserve">“</w:t>
      </w:r>
      <w:r>
        <w:t xml:space="preserve">regla vs. juicio clínico</w:t>
      </w:r>
      <w:r>
        <w:t xml:space="preserve">”</w:t>
      </w:r>
      <w:r>
        <w:t xml:space="preserve"> </w:t>
      </w:r>
      <w:r>
        <w:t xml:space="preserve">documentada en el propio código fuente.</w:t>
      </w:r>
    </w:p>
    <w:p>
      <w:pPr>
        <w:pStyle w:val="FirstParagraph"/>
      </w:pPr>
      <w:r>
        <w:rPr>
          <w:b/>
        </w:rPr>
        <w:t xml:space="preserve">LIMITACIÓN HONESTA declarada en el comentario de cabecera del archivo</w:t>
      </w:r>
      <w:r>
        <w:t xml:space="preserve"> </w:t>
      </w:r>
      <w:r>
        <w:t xml:space="preserve">(aplica a esta regla en particular, transcrita literalmente):</w:t>
      </w:r>
      <w:r>
        <w:t xml:space="preserve"> </w:t>
      </w:r>
      <w:r>
        <w:rPr>
          <w:i/>
        </w:rPr>
        <w:t xml:space="preserve">“</w:t>
      </w:r>
      <w:r>
        <w:rPr>
          <w:i/>
        </w:rPr>
        <w:t xml:space="preserve">este sistema no captura hallazgos de exploración física (papiledema, alteración del estado de alerta, dolor torácico) — el Caso 55 del Dr. Ortega los menciona como parte del cuadro. El umbral numérico de 180/120 se usa precisamente PORQUE la guía lo trata como suficiente por sí solo para exigir evaluación urgente, sin necesitar esos hallazgos para activar la derivación (los hallazgos SÍ determinan si es</w:t>
      </w:r>
      <w:r>
        <w:rPr>
          <w:i/>
        </w:rPr>
        <w:t xml:space="preserve"> </w:t>
      </w:r>
      <w:r>
        <w:rPr>
          <w:i/>
        </w:rPr>
        <w:t xml:space="preserve">‘</w:t>
      </w:r>
      <w:r>
        <w:rPr>
          <w:i/>
        </w:rPr>
        <w:t xml:space="preserve">urgencia</w:t>
      </w:r>
      <w:r>
        <w:rPr>
          <w:i/>
        </w:rPr>
        <w:t xml:space="preserve">’</w:t>
      </w:r>
      <w:r>
        <w:rPr>
          <w:i/>
        </w:rPr>
        <w:t xml:space="preserve"> </w:t>
      </w:r>
      <w:r>
        <w:rPr>
          <w:i/>
        </w:rPr>
        <w:t xml:space="preserve">o</w:t>
      </w:r>
      <w:r>
        <w:rPr>
          <w:i/>
        </w:rPr>
        <w:t xml:space="preserve"> </w:t>
      </w:r>
      <w:r>
        <w:rPr>
          <w:i/>
        </w:rPr>
        <w:t xml:space="preserve">‘</w:t>
      </w:r>
      <w:r>
        <w:rPr>
          <w:i/>
        </w:rPr>
        <w:t xml:space="preserve">emergencia</w:t>
      </w:r>
      <w:r>
        <w:rPr>
          <w:i/>
        </w:rPr>
        <w:t xml:space="preserve">’</w:t>
      </w:r>
      <w:r>
        <w:rPr>
          <w:i/>
        </w:rPr>
        <w:t xml:space="preserve"> </w:t>
      </w:r>
      <w:r>
        <w:rPr>
          <w:i/>
        </w:rPr>
        <w:t xml:space="preserve">hipertensiva una vez en el servicio de salud, pero esa distinción la hace el médico presencial, no este sistema).</w:t>
      </w:r>
      <w:r>
        <w:rPr>
          <w:i/>
        </w:rPr>
        <w:t xml:space="preserve">”</w:t>
      </w:r>
    </w:p>
    <w:p>
      <w:pPr>
        <w:pStyle w:val="Heading3"/>
      </w:pPr>
      <w:bookmarkStart w:id="111" w:name="X050caf11d38338df750bb1b007bb72a2a249633"/>
      <w:r>
        <w:t xml:space="preserve">1.4 EHH_RANGO — Glucosa en rango de Estado Hiperosmolar</w:t>
      </w:r>
      <w:bookmarkEnd w:id="111"/>
    </w:p>
    <w:p>
      <w:pPr>
        <w:numPr>
          <w:ilvl w:val="0"/>
          <w:numId w:val="1080"/>
        </w:numPr>
        <w:pStyle w:val="Compact"/>
      </w:pPr>
      <w:r>
        <w:rPr>
          <w:b/>
        </w:rPr>
        <w:t xml:space="preserve">Qué hace</w:t>
      </w:r>
      <w:r>
        <w:t xml:space="preserve">: Si glucosa &gt; 600 mg/dL, activa el guardrail.</w:t>
      </w:r>
    </w:p>
    <w:p>
      <w:pPr>
        <w:numPr>
          <w:ilvl w:val="0"/>
          <w:numId w:val="1080"/>
        </w:numPr>
        <w:pStyle w:val="Compact"/>
      </w:pPr>
      <w:r>
        <w:rPr>
          <w:b/>
        </w:rPr>
        <w:t xml:space="preserve">Por qué</w:t>
      </w:r>
      <w:r>
        <w:t xml:space="preserve">: Rango de Estado Hiperosmolar Hiperglucémico (EHH), una emergencia médica.</w:t>
      </w:r>
    </w:p>
    <w:p>
      <w:pPr>
        <w:numPr>
          <w:ilvl w:val="0"/>
          <w:numId w:val="1080"/>
        </w:numPr>
        <w:pStyle w:val="Compact"/>
      </w:pPr>
      <w:r>
        <w:rPr>
          <w:b/>
        </w:rPr>
        <w:t xml:space="preserve">Fuente</w:t>
      </w:r>
      <w:r>
        <w:t xml:space="preserve">: No se cita una guía específica en el comentario; se describe como</w:t>
      </w:r>
      <w:r>
        <w:t xml:space="preserve"> </w:t>
      </w:r>
      <w:r>
        <w:t xml:space="preserve">“</w:t>
      </w:r>
      <w:r>
        <w:t xml:space="preserve">rango de EHH</w:t>
      </w:r>
      <w:r>
        <w:t xml:space="preserve">”</w:t>
      </w:r>
      <w:r>
        <w:t xml:space="preserve"> </w:t>
      </w:r>
      <w:r>
        <w:t xml:space="preserve">(consenso clínico de manual/endocrinología estándar).</w:t>
      </w:r>
    </w:p>
    <w:p>
      <w:pPr>
        <w:numPr>
          <w:ilvl w:val="0"/>
          <w:numId w:val="1080"/>
        </w:numPr>
        <w:pStyle w:val="Compact"/>
      </w:pPr>
      <w:r>
        <w:rPr>
          <w:b/>
        </w:rPr>
        <w:t xml:space="preserve">Versión de la fuente</w:t>
      </w:r>
      <w:r>
        <w:t xml:space="preserve">: No especificada en el código — pendiente de documentar.</w:t>
      </w:r>
    </w:p>
    <w:p>
      <w:pPr>
        <w:numPr>
          <w:ilvl w:val="0"/>
          <w:numId w:val="1080"/>
        </w:numPr>
        <w:pStyle w:val="Compact"/>
      </w:pPr>
      <w:r>
        <w:rPr>
          <w:b/>
        </w:rPr>
        <w:t xml:space="preserve">Fecha de revisión</w:t>
      </w:r>
      <w:r>
        <w:t xml:space="preserve">: 10-ago-2026.</w:t>
      </w:r>
    </w:p>
    <w:p>
      <w:pPr>
        <w:numPr>
          <w:ilvl w:val="0"/>
          <w:numId w:val="1080"/>
        </w:numPr>
        <w:pStyle w:val="Compact"/>
      </w:pPr>
      <w:r>
        <w:rPr>
          <w:b/>
        </w:rPr>
        <w:t xml:space="preserve">Quién revisó</w:t>
      </w:r>
      <w:r>
        <w:t xml:space="preserve">: Dr. Ortega.</w:t>
      </w:r>
    </w:p>
    <w:p>
      <w:pPr>
        <w:numPr>
          <w:ilvl w:val="0"/>
          <w:numId w:val="1080"/>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w:t>
      </w:r>
      <w:r>
        <w:t xml:space="preserve"> </w:t>
      </w:r>
      <w:r>
        <w:t xml:space="preserve">“</w:t>
      </w:r>
      <w:r>
        <w:t xml:space="preserve">Glucosa &gt;600 -&gt; guardrail activo (rango EHH)</w:t>
      </w:r>
      <w:r>
        <w:t xml:space="preserve">”</w:t>
      </w:r>
      <w:r>
        <w:t xml:space="preserve"> </w:t>
      </w:r>
      <w:r>
        <w:t xml:space="preserve">(línea 42).</w:t>
      </w:r>
    </w:p>
    <w:p>
      <w:pPr>
        <w:numPr>
          <w:ilvl w:val="0"/>
          <w:numId w:val="1080"/>
        </w:numPr>
        <w:pStyle w:val="Compact"/>
      </w:pPr>
      <w:r>
        <w:rPr>
          <w:b/>
        </w:rPr>
        <w:t xml:space="preserve">Qué excepciones tiene</w:t>
      </w:r>
      <w:r>
        <w:t xml:space="preserve">: Ninguna documentada.</w:t>
      </w:r>
    </w:p>
    <w:p>
      <w:pPr>
        <w:numPr>
          <w:ilvl w:val="0"/>
          <w:numId w:val="1080"/>
        </w:numPr>
        <w:pStyle w:val="Compact"/>
      </w:pPr>
      <w:r>
        <w:rPr>
          <w:b/>
        </w:rPr>
        <w:t xml:space="preserve">Qué ocurre si faltan datos</w:t>
      </w:r>
      <w:r>
        <w:t xml:space="preserve">:</w:t>
      </w:r>
      <w:r>
        <w:t xml:space="preserve"> </w:t>
      </w:r>
      <w:r>
        <w:rPr>
          <w:rStyle w:val="VerbatimChar"/>
        </w:rPr>
        <w:t xml:space="preserve">v(p.glucosa) &gt; 600</w:t>
      </w:r>
      <w:r>
        <w:t xml:space="preserve"> </w:t>
      </w:r>
      <w:r>
        <w:t xml:space="preserve">con dato faltante =</w:t>
      </w:r>
      <w:r>
        <w:t xml:space="preserve"> </w:t>
      </w:r>
      <w:r>
        <w:rPr>
          <w:rStyle w:val="VerbatimChar"/>
        </w:rPr>
        <w:t xml:space="preserve">0 &gt; 600</w:t>
      </w:r>
      <w:r>
        <w:t xml:space="preserve"> </w:t>
      </w:r>
      <w:r>
        <w:t xml:space="preserve">=</w:t>
      </w:r>
      <w:r>
        <w:t xml:space="preserve"> </w:t>
      </w:r>
      <w:r>
        <w:rPr>
          <w:rStyle w:val="VerbatimChar"/>
        </w:rPr>
        <w:t xml:space="preserve">false</w:t>
      </w:r>
      <w:r>
        <w:t xml:space="preserve"> </w:t>
      </w:r>
      <w:r>
        <w:t xml:space="preserve">—</w:t>
      </w:r>
      <w:r>
        <w:t xml:space="preserve"> </w:t>
      </w:r>
      <w:r>
        <w:rPr>
          <w:b/>
        </w:rPr>
        <w:t xml:space="preserve">se omite en silencio</w:t>
      </w:r>
      <w:r>
        <w:t xml:space="preserve">.</w:t>
      </w:r>
    </w:p>
    <w:p>
      <w:pPr>
        <w:numPr>
          <w:ilvl w:val="0"/>
          <w:numId w:val="1080"/>
        </w:numPr>
        <w:pStyle w:val="Compact"/>
      </w:pPr>
      <w:r>
        <w:rPr>
          <w:b/>
        </w:rPr>
        <w:t xml:space="preserve">Qué ocurre si dos guías discrepan</w:t>
      </w:r>
      <w:r>
        <w:t xml:space="preserve">: No aplica / sin discrepancia documentada para esta regla.</w:t>
      </w:r>
    </w:p>
    <w:p>
      <w:pPr>
        <w:pStyle w:val="Heading3"/>
      </w:pPr>
      <w:bookmarkStart w:id="112" w:name="hipoglucemia_severa-hipoglucemia-severa"/>
      <w:r>
        <w:t xml:space="preserve">1.5 HIPOGLUCEMIA_SEVERA — Hipoglucemia severa</w:t>
      </w:r>
      <w:bookmarkEnd w:id="112"/>
    </w:p>
    <w:p>
      <w:pPr>
        <w:numPr>
          <w:ilvl w:val="0"/>
          <w:numId w:val="1081"/>
        </w:numPr>
        <w:pStyle w:val="Compact"/>
      </w:pPr>
      <w:r>
        <w:rPr>
          <w:b/>
        </w:rPr>
        <w:t xml:space="preserve">Qué hace</w:t>
      </w:r>
      <w:r>
        <w:t xml:space="preserve">: Si</w:t>
      </w:r>
      <w:r>
        <w:t xml:space="preserve"> </w:t>
      </w:r>
      <w:r>
        <w:rPr>
          <w:rStyle w:val="VerbatimChar"/>
        </w:rPr>
        <w:t xml:space="preserve">0 &lt; glucosa &lt; 40</w:t>
      </w:r>
      <w:r>
        <w:t xml:space="preserve"> </w:t>
      </w:r>
      <w:r>
        <w:t xml:space="preserve">mg/dL, activa el guardrail.</w:t>
      </w:r>
    </w:p>
    <w:p>
      <w:pPr>
        <w:numPr>
          <w:ilvl w:val="0"/>
          <w:numId w:val="1081"/>
        </w:numPr>
        <w:pStyle w:val="Compact"/>
      </w:pPr>
      <w:r>
        <w:rPr>
          <w:b/>
        </w:rPr>
        <w:t xml:space="preserve">Por qué</w:t>
      </w:r>
      <w:r>
        <w:t xml:space="preserve">: Hipoglucemia severa (Nivel 3 ADA), riesgo de alteración del estado de alerta.</w:t>
      </w:r>
    </w:p>
    <w:p>
      <w:pPr>
        <w:numPr>
          <w:ilvl w:val="0"/>
          <w:numId w:val="1081"/>
        </w:numPr>
        <w:pStyle w:val="Compact"/>
      </w:pPr>
      <w:r>
        <w:rPr>
          <w:b/>
        </w:rPr>
        <w:t xml:space="preserve">Fuente</w:t>
      </w:r>
      <w:r>
        <w:t xml:space="preserve">: Clasificación de niveles ADA (Nivel 3 = hipoglucemia severa).</w:t>
      </w:r>
    </w:p>
    <w:p>
      <w:pPr>
        <w:numPr>
          <w:ilvl w:val="0"/>
          <w:numId w:val="1081"/>
        </w:numPr>
        <w:pStyle w:val="Compact"/>
      </w:pPr>
      <w:r>
        <w:rPr>
          <w:b/>
        </w:rPr>
        <w:t xml:space="preserve">Versión de la fuente</w:t>
      </w:r>
      <w:r>
        <w:t xml:space="preserve">: No especificada en el código — pendiente de documentar (no se cita el año de la guía ADA para esta clasificación de niveles en este archivo específico).</w:t>
      </w:r>
    </w:p>
    <w:p>
      <w:pPr>
        <w:numPr>
          <w:ilvl w:val="0"/>
          <w:numId w:val="1081"/>
        </w:numPr>
        <w:pStyle w:val="Compact"/>
      </w:pPr>
      <w:r>
        <w:rPr>
          <w:b/>
        </w:rPr>
        <w:t xml:space="preserve">Fecha de revisión</w:t>
      </w:r>
      <w:r>
        <w:t xml:space="preserve">: 10-ago-2026.</w:t>
      </w:r>
    </w:p>
    <w:p>
      <w:pPr>
        <w:numPr>
          <w:ilvl w:val="0"/>
          <w:numId w:val="1081"/>
        </w:numPr>
        <w:pStyle w:val="Compact"/>
      </w:pPr>
      <w:r>
        <w:rPr>
          <w:b/>
        </w:rPr>
        <w:t xml:space="preserve">Quién revisó</w:t>
      </w:r>
      <w:r>
        <w:t xml:space="preserve">: Dr. Ortega.</w:t>
      </w:r>
    </w:p>
    <w:p>
      <w:pPr>
        <w:numPr>
          <w:ilvl w:val="0"/>
          <w:numId w:val="1081"/>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w:t>
      </w:r>
      <w:r>
        <w:t xml:space="preserve"> </w:t>
      </w:r>
      <w:r>
        <w:t xml:space="preserve">“</w:t>
      </w:r>
      <w:r>
        <w:t xml:space="preserve">Glucosa &lt;40 -&gt; guardrail activo (hipoglucemia severa)</w:t>
      </w:r>
      <w:r>
        <w:t xml:space="preserve">”</w:t>
      </w:r>
      <w:r>
        <w:t xml:space="preserve"> </w:t>
      </w:r>
      <w:r>
        <w:t xml:space="preserve">(línea 44); también control negativo</w:t>
      </w:r>
      <w:r>
        <w:t xml:space="preserve"> </w:t>
      </w:r>
      <w:r>
        <w:t xml:space="preserve">“</w:t>
      </w:r>
      <w:r>
        <w:t xml:space="preserve">Valores normales -&gt; guardrail NO activo</w:t>
      </w:r>
      <w:r>
        <w:t xml:space="preserve">”</w:t>
      </w:r>
      <w:r>
        <w:t xml:space="preserve"> </w:t>
      </w:r>
      <w:r>
        <w:t xml:space="preserve">(línea 46).</w:t>
      </w:r>
    </w:p>
    <w:p>
      <w:pPr>
        <w:numPr>
          <w:ilvl w:val="0"/>
          <w:numId w:val="1081"/>
        </w:numPr>
        <w:pStyle w:val="Compact"/>
      </w:pPr>
      <w:r>
        <w:rPr>
          <w:b/>
        </w:rPr>
        <w:t xml:space="preserve">Qué excepciones tiene</w:t>
      </w:r>
      <w:r>
        <w:t xml:space="preserve">: La condición exige explícitamente</w:t>
      </w:r>
      <w:r>
        <w:t xml:space="preserve"> </w:t>
      </w:r>
      <w:r>
        <w:rPr>
          <w:rStyle w:val="VerbatimChar"/>
        </w:rPr>
        <w:t xml:space="preserve">v(p.glucosa) &gt; 0</w:t>
      </w:r>
      <w:r>
        <w:t xml:space="preserve"> </w:t>
      </w:r>
      <w:r>
        <w:t xml:space="preserve">además de</w:t>
      </w:r>
      <w:r>
        <w:t xml:space="preserve"> </w:t>
      </w:r>
      <w:r>
        <w:rPr>
          <w:rStyle w:val="VerbatimChar"/>
        </w:rPr>
        <w:t xml:space="preserve">&lt; 40</w:t>
      </w:r>
      <w:r>
        <w:t xml:space="preserve"> </w:t>
      </w:r>
      <w:r>
        <w:t xml:space="preserve">— es decir, un campo vacío (que</w:t>
      </w:r>
      <w:r>
        <w:t xml:space="preserve"> </w:t>
      </w:r>
      <w:r>
        <w:rPr>
          <w:rStyle w:val="VerbatimChar"/>
        </w:rPr>
        <w:t xml:space="preserve">v()</w:t>
      </w:r>
      <w:r>
        <w:t xml:space="preserve"> </w:t>
      </w:r>
      <w:r>
        <w:t xml:space="preserve">convierte a</w:t>
      </w:r>
      <w:r>
        <w:t xml:space="preserve"> </w:t>
      </w:r>
      <w:r>
        <w:rPr>
          <w:rStyle w:val="VerbatimChar"/>
        </w:rPr>
        <w:t xml:space="preserve">0</w:t>
      </w:r>
      <w:r>
        <w:t xml:space="preserve">) NO se interpreta como</w:t>
      </w:r>
      <w:r>
        <w:t xml:space="preserve"> </w:t>
      </w:r>
      <w:r>
        <w:t xml:space="preserve">“</w:t>
      </w:r>
      <w:r>
        <w:t xml:space="preserve">glucosa = 0</w:t>
      </w:r>
      <w:r>
        <w:t xml:space="preserve">”</w:t>
      </w:r>
      <w:r>
        <w:t xml:space="preserve"> </w:t>
      </w:r>
      <w:r>
        <w:t xml:space="preserve">para esta regla, precisamente para evitar que un dato faltante se lea como una hipoglucemia extrema falsa. Esto es una excepción deliberada y correcta en el propio diseño de la condición (a diferencia de 1.1–1.4, aquí SÍ se protegió explícitamente contra el efecto colateral de</w:t>
      </w:r>
      <w:r>
        <w:t xml:space="preserve"> </w:t>
      </w:r>
      <w:r>
        <w:rPr>
          <w:rStyle w:val="VerbatimChar"/>
        </w:rPr>
        <w:t xml:space="preserve">v()</w:t>
      </w:r>
      <w:r>
        <w:t xml:space="preserve">).</w:t>
      </w:r>
    </w:p>
    <w:p>
      <w:pPr>
        <w:numPr>
          <w:ilvl w:val="0"/>
          <w:numId w:val="1081"/>
        </w:numPr>
        <w:pStyle w:val="Compact"/>
      </w:pPr>
      <w:r>
        <w:rPr>
          <w:b/>
        </w:rPr>
        <w:t xml:space="preserve">Qué ocurre si faltan datos</w:t>
      </w:r>
      <w:r>
        <w:t xml:space="preserve">: Por el diseño de la condición (ver punto 8), un dato faltante no activa esta regla — comportamiento consistente y sin riesgo de falso positivo, pero el resultado final es el mismo que en las otras cuatro reglas de este archivo:</w:t>
      </w:r>
      <w:r>
        <w:t xml:space="preserve"> </w:t>
      </w:r>
      <w:r>
        <w:rPr>
          <w:b/>
        </w:rPr>
        <w:t xml:space="preserve">omisión silenciosa</w:t>
      </w:r>
      <w:r>
        <w:t xml:space="preserve"> </w:t>
      </w:r>
      <w:r>
        <w:t xml:space="preserve">sin aviso de</w:t>
      </w:r>
      <w:r>
        <w:t xml:space="preserve"> </w:t>
      </w:r>
      <w:r>
        <w:t xml:space="preserve">“</w:t>
      </w:r>
      <w:r>
        <w:t xml:space="preserve">no se pudo evaluar</w:t>
      </w:r>
      <w:r>
        <w:t xml:space="preserve">”</w:t>
      </w:r>
      <w:r>
        <w:t xml:space="preserve">.</w:t>
      </w:r>
    </w:p>
    <w:p>
      <w:pPr>
        <w:numPr>
          <w:ilvl w:val="0"/>
          <w:numId w:val="1081"/>
        </w:numPr>
        <w:pStyle w:val="Compact"/>
      </w:pPr>
      <w:r>
        <w:rPr>
          <w:b/>
        </w:rPr>
        <w:t xml:space="preserve">Qué ocurre si dos guías discrepan</w:t>
      </w:r>
      <w:r>
        <w:t xml:space="preserve">: No aplica / sin discrepancia documentada para esta regla.</w:t>
      </w:r>
    </w:p>
    <w:p>
      <w:pPr>
        <w:pStyle w:val="FirstParagraph"/>
      </w:pPr>
      <w:r>
        <w:rPr>
          <w:b/>
        </w:rPr>
        <w:t xml:space="preserve">Nota de gobernanza transversal a las 5 reglas de este archivo</w:t>
      </w:r>
      <w:r>
        <w:t xml:space="preserve">: el propio comentario de cabecera declara el</w:t>
      </w:r>
      <w:r>
        <w:t xml:space="preserve"> </w:t>
      </w:r>
      <w:r>
        <w:rPr>
          <w:b/>
        </w:rPr>
        <w:t xml:space="preserve">LÍMITE DELIBERADO</w:t>
      </w:r>
      <w:r>
        <w:t xml:space="preserve"> </w:t>
      </w:r>
      <w:r>
        <w:t xml:space="preserve">del módulo completo:</w:t>
      </w:r>
      <w:r>
        <w:t xml:space="preserve"> </w:t>
      </w:r>
      <w:r>
        <w:rPr>
          <w:i/>
        </w:rPr>
        <w:t xml:space="preserve">“</w:t>
      </w:r>
      <w:r>
        <w:rPr>
          <w:i/>
        </w:rPr>
        <w:t xml:space="preserve">este módulo SOLO detecta y deriva. Nunca sugiere manejo agudo (dosis de labetalol/nitroprusiato IV, protocolo de insulina en bomba para HHS/CAD, etc.) — eso es medicina de urgencias/UCI, fuera de lo que una herramienta de consulta externa debe siquiera insinuar.</w:t>
      </w:r>
      <w:r>
        <w:rPr>
          <w:i/>
        </w:rPr>
        <w:t xml:space="preserve">”</w:t>
      </w:r>
    </w:p>
    <w:p>
      <w:r>
        <w:pict>
          <v:rect style="width:0;height:1.5pt" o:hralign="center" o:hrstd="t" o:hr="t"/>
        </w:pict>
      </w:r>
    </w:p>
    <w:p>
      <w:pPr>
        <w:pStyle w:val="Heading2"/>
      </w:pPr>
      <w:bookmarkStart w:id="113" w:name="X013e7a995b9a80a03e3742dfd40d66968c1ae1e"/>
      <w:r>
        <w:t xml:space="preserve">2. Zonas límite (boundary alerts) —</w:t>
      </w:r>
      <w:r>
        <w:t xml:space="preserve"> </w:t>
      </w:r>
      <w:r>
        <w:rPr>
          <w:rStyle w:val="VerbatimChar"/>
        </w:rPr>
        <w:t xml:space="preserve">js/boundary-alerts.js</w:t>
      </w:r>
      <w:bookmarkEnd w:id="113"/>
    </w:p>
    <w:p>
      <w:pPr>
        <w:pStyle w:val="FirstParagraph"/>
      </w:pPr>
      <w:r>
        <w:t xml:space="preserve">Capa de aviso (no de reclasificación) para valores que caen cerca de un corte binario del motor, propuesta por el Dr. Ortega (10-ago-2026), con anchos de banda confirmados línea por línea el 11-ago-2026. Los 8 avisos son cerrables (a petición explícita del Dr. Ortega:</w:t>
      </w:r>
      <w:r>
        <w:t xml:space="preserve"> </w:t>
      </w:r>
      <w:r>
        <w:t xml:space="preserve">“</w:t>
      </w:r>
      <w:r>
        <w:t xml:space="preserve">en vez de cambiar los límites, que se abra un mensaje que luego se puede cerrar</w:t>
      </w:r>
      <w:r>
        <w:t xml:space="preserve">”</w:t>
      </w:r>
      <w:r>
        <w:t xml:space="preserve">) y NO reclasifican nada — solo notifican al capturar el dato.</w:t>
      </w:r>
    </w:p>
    <w:p>
      <w:pPr>
        <w:pStyle w:val="Heading3"/>
      </w:pPr>
      <w:bookmarkStart w:id="114" w:name="egfr_30-egfr-cerca-de-30-mlmin1.73m²"/>
      <w:r>
        <w:t xml:space="preserve">2.1 egfr_30 — eGFR cerca de 30 mL/min/1.73m²</w:t>
      </w:r>
      <w:bookmarkEnd w:id="114"/>
    </w:p>
    <w:p>
      <w:pPr>
        <w:numPr>
          <w:ilvl w:val="0"/>
          <w:numId w:val="1082"/>
        </w:numPr>
        <w:pStyle w:val="Compact"/>
      </w:pPr>
      <w:r>
        <w:rPr>
          <w:b/>
        </w:rPr>
        <w:t xml:space="preserve">Qué hace</w:t>
      </w:r>
      <w:r>
        <w:t xml:space="preserve">: Si el eGFR calculado cae entre 27 y 33 mL/min/1.73m², muestra un aviso cerrable junto al campo de creatinina.</w:t>
      </w:r>
    </w:p>
    <w:p>
      <w:pPr>
        <w:numPr>
          <w:ilvl w:val="0"/>
          <w:numId w:val="1082"/>
        </w:numPr>
        <w:pStyle w:val="Compact"/>
      </w:pPr>
      <w:r>
        <w:rPr>
          <w:b/>
        </w:rPr>
        <w:t xml:space="preserve">Por qué</w:t>
      </w:r>
      <w:r>
        <w:t xml:space="preserve">: 30 es el corte de ERC severa / riesgo lipídico MUY ALTO; la variabilidad biológica + analítica de la creatinina (~10-15%) puede poner el valor</w:t>
      </w:r>
      <w:r>
        <w:t xml:space="preserve"> </w:t>
      </w:r>
      <w:r>
        <w:t xml:space="preserve">“</w:t>
      </w:r>
      <w:r>
        <w:t xml:space="preserve">verdadero</w:t>
      </w:r>
      <w:r>
        <w:t xml:space="preserve">”</w:t>
      </w:r>
      <w:r>
        <w:t xml:space="preserve"> </w:t>
      </w:r>
      <w:r>
        <w:t xml:space="preserve">del lado contrario al registrado.</w:t>
      </w:r>
    </w:p>
    <w:p>
      <w:pPr>
        <w:numPr>
          <w:ilvl w:val="0"/>
          <w:numId w:val="1082"/>
        </w:numPr>
        <w:pStyle w:val="Compact"/>
      </w:pPr>
      <w:r>
        <w:rPr>
          <w:b/>
        </w:rPr>
        <w:t xml:space="preserve">Fuente</w:t>
      </w:r>
      <w:r>
        <w:t xml:space="preserve">: Justificación de ancho de banda basada en variabilidad analítica/biológica de creatinina, confirmada por el Dr. Ortega; no cita una guía externa para el ancho de ±3.</w:t>
      </w:r>
    </w:p>
    <w:p>
      <w:pPr>
        <w:numPr>
          <w:ilvl w:val="0"/>
          <w:numId w:val="1082"/>
        </w:numPr>
        <w:pStyle w:val="Compact"/>
      </w:pPr>
      <w:r>
        <w:rPr>
          <w:b/>
        </w:rPr>
        <w:t xml:space="preserve">Versión de la fuente</w:t>
      </w:r>
      <w:r>
        <w:t xml:space="preserve">: No especificada en el código — pendiente de documentar.</w:t>
      </w:r>
    </w:p>
    <w:p>
      <w:pPr>
        <w:numPr>
          <w:ilvl w:val="0"/>
          <w:numId w:val="1082"/>
        </w:numPr>
        <w:pStyle w:val="Compact"/>
      </w:pPr>
      <w:r>
        <w:rPr>
          <w:b/>
        </w:rPr>
        <w:t xml:space="preserve">Fecha de revisión</w:t>
      </w:r>
      <w:r>
        <w:t xml:space="preserve">: propuesto 10-ago-2026, tabla de anchos confirmada línea por línea el 11-ago-2026.</w:t>
      </w:r>
    </w:p>
    <w:p>
      <w:pPr>
        <w:numPr>
          <w:ilvl w:val="0"/>
          <w:numId w:val="1082"/>
        </w:numPr>
        <w:pStyle w:val="Compact"/>
      </w:pPr>
      <w:r>
        <w:rPr>
          <w:b/>
        </w:rPr>
        <w:t xml:space="preserve">Quién revisó</w:t>
      </w:r>
      <w:r>
        <w:t xml:space="preserve">: Dr. Ortega.</w:t>
      </w:r>
    </w:p>
    <w:p>
      <w:pPr>
        <w:numPr>
          <w:ilvl w:val="0"/>
          <w:numId w:val="1082"/>
        </w:numPr>
        <w:pStyle w:val="Compact"/>
      </w:pPr>
      <w:r>
        <w:rPr>
          <w:b/>
        </w:rPr>
        <w:t xml:space="preserve">Qué casos la validan</w:t>
      </w:r>
      <w:r>
        <w:t xml:space="preserve">:</w:t>
      </w:r>
      <w:r>
        <w:t xml:space="preserve"> </w:t>
      </w:r>
      <w:r>
        <w:rPr>
          <w:rStyle w:val="VerbatimChar"/>
        </w:rPr>
        <w:t xml:space="preserve">tests/boundary-alerts.test.mjs</w:t>
      </w:r>
      <w:r>
        <w:t xml:space="preserve"> </w:t>
      </w:r>
      <w:r>
        <w:t xml:space="preserve">—</w:t>
      </w:r>
      <w:r>
        <w:t xml:space="preserve"> </w:t>
      </w:r>
      <w:r>
        <w:t xml:space="preserve">“</w:t>
      </w:r>
      <w:r>
        <w:t xml:space="preserve">eGFR≈33 (cr=2.2) -&gt; dispara zona egfr_30</w:t>
      </w:r>
      <w:r>
        <w:t xml:space="preserve">”</w:t>
      </w:r>
      <w:r>
        <w:t xml:space="preserve"> </w:t>
      </w:r>
      <w:r>
        <w:t xml:space="preserve">(línea 17), con control cruzado de que no dispara las otras 3 bandas eGFR a la vez (línea 18).</w:t>
      </w:r>
    </w:p>
    <w:p>
      <w:pPr>
        <w:numPr>
          <w:ilvl w:val="0"/>
          <w:numId w:val="1082"/>
        </w:numPr>
        <w:pStyle w:val="Compact"/>
      </w:pPr>
      <w:r>
        <w:rPr>
          <w:b/>
        </w:rPr>
        <w:t xml:space="preserve">Qué excepciones tiene</w:t>
      </w:r>
      <w:r>
        <w:t xml:space="preserve">: Ninguna — el aviso, una vez cerrado, no reaparece mientras el valor siga en la misma zona (evita que un cierre</w:t>
      </w:r>
      <w:r>
        <w:t xml:space="preserve"> </w:t>
      </w:r>
      <w:r>
        <w:t xml:space="preserve">“</w:t>
      </w:r>
      <w:r>
        <w:t xml:space="preserve">se sienta ignorado</w:t>
      </w:r>
      <w:r>
        <w:t xml:space="preserve">”</w:t>
      </w:r>
      <w:r>
        <w:t xml:space="preserve">); sí reaparece si el valor sale de la zona y vuelve a entrar.</w:t>
      </w:r>
    </w:p>
    <w:p>
      <w:pPr>
        <w:numPr>
          <w:ilvl w:val="0"/>
          <w:numId w:val="1082"/>
        </w:numPr>
        <w:pStyle w:val="Compact"/>
      </w:pPr>
      <w:r>
        <w:rPr>
          <w:b/>
        </w:rPr>
        <w:t xml:space="preserve">Qué ocurre si faltan datos</w:t>
      </w:r>
      <w:r>
        <w:t xml:space="preserve">:</w:t>
      </w:r>
      <w:r>
        <w:t xml:space="preserve"> </w:t>
      </w:r>
      <w:r>
        <w:rPr>
          <w:rStyle w:val="VerbatimChar"/>
        </w:rPr>
        <w:t xml:space="preserve">evaluateBoundaryZones</w:t>
      </w:r>
      <w:r>
        <w:t xml:space="preserve"> </w:t>
      </w:r>
      <w:r>
        <w:t xml:space="preserve">filtra solo valores numéricos válidos (</w:t>
      </w:r>
      <w:r>
        <w:rPr>
          <w:rStyle w:val="VerbatimChar"/>
        </w:rPr>
        <w:t xml:space="preserve">typeof val === "number" &amp;&amp; !Number.isNaN(val) &amp;&amp; val &gt; 0</w:t>
      </w:r>
      <w:r>
        <w:t xml:space="preserve">); sin creatinina/edad/sexo capturados,</w:t>
      </w:r>
      <w:r>
        <w:t xml:space="preserve"> </w:t>
      </w:r>
      <w:r>
        <w:rPr>
          <w:rStyle w:val="VerbatimChar"/>
        </w:rPr>
        <w:t xml:space="preserve">calcEGFR</w:t>
      </w:r>
      <w:r>
        <w:t xml:space="preserve"> </w:t>
      </w:r>
      <w:r>
        <w:t xml:space="preserve">no produce un número válido y la zona simplemente no se activa — comportamiento verificado explícitamente por test (</w:t>
      </w:r>
      <w:r>
        <w:t xml:space="preserve">“</w:t>
      </w:r>
      <w:r>
        <w:t xml:space="preserve">Sin datos -&gt; evaluateBoundaryZones no truena y regresa lista vacía</w:t>
      </w:r>
      <w:r>
        <w:t xml:space="preserve">”</w:t>
      </w:r>
      <w:r>
        <w:t xml:space="preserve">, línea 45). No es un bloqueo, es omisión silenciosa pero probada como segura (no truena).</w:t>
      </w:r>
    </w:p>
    <w:p>
      <w:pPr>
        <w:numPr>
          <w:ilvl w:val="0"/>
          <w:numId w:val="1082"/>
        </w:numPr>
        <w:pStyle w:val="Compact"/>
      </w:pPr>
      <w:r>
        <w:rPr>
          <w:b/>
        </w:rPr>
        <w:t xml:space="preserve">Qué ocurre si dos guías discrepan</w:t>
      </w:r>
      <w:r>
        <w:t xml:space="preserve">: No aplica / sin discrepancia documentada para esta regla.</w:t>
      </w:r>
    </w:p>
    <w:p>
      <w:pPr>
        <w:pStyle w:val="Heading3"/>
      </w:pPr>
      <w:bookmarkStart w:id="115" w:name="egfr_45-egfr-cerca-de-45-mlmin1.73m²"/>
      <w:r>
        <w:t xml:space="preserve">2.2 egfr_45 — eGFR cerca de 45 mL/min/1.73m²</w:t>
      </w:r>
      <w:bookmarkEnd w:id="115"/>
    </w:p>
    <w:p>
      <w:pPr>
        <w:numPr>
          <w:ilvl w:val="0"/>
          <w:numId w:val="1083"/>
        </w:numPr>
        <w:pStyle w:val="Compact"/>
      </w:pPr>
      <w:r>
        <w:rPr>
          <w:b/>
        </w:rPr>
        <w:t xml:space="preserve">Qué hace</w:t>
      </w:r>
      <w:r>
        <w:t xml:space="preserve">: Aviso cerrable si eGFR cae entre 42 y 48.</w:t>
      </w:r>
    </w:p>
    <w:p>
      <w:pPr>
        <w:numPr>
          <w:ilvl w:val="0"/>
          <w:numId w:val="1083"/>
        </w:numPr>
        <w:pStyle w:val="Compact"/>
      </w:pPr>
      <w:r>
        <w:rPr>
          <w:b/>
        </w:rPr>
        <w:t xml:space="preserve">Por qué</w:t>
      </w:r>
      <w:r>
        <w:t xml:space="preserve">: 45 es el corte de reducción de dosis de metformina.</w:t>
      </w:r>
    </w:p>
    <w:p>
      <w:pPr>
        <w:numPr>
          <w:ilvl w:val="0"/>
          <w:numId w:val="1083"/>
        </w:numPr>
        <w:pStyle w:val="Compact"/>
      </w:pPr>
      <w:r>
        <w:rPr>
          <w:b/>
        </w:rPr>
        <w:t xml:space="preserve">Fuente</w:t>
      </w:r>
      <w:r>
        <w:t xml:space="preserve">: Mismo razonamiento de variabilidad analítica de creatinina que 2.1; sin guía externa citada para el ancho.</w:t>
      </w:r>
    </w:p>
    <w:p>
      <w:pPr>
        <w:numPr>
          <w:ilvl w:val="0"/>
          <w:numId w:val="1083"/>
        </w:numPr>
        <w:pStyle w:val="Compact"/>
      </w:pPr>
      <w:r>
        <w:rPr>
          <w:b/>
        </w:rPr>
        <w:t xml:space="preserve">Versión de la fuente</w:t>
      </w:r>
      <w:r>
        <w:t xml:space="preserve">: No especificada en el código — pendiente de documentar.</w:t>
      </w:r>
    </w:p>
    <w:p>
      <w:pPr>
        <w:numPr>
          <w:ilvl w:val="0"/>
          <w:numId w:val="1083"/>
        </w:numPr>
        <w:pStyle w:val="Compact"/>
      </w:pPr>
      <w:r>
        <w:rPr>
          <w:b/>
        </w:rPr>
        <w:t xml:space="preserve">Fecha de revisión</w:t>
      </w:r>
      <w:r>
        <w:t xml:space="preserve">: 10/11-ago-2026.</w:t>
      </w:r>
    </w:p>
    <w:p>
      <w:pPr>
        <w:numPr>
          <w:ilvl w:val="0"/>
          <w:numId w:val="1083"/>
        </w:numPr>
        <w:pStyle w:val="Compact"/>
      </w:pPr>
      <w:r>
        <w:rPr>
          <w:b/>
        </w:rPr>
        <w:t xml:space="preserve">Quién revisó</w:t>
      </w:r>
      <w:r>
        <w:t xml:space="preserve">: Dr. Ortega.</w:t>
      </w:r>
    </w:p>
    <w:p>
      <w:pPr>
        <w:numPr>
          <w:ilvl w:val="0"/>
          <w:numId w:val="1083"/>
        </w:numPr>
        <w:pStyle w:val="Compact"/>
      </w:pPr>
      <w:r>
        <w:rPr>
          <w:b/>
        </w:rPr>
        <w:t xml:space="preserve">Qué casos la validan</w:t>
      </w:r>
      <w:r>
        <w:t xml:space="preserve">:</w:t>
      </w:r>
      <w:r>
        <w:t xml:space="preserve"> </w:t>
      </w:r>
      <w:r>
        <w:rPr>
          <w:rStyle w:val="VerbatimChar"/>
        </w:rPr>
        <w:t xml:space="preserve">tests/boundary-alerts.test.mjs</w:t>
      </w:r>
      <w:r>
        <w:t xml:space="preserve">, línea 23 (</w:t>
      </w:r>
      <w:r>
        <w:t xml:space="preserve">“</w:t>
      </w:r>
      <w:r>
        <w:t xml:space="preserve">eGFR≈43 (cr=1.8) -&gt; dispara zona egfr_45</w:t>
      </w:r>
      <w:r>
        <w:t xml:space="preserve">”</w:t>
      </w:r>
      <w:r>
        <w:t xml:space="preserve">).</w:t>
      </w:r>
    </w:p>
    <w:p>
      <w:pPr>
        <w:numPr>
          <w:ilvl w:val="0"/>
          <w:numId w:val="1083"/>
        </w:numPr>
        <w:pStyle w:val="Compact"/>
      </w:pPr>
      <w:r>
        <w:rPr>
          <w:b/>
        </w:rPr>
        <w:t xml:space="preserve">Qué excepciones tiene</w:t>
      </w:r>
      <w:r>
        <w:t xml:space="preserve">: Igual que 2.1.</w:t>
      </w:r>
    </w:p>
    <w:p>
      <w:pPr>
        <w:numPr>
          <w:ilvl w:val="0"/>
          <w:numId w:val="1083"/>
        </w:numPr>
        <w:pStyle w:val="Compact"/>
      </w:pPr>
      <w:r>
        <w:rPr>
          <w:b/>
        </w:rPr>
        <w:t xml:space="preserve">Qué ocurre si faltan datos</w:t>
      </w:r>
      <w:r>
        <w:t xml:space="preserve">: Igual que 2.1 — omisión silenciosa, verificada como no destructiva por test.</w:t>
      </w:r>
    </w:p>
    <w:p>
      <w:pPr>
        <w:numPr>
          <w:ilvl w:val="0"/>
          <w:numId w:val="1083"/>
        </w:numPr>
        <w:pStyle w:val="Compact"/>
      </w:pPr>
      <w:r>
        <w:rPr>
          <w:b/>
        </w:rPr>
        <w:t xml:space="preserve">Qué ocurre si dos guías discrepan</w:t>
      </w:r>
      <w:r>
        <w:t xml:space="preserve">: No aplica / sin discrepancia documentada para esta regla.</w:t>
      </w:r>
    </w:p>
    <w:p>
      <w:pPr>
        <w:pStyle w:val="Heading3"/>
      </w:pPr>
      <w:bookmarkStart w:id="116" w:name="X82ba3dff91b42b5aa1a87052c0437d9e3fb796e"/>
      <w:r>
        <w:t xml:space="preserve">2.3 egfr_60 — eGFR cerca de 60 mL/min/1.73m² (banda más ancha, ±5)</w:t>
      </w:r>
      <w:bookmarkEnd w:id="116"/>
    </w:p>
    <w:p>
      <w:pPr>
        <w:numPr>
          <w:ilvl w:val="0"/>
          <w:numId w:val="1084"/>
        </w:numPr>
        <w:pStyle w:val="Compact"/>
      </w:pPr>
      <w:r>
        <w:rPr>
          <w:b/>
        </w:rPr>
        <w:t xml:space="preserve">Qué hace</w:t>
      </w:r>
      <w:r>
        <w:t xml:space="preserve">: Aviso cerrable si eGFR cae entre 55 y 65 (banda deliberadamente más ancha que las otras eGFR — ±5 en vez de ±3,</w:t>
      </w:r>
      <w:r>
        <w:t xml:space="preserve"> </w:t>
      </w:r>
      <w:r>
        <w:t xml:space="preserve">“</w:t>
      </w:r>
      <w:r>
        <w:t xml:space="preserve">el más usado</w:t>
      </w:r>
      <w:r>
        <w:t xml:space="preserve">”</w:t>
      </w:r>
      <w:r>
        <w:t xml:space="preserve">).</w:t>
      </w:r>
    </w:p>
    <w:p>
      <w:pPr>
        <w:numPr>
          <w:ilvl w:val="0"/>
          <w:numId w:val="1084"/>
        </w:numPr>
        <w:pStyle w:val="Compact"/>
      </w:pPr>
      <w:r>
        <w:rPr>
          <w:b/>
        </w:rPr>
        <w:t xml:space="preserve">Por qué</w:t>
      </w:r>
      <w:r>
        <w:t xml:space="preserve">: 60 define ERC / indicación automática de estatina de alta intensidad — el corte más consecuente del motor, de ahí la banda más generosa.</w:t>
      </w:r>
    </w:p>
    <w:p>
      <w:pPr>
        <w:numPr>
          <w:ilvl w:val="0"/>
          <w:numId w:val="1084"/>
        </w:numPr>
        <w:pStyle w:val="Compact"/>
      </w:pPr>
      <w:r>
        <w:rPr>
          <w:b/>
        </w:rPr>
        <w:t xml:space="preserve">Fuente</w:t>
      </w:r>
      <w:r>
        <w:t xml:space="preserve">: Variabilidad analítica de creatinina; decisión de anchura confirmada explícitamente por el Dr. Ortega.</w:t>
      </w:r>
    </w:p>
    <w:p>
      <w:pPr>
        <w:numPr>
          <w:ilvl w:val="0"/>
          <w:numId w:val="1084"/>
        </w:numPr>
        <w:pStyle w:val="Compact"/>
      </w:pPr>
      <w:r>
        <w:rPr>
          <w:b/>
        </w:rPr>
        <w:t xml:space="preserve">Versión de la fuente</w:t>
      </w:r>
      <w:r>
        <w:t xml:space="preserve">: No especificada en el código — pendiente de documentar.</w:t>
      </w:r>
    </w:p>
    <w:p>
      <w:pPr>
        <w:numPr>
          <w:ilvl w:val="0"/>
          <w:numId w:val="1084"/>
        </w:numPr>
        <w:pStyle w:val="Compact"/>
      </w:pPr>
      <w:r>
        <w:rPr>
          <w:b/>
        </w:rPr>
        <w:t xml:space="preserve">Fecha de revisión</w:t>
      </w:r>
      <w:r>
        <w:t xml:space="preserve">: 10/11-ago-2026.</w:t>
      </w:r>
    </w:p>
    <w:p>
      <w:pPr>
        <w:numPr>
          <w:ilvl w:val="0"/>
          <w:numId w:val="1084"/>
        </w:numPr>
        <w:pStyle w:val="Compact"/>
      </w:pPr>
      <w:r>
        <w:rPr>
          <w:b/>
        </w:rPr>
        <w:t xml:space="preserve">Quién revisó</w:t>
      </w:r>
      <w:r>
        <w:t xml:space="preserve">: Dr. Ortega.</w:t>
      </w:r>
    </w:p>
    <w:p>
      <w:pPr>
        <w:numPr>
          <w:ilvl w:val="0"/>
          <w:numId w:val="1084"/>
        </w:numPr>
        <w:pStyle w:val="Compact"/>
      </w:pPr>
      <w:r>
        <w:rPr>
          <w:b/>
        </w:rPr>
        <w:t xml:space="preserve">Qué casos la validan</w:t>
      </w:r>
      <w:r>
        <w:t xml:space="preserve">:</w:t>
      </w:r>
      <w:r>
        <w:t xml:space="preserve"> </w:t>
      </w:r>
      <w:r>
        <w:rPr>
          <w:rStyle w:val="VerbatimChar"/>
        </w:rPr>
        <w:t xml:space="preserve">tests/boundary-alerts.test.mjs</w:t>
      </w:r>
      <w:r>
        <w:t xml:space="preserve">, línea 28 (</w:t>
      </w:r>
      <w:r>
        <w:t xml:space="preserve">“</w:t>
      </w:r>
      <w:r>
        <w:t xml:space="preserve">eGFR≈63 (cr=1.3) -&gt; dispara zona egfr_60</w:t>
      </w:r>
      <w:r>
        <w:t xml:space="preserve">”</w:t>
      </w:r>
      <w:r>
        <w:t xml:space="preserve">).</w:t>
      </w:r>
    </w:p>
    <w:p>
      <w:pPr>
        <w:numPr>
          <w:ilvl w:val="0"/>
          <w:numId w:val="1084"/>
        </w:numPr>
        <w:pStyle w:val="Compact"/>
      </w:pPr>
      <w:r>
        <w:rPr>
          <w:b/>
        </w:rPr>
        <w:t xml:space="preserve">Qué excepciones tiene</w:t>
      </w:r>
      <w:r>
        <w:t xml:space="preserve">: Igual que 2.1.</w:t>
      </w:r>
    </w:p>
    <w:p>
      <w:pPr>
        <w:numPr>
          <w:ilvl w:val="0"/>
          <w:numId w:val="1084"/>
        </w:numPr>
        <w:pStyle w:val="Compact"/>
      </w:pPr>
      <w:r>
        <w:rPr>
          <w:b/>
        </w:rPr>
        <w:t xml:space="preserve">Qué ocurre si faltan datos</w:t>
      </w:r>
      <w:r>
        <w:t xml:space="preserve">: Igual que 2.1.</w:t>
      </w:r>
    </w:p>
    <w:p>
      <w:pPr>
        <w:numPr>
          <w:ilvl w:val="0"/>
          <w:numId w:val="1084"/>
        </w:numPr>
        <w:pStyle w:val="Compact"/>
      </w:pPr>
      <w:r>
        <w:rPr>
          <w:b/>
        </w:rPr>
        <w:t xml:space="preserve">Qué ocurre si dos guías discrepan</w:t>
      </w:r>
      <w:r>
        <w:t xml:space="preserve">: No aplica / sin discrepancia documentada para esta regla.</w:t>
      </w:r>
    </w:p>
    <w:p>
      <w:pPr>
        <w:pStyle w:val="Heading3"/>
      </w:pPr>
      <w:bookmarkStart w:id="117" w:name="egfr_25-egfr-cerca-de-25-mlmin1.73m²"/>
      <w:r>
        <w:t xml:space="preserve">2.4 egfr_25 — eGFR cerca de 25 mL/min/1.73m²</w:t>
      </w:r>
      <w:bookmarkEnd w:id="117"/>
    </w:p>
    <w:p>
      <w:pPr>
        <w:numPr>
          <w:ilvl w:val="0"/>
          <w:numId w:val="1085"/>
        </w:numPr>
        <w:pStyle w:val="Compact"/>
      </w:pPr>
      <w:r>
        <w:rPr>
          <w:b/>
        </w:rPr>
        <w:t xml:space="preserve">Qué hace</w:t>
      </w:r>
      <w:r>
        <w:t xml:space="preserve">: Aviso cerrable si eGFR cae entre 23 y 27.</w:t>
      </w:r>
    </w:p>
    <w:p>
      <w:pPr>
        <w:numPr>
          <w:ilvl w:val="0"/>
          <w:numId w:val="1085"/>
        </w:numPr>
        <w:pStyle w:val="Compact"/>
      </w:pPr>
      <w:r>
        <w:rPr>
          <w:b/>
        </w:rPr>
        <w:t xml:space="preserve">Por qué</w:t>
      </w:r>
      <w:r>
        <w:t xml:space="preserve">: 25 es el corte de elegibilidad de Finerenona.</w:t>
      </w:r>
    </w:p>
    <w:p>
      <w:pPr>
        <w:numPr>
          <w:ilvl w:val="0"/>
          <w:numId w:val="1085"/>
        </w:numPr>
        <w:pStyle w:val="Compact"/>
      </w:pPr>
      <w:r>
        <w:rPr>
          <w:b/>
        </w:rPr>
        <w:t xml:space="preserve">Fuente</w:t>
      </w:r>
      <w:r>
        <w:t xml:space="preserve">: Variabilidad analítica de creatinina, mismo razonamiento que 2.1-2.3.</w:t>
      </w:r>
    </w:p>
    <w:p>
      <w:pPr>
        <w:numPr>
          <w:ilvl w:val="0"/>
          <w:numId w:val="1085"/>
        </w:numPr>
        <w:pStyle w:val="Compact"/>
      </w:pPr>
      <w:r>
        <w:rPr>
          <w:b/>
        </w:rPr>
        <w:t xml:space="preserve">Versión de la fuente</w:t>
      </w:r>
      <w:r>
        <w:t xml:space="preserve">: No especificada en el código — pendiente de documentar.</w:t>
      </w:r>
    </w:p>
    <w:p>
      <w:pPr>
        <w:numPr>
          <w:ilvl w:val="0"/>
          <w:numId w:val="1085"/>
        </w:numPr>
        <w:pStyle w:val="Compact"/>
      </w:pPr>
      <w:r>
        <w:rPr>
          <w:b/>
        </w:rPr>
        <w:t xml:space="preserve">Fecha de revisión</w:t>
      </w:r>
      <w:r>
        <w:t xml:space="preserve">: 10/11-ago-2026.</w:t>
      </w:r>
    </w:p>
    <w:p>
      <w:pPr>
        <w:numPr>
          <w:ilvl w:val="0"/>
          <w:numId w:val="1085"/>
        </w:numPr>
        <w:pStyle w:val="Compact"/>
      </w:pPr>
      <w:r>
        <w:rPr>
          <w:b/>
        </w:rPr>
        <w:t xml:space="preserve">Quién revisó</w:t>
      </w:r>
      <w:r>
        <w:t xml:space="preserve">: Dr. Ortega.</w:t>
      </w:r>
    </w:p>
    <w:p>
      <w:pPr>
        <w:numPr>
          <w:ilvl w:val="0"/>
          <w:numId w:val="1085"/>
        </w:numPr>
        <w:pStyle w:val="Compact"/>
      </w:pPr>
      <w:r>
        <w:rPr>
          <w:b/>
        </w:rPr>
        <w:t xml:space="preserve">Qué casos la validan</w:t>
      </w:r>
      <w:r>
        <w:t xml:space="preserve">:</w:t>
      </w:r>
      <w:r>
        <w:t xml:space="preserve"> </w:t>
      </w:r>
      <w:r>
        <w:rPr>
          <w:rStyle w:val="VerbatimChar"/>
        </w:rPr>
        <w:t xml:space="preserve">tests/boundary-alerts.test.mjs</w:t>
      </w:r>
      <w:r>
        <w:t xml:space="preserve">, línea 33 (</w:t>
      </w:r>
      <w:r>
        <w:t xml:space="preserve">“</w:t>
      </w:r>
      <w:r>
        <w:t xml:space="preserve">eGFR≈26 (cr=2.7) -&gt; dispara zona egfr_25</w:t>
      </w:r>
      <w:r>
        <w:t xml:space="preserve">”</w:t>
      </w:r>
      <w:r>
        <w:t xml:space="preserve">). También hay controles negativos explícitos: eGFR≈86 y eGFR≈16 (ERC terminal,</w:t>
      </w:r>
      <w:r>
        <w:t xml:space="preserve"> </w:t>
      </w:r>
      <w:r>
        <w:t xml:space="preserve">“</w:t>
      </w:r>
      <w:r>
        <w:t xml:space="preserve">muy por debajo de toda banda</w:t>
      </w:r>
      <w:r>
        <w:t xml:space="preserve">”</w:t>
      </w:r>
      <w:r>
        <w:t xml:space="preserve">) no disparan ninguna zona eGFR (líneas 38-40).</w:t>
      </w:r>
    </w:p>
    <w:p>
      <w:pPr>
        <w:numPr>
          <w:ilvl w:val="0"/>
          <w:numId w:val="1085"/>
        </w:numPr>
        <w:pStyle w:val="Compact"/>
      </w:pPr>
      <w:r>
        <w:rPr>
          <w:b/>
        </w:rPr>
        <w:t xml:space="preserve">Qué excepciones tiene</w:t>
      </w:r>
      <w:r>
        <w:t xml:space="preserve">: Igual que 2.1.</w:t>
      </w:r>
    </w:p>
    <w:p>
      <w:pPr>
        <w:numPr>
          <w:ilvl w:val="0"/>
          <w:numId w:val="1085"/>
        </w:numPr>
        <w:pStyle w:val="Compact"/>
      </w:pPr>
      <w:r>
        <w:rPr>
          <w:b/>
        </w:rPr>
        <w:t xml:space="preserve">Qué ocurre si faltan datos</w:t>
      </w:r>
      <w:r>
        <w:t xml:space="preserve">: Igual que 2.1.</w:t>
      </w:r>
    </w:p>
    <w:p>
      <w:pPr>
        <w:numPr>
          <w:ilvl w:val="0"/>
          <w:numId w:val="1085"/>
        </w:numPr>
        <w:pStyle w:val="Compact"/>
      </w:pPr>
      <w:r>
        <w:rPr>
          <w:b/>
        </w:rPr>
        <w:t xml:space="preserve">Qué ocurre si dos guías discrepan</w:t>
      </w:r>
      <w:r>
        <w:t xml:space="preserve">: No aplica / sin discrepancia documentada para esta regla.</w:t>
      </w:r>
    </w:p>
    <w:p>
      <w:pPr>
        <w:pStyle w:val="Heading3"/>
      </w:pPr>
      <w:bookmarkStart w:id="118" w:name="ldl_190-ldl-c-cerca-de-190-mgdl"/>
      <w:r>
        <w:t xml:space="preserve">2.5 ldl_190 — LDL-C cerca de 190 mg/dL</w:t>
      </w:r>
      <w:bookmarkEnd w:id="118"/>
    </w:p>
    <w:p>
      <w:pPr>
        <w:numPr>
          <w:ilvl w:val="0"/>
          <w:numId w:val="1086"/>
        </w:numPr>
        <w:pStyle w:val="Compact"/>
      </w:pPr>
      <w:r>
        <w:rPr>
          <w:b/>
        </w:rPr>
        <w:t xml:space="preserve">Qué hace</w:t>
      </w:r>
      <w:r>
        <w:t xml:space="preserve">: Aviso cerrable si LDL cae entre 180 y 199 mg/dL.</w:t>
      </w:r>
    </w:p>
    <w:p>
      <w:pPr>
        <w:numPr>
          <w:ilvl w:val="0"/>
          <w:numId w:val="1086"/>
        </w:numPr>
        <w:pStyle w:val="Compact"/>
      </w:pPr>
      <w:r>
        <w:rPr>
          <w:b/>
        </w:rPr>
        <w:t xml:space="preserve">Por qué</w:t>
      </w:r>
      <w:r>
        <w:t xml:space="preserve">: 190 es la indicación automática de estatina de alta intensidad, sin importar el riesgo calculado. CV analítico de laboratorio típico ~4%.</w:t>
      </w:r>
    </w:p>
    <w:p>
      <w:pPr>
        <w:numPr>
          <w:ilvl w:val="0"/>
          <w:numId w:val="1086"/>
        </w:numPr>
        <w:pStyle w:val="Compact"/>
      </w:pPr>
      <w:r>
        <w:rPr>
          <w:b/>
        </w:rPr>
        <w:t xml:space="preserve">Fuente</w:t>
      </w:r>
      <w:r>
        <w:t xml:space="preserve">: Variabilidad analítica de laboratorio (CV ~4%), citada como justificación del ancho ±10; sin guía externa para la anchura en sí.</w:t>
      </w:r>
    </w:p>
    <w:p>
      <w:pPr>
        <w:numPr>
          <w:ilvl w:val="0"/>
          <w:numId w:val="1086"/>
        </w:numPr>
        <w:pStyle w:val="Compact"/>
      </w:pPr>
      <w:r>
        <w:rPr>
          <w:b/>
        </w:rPr>
        <w:t xml:space="preserve">Versión de la fuente</w:t>
      </w:r>
      <w:r>
        <w:t xml:space="preserve">: No especificada en el código — pendiente de documentar.</w:t>
      </w:r>
    </w:p>
    <w:p>
      <w:pPr>
        <w:numPr>
          <w:ilvl w:val="0"/>
          <w:numId w:val="1086"/>
        </w:numPr>
        <w:pStyle w:val="Compact"/>
      </w:pPr>
      <w:r>
        <w:rPr>
          <w:b/>
        </w:rPr>
        <w:t xml:space="preserve">Fecha de revisión</w:t>
      </w:r>
      <w:r>
        <w:t xml:space="preserve">: 10/11-ago-2026.</w:t>
      </w:r>
    </w:p>
    <w:p>
      <w:pPr>
        <w:numPr>
          <w:ilvl w:val="0"/>
          <w:numId w:val="1086"/>
        </w:numPr>
        <w:pStyle w:val="Compact"/>
      </w:pPr>
      <w:r>
        <w:rPr>
          <w:b/>
        </w:rPr>
        <w:t xml:space="preserve">Quién revisó</w:t>
      </w:r>
      <w:r>
        <w:t xml:space="preserve">: Dr. Ortega.</w:t>
      </w:r>
    </w:p>
    <w:p>
      <w:pPr>
        <w:numPr>
          <w:ilvl w:val="0"/>
          <w:numId w:val="1086"/>
        </w:numPr>
        <w:pStyle w:val="Compact"/>
      </w:pPr>
      <w:r>
        <w:rPr>
          <w:b/>
        </w:rPr>
        <w:t xml:space="preserve">Qué casos la validan</w:t>
      </w:r>
      <w:r>
        <w:t xml:space="preserve">:</w:t>
      </w:r>
      <w:r>
        <w:t xml:space="preserve"> </w:t>
      </w:r>
      <w:r>
        <w:rPr>
          <w:rStyle w:val="VerbatimChar"/>
        </w:rPr>
        <w:t xml:space="preserve">tests/boundary-alerts.test.mjs</w:t>
      </w:r>
      <w:r>
        <w:t xml:space="preserve">, líneas 52-57 (LDL 185 dispara, LDL 150 control negativo, LDL 250</w:t>
      </w:r>
      <w:r>
        <w:t xml:space="preserve"> </w:t>
      </w:r>
      <w:r>
        <w:t xml:space="preserve">“</w:t>
      </w:r>
      <w:r>
        <w:t xml:space="preserve">muy por encima, ya clasificado sin ambigüedad</w:t>
      </w:r>
      <w:r>
        <w:t xml:space="preserve">”</w:t>
      </w:r>
      <w:r>
        <w:t xml:space="preserve"> </w:t>
      </w:r>
      <w:r>
        <w:t xml:space="preserve">NO dispara).</w:t>
      </w:r>
    </w:p>
    <w:p>
      <w:pPr>
        <w:numPr>
          <w:ilvl w:val="0"/>
          <w:numId w:val="1086"/>
        </w:numPr>
        <w:pStyle w:val="Compact"/>
      </w:pPr>
      <w:r>
        <w:rPr>
          <w:b/>
        </w:rPr>
        <w:t xml:space="preserve">Qué excepciones tiene</w:t>
      </w:r>
      <w:r>
        <w:t xml:space="preserve">: Explícitamente NO se avisa por encima de 199 (ya se clasifica ALTO correctamente sin ambigüedad, dirección conservadora ya cubierta) — verificado por test (LDL 250 no dispara).</w:t>
      </w:r>
    </w:p>
    <w:p>
      <w:pPr>
        <w:numPr>
          <w:ilvl w:val="0"/>
          <w:numId w:val="1086"/>
        </w:numPr>
        <w:pStyle w:val="Compact"/>
      </w:pPr>
      <w:r>
        <w:rPr>
          <w:b/>
        </w:rPr>
        <w:t xml:space="preserve">Qué ocurre si faltan datos</w:t>
      </w:r>
      <w:r>
        <w:t xml:space="preserve">:</w:t>
      </w:r>
      <w:r>
        <w:t xml:space="preserve"> </w:t>
      </w:r>
      <w:r>
        <w:rPr>
          <w:rStyle w:val="VerbatimChar"/>
        </w:rPr>
        <w:t xml:space="preserve">get: (p) =&gt; Number(p.ldl) || 0</w:t>
      </w:r>
      <w:r>
        <w:t xml:space="preserve"> </w:t>
      </w:r>
      <w:r>
        <w:t xml:space="preserve">— sin dato, el valor es</w:t>
      </w:r>
      <w:r>
        <w:t xml:space="preserve"> </w:t>
      </w:r>
      <w:r>
        <w:rPr>
          <w:rStyle w:val="VerbatimChar"/>
        </w:rPr>
        <w:t xml:space="preserve">0</w:t>
      </w:r>
      <w:r>
        <w:t xml:space="preserve">, que no cae dentro de</w:t>
      </w:r>
      <w:r>
        <w:t xml:space="preserve"> </w:t>
      </w:r>
      <w:r>
        <w:rPr>
          <w:rStyle w:val="VerbatimChar"/>
        </w:rPr>
        <w:t xml:space="preserve">[180,199]</w:t>
      </w:r>
      <w:r>
        <w:t xml:space="preserve"> </w:t>
      </w:r>
      <w:r>
        <w:t xml:space="preserve">→ omisión silenciosa, sin error.</w:t>
      </w:r>
    </w:p>
    <w:p>
      <w:pPr>
        <w:numPr>
          <w:ilvl w:val="0"/>
          <w:numId w:val="1086"/>
        </w:numPr>
        <w:pStyle w:val="Compact"/>
      </w:pPr>
      <w:r>
        <w:rPr>
          <w:b/>
        </w:rPr>
        <w:t xml:space="preserve">Qué ocurre si dos guías discrepan</w:t>
      </w:r>
      <w:r>
        <w:t xml:space="preserve">: No aplica / sin discrepancia documentada para esta regla.</w:t>
      </w:r>
    </w:p>
    <w:p>
      <w:pPr>
        <w:pStyle w:val="Heading3"/>
      </w:pPr>
      <w:bookmarkStart w:id="119" w:name="a1c_8-a1c-cerca-de-8"/>
      <w:r>
        <w:t xml:space="preserve">2.6 a1c_8 — A1c cerca de 8%</w:t>
      </w:r>
      <w:bookmarkEnd w:id="119"/>
    </w:p>
    <w:p>
      <w:pPr>
        <w:numPr>
          <w:ilvl w:val="0"/>
          <w:numId w:val="1087"/>
        </w:numPr>
        <w:pStyle w:val="Compact"/>
      </w:pPr>
      <w:r>
        <w:rPr>
          <w:b/>
        </w:rPr>
        <w:t xml:space="preserve">Qué hace</w:t>
      </w:r>
      <w:r>
        <w:t xml:space="preserve">: Aviso cerrable si HbA1c cae entre 7.8% y 8.2% (±0.2% absoluto).</w:t>
      </w:r>
    </w:p>
    <w:p>
      <w:pPr>
        <w:numPr>
          <w:ilvl w:val="0"/>
          <w:numId w:val="1087"/>
        </w:numPr>
        <w:pStyle w:val="Compact"/>
      </w:pPr>
      <w:r>
        <w:rPr>
          <w:b/>
        </w:rPr>
        <w:t xml:space="preserve">Por qué</w:t>
      </w:r>
      <w:r>
        <w:t xml:space="preserve">: 8% es el corte de riesgo lipídico ALTO en la clasificación simplificada; imprecisión de ensayo de A1c ~0.2-0.3%.</w:t>
      </w:r>
    </w:p>
    <w:p>
      <w:pPr>
        <w:numPr>
          <w:ilvl w:val="0"/>
          <w:numId w:val="1087"/>
        </w:numPr>
        <w:pStyle w:val="Compact"/>
      </w:pPr>
      <w:r>
        <w:rPr>
          <w:b/>
        </w:rPr>
        <w:t xml:space="preserve">Fuente</w:t>
      </w:r>
      <w:r>
        <w:t xml:space="preserve">: Imprecisión analítica de ensayo de A1c, citada como justificación; sin guía externa para la anchura.</w:t>
      </w:r>
    </w:p>
    <w:p>
      <w:pPr>
        <w:numPr>
          <w:ilvl w:val="0"/>
          <w:numId w:val="1087"/>
        </w:numPr>
        <w:pStyle w:val="Compact"/>
      </w:pPr>
      <w:r>
        <w:rPr>
          <w:b/>
        </w:rPr>
        <w:t xml:space="preserve">Versión de la fuente</w:t>
      </w:r>
      <w:r>
        <w:t xml:space="preserve">: No especificada en el código — pendiente de documentar.</w:t>
      </w:r>
    </w:p>
    <w:p>
      <w:pPr>
        <w:numPr>
          <w:ilvl w:val="0"/>
          <w:numId w:val="1087"/>
        </w:numPr>
        <w:pStyle w:val="Compact"/>
      </w:pPr>
      <w:r>
        <w:rPr>
          <w:b/>
        </w:rPr>
        <w:t xml:space="preserve">Fecha de revisión</w:t>
      </w:r>
      <w:r>
        <w:t xml:space="preserve">: 10/11-ago-2026.</w:t>
      </w:r>
    </w:p>
    <w:p>
      <w:pPr>
        <w:numPr>
          <w:ilvl w:val="0"/>
          <w:numId w:val="1087"/>
        </w:numPr>
        <w:pStyle w:val="Compact"/>
      </w:pPr>
      <w:r>
        <w:rPr>
          <w:b/>
        </w:rPr>
        <w:t xml:space="preserve">Quién revisó</w:t>
      </w:r>
      <w:r>
        <w:t xml:space="preserve">: Dr. Ortega.</w:t>
      </w:r>
    </w:p>
    <w:p>
      <w:pPr>
        <w:numPr>
          <w:ilvl w:val="0"/>
          <w:numId w:val="1087"/>
        </w:numPr>
        <w:pStyle w:val="Compact"/>
      </w:pPr>
      <w:r>
        <w:rPr>
          <w:b/>
        </w:rPr>
        <w:t xml:space="preserve">Qué casos la validan</w:t>
      </w:r>
      <w:r>
        <w:t xml:space="preserve">:</w:t>
      </w:r>
      <w:r>
        <w:t xml:space="preserve"> </w:t>
      </w:r>
      <w:r>
        <w:rPr>
          <w:rStyle w:val="VerbatimChar"/>
        </w:rPr>
        <w:t xml:space="preserve">tests/boundary-alerts.test.mjs</w:t>
      </w:r>
      <w:r>
        <w:t xml:space="preserve">, líneas 62-65 (A1c 8.0% justo en el corte dispara; A1c 6.5% control negativo no dispara).</w:t>
      </w:r>
    </w:p>
    <w:p>
      <w:pPr>
        <w:numPr>
          <w:ilvl w:val="0"/>
          <w:numId w:val="1087"/>
        </w:numPr>
        <w:pStyle w:val="Compact"/>
      </w:pPr>
      <w:r>
        <w:rPr>
          <w:b/>
        </w:rPr>
        <w:t xml:space="preserve">Qué excepciones tiene</w:t>
      </w:r>
      <w:r>
        <w:t xml:space="preserve">: Ninguna documentada distinta a las demás bandas.</w:t>
      </w:r>
    </w:p>
    <w:p>
      <w:pPr>
        <w:numPr>
          <w:ilvl w:val="0"/>
          <w:numId w:val="1087"/>
        </w:numPr>
        <w:pStyle w:val="Compact"/>
      </w:pPr>
      <w:r>
        <w:rPr>
          <w:b/>
        </w:rPr>
        <w:t xml:space="preserve">Qué ocurre si faltan datos</w:t>
      </w:r>
      <w:r>
        <w:t xml:space="preserve">:</w:t>
      </w:r>
      <w:r>
        <w:t xml:space="preserve"> </w:t>
      </w:r>
      <w:r>
        <w:rPr>
          <w:rStyle w:val="VerbatimChar"/>
        </w:rPr>
        <w:t xml:space="preserve">Number(p.hba1c) || 0</w:t>
      </w:r>
      <w:r>
        <w:t xml:space="preserve"> </w:t>
      </w:r>
      <w:r>
        <w:t xml:space="preserve">— sin dato, valor</w:t>
      </w:r>
      <w:r>
        <w:t xml:space="preserve"> </w:t>
      </w:r>
      <w:r>
        <w:rPr>
          <w:rStyle w:val="VerbatimChar"/>
        </w:rPr>
        <w:t xml:space="preserve">0</w:t>
      </w:r>
      <w:r>
        <w:t xml:space="preserve">, no cae en banda, omisión silenciosa sin error.</w:t>
      </w:r>
    </w:p>
    <w:p>
      <w:pPr>
        <w:numPr>
          <w:ilvl w:val="0"/>
          <w:numId w:val="1087"/>
        </w:numPr>
        <w:pStyle w:val="Compact"/>
      </w:pPr>
      <w:r>
        <w:rPr>
          <w:b/>
        </w:rPr>
        <w:t xml:space="preserve">Qué ocurre si dos guías discrepan</w:t>
      </w:r>
      <w:r>
        <w:t xml:space="preserve">: No aplica / sin discrepancia documentada para esta regla.</w:t>
      </w:r>
    </w:p>
    <w:p>
      <w:pPr>
        <w:pStyle w:val="Heading3"/>
      </w:pPr>
      <w:bookmarkStart w:id="120" w:name="uacr_30-uacr-cerca-de-30-mgg"/>
      <w:r>
        <w:t xml:space="preserve">2.7 uacr_30 — uACR cerca de 30 mg/g</w:t>
      </w:r>
      <w:bookmarkEnd w:id="120"/>
    </w:p>
    <w:p>
      <w:pPr>
        <w:numPr>
          <w:ilvl w:val="0"/>
          <w:numId w:val="1088"/>
        </w:numPr>
        <w:pStyle w:val="Compact"/>
      </w:pPr>
      <w:r>
        <w:rPr>
          <w:b/>
        </w:rPr>
        <w:t xml:space="preserve">Qué hace</w:t>
      </w:r>
      <w:r>
        <w:t xml:space="preserve">: Aviso cerrable si uACR cae entre 25 y 35 mg/g (banda más ancha en términos relativos que las demás).</w:t>
      </w:r>
    </w:p>
    <w:p>
      <w:pPr>
        <w:numPr>
          <w:ilvl w:val="0"/>
          <w:numId w:val="1088"/>
        </w:numPr>
        <w:pStyle w:val="Compact"/>
      </w:pPr>
      <w:r>
        <w:rPr>
          <w:b/>
        </w:rPr>
        <w:t xml:space="preserve">Por qué</w:t>
      </w:r>
      <w:r>
        <w:t xml:space="preserve">: 30 define albuminuria/ERC y elegibilidad de Finerenona; el uACR es</w:t>
      </w:r>
      <w:r>
        <w:t xml:space="preserve"> </w:t>
      </w:r>
      <w:r>
        <w:t xml:space="preserve">“</w:t>
      </w:r>
      <w:r>
        <w:t xml:space="preserve">un analito con alta variabilidad día a día (CV reportado 20-40%)</w:t>
      </w:r>
      <w:r>
        <w:t xml:space="preserve">”</w:t>
      </w:r>
      <w:r>
        <w:t xml:space="preserve">, de ahí la banda proporcionalmente más ancha.</w:t>
      </w:r>
    </w:p>
    <w:p>
      <w:pPr>
        <w:numPr>
          <w:ilvl w:val="0"/>
          <w:numId w:val="1088"/>
        </w:numPr>
        <w:pStyle w:val="Compact"/>
      </w:pPr>
      <w:r>
        <w:rPr>
          <w:b/>
        </w:rPr>
        <w:t xml:space="preserve">Fuente</w:t>
      </w:r>
      <w:r>
        <w:t xml:space="preserve">: Variabilidad biológica día a día del uACR (CV 20-40%, citado en el comentario sin referencia bibliográfica puntual).</w:t>
      </w:r>
    </w:p>
    <w:p>
      <w:pPr>
        <w:numPr>
          <w:ilvl w:val="0"/>
          <w:numId w:val="1088"/>
        </w:numPr>
        <w:pStyle w:val="Compact"/>
      </w:pPr>
      <w:r>
        <w:rPr>
          <w:b/>
        </w:rPr>
        <w:t xml:space="preserve">Versión de la fuente</w:t>
      </w:r>
      <w:r>
        <w:t xml:space="preserve">: No especificada en el código — pendiente de documentar.</w:t>
      </w:r>
    </w:p>
    <w:p>
      <w:pPr>
        <w:numPr>
          <w:ilvl w:val="0"/>
          <w:numId w:val="1088"/>
        </w:numPr>
        <w:pStyle w:val="Compact"/>
      </w:pPr>
      <w:r>
        <w:rPr>
          <w:b/>
        </w:rPr>
        <w:t xml:space="preserve">Fecha de revisión</w:t>
      </w:r>
      <w:r>
        <w:t xml:space="preserve">: 10/11-ago-2026.</w:t>
      </w:r>
    </w:p>
    <w:p>
      <w:pPr>
        <w:numPr>
          <w:ilvl w:val="0"/>
          <w:numId w:val="1088"/>
        </w:numPr>
        <w:pStyle w:val="Compact"/>
      </w:pPr>
      <w:r>
        <w:rPr>
          <w:b/>
        </w:rPr>
        <w:t xml:space="preserve">Quién revisó</w:t>
      </w:r>
      <w:r>
        <w:t xml:space="preserve">: Dr. Ortega.</w:t>
      </w:r>
    </w:p>
    <w:p>
      <w:pPr>
        <w:numPr>
          <w:ilvl w:val="0"/>
          <w:numId w:val="1088"/>
        </w:numPr>
        <w:pStyle w:val="Compact"/>
      </w:pPr>
      <w:r>
        <w:rPr>
          <w:b/>
        </w:rPr>
        <w:t xml:space="preserve">Qué casos la validan</w:t>
      </w:r>
      <w:r>
        <w:t xml:space="preserve">:</w:t>
      </w:r>
      <w:r>
        <w:t xml:space="preserve"> </w:t>
      </w:r>
      <w:r>
        <w:rPr>
          <w:rStyle w:val="VerbatimChar"/>
        </w:rPr>
        <w:t xml:space="preserve">tests/boundary-alerts.test.mjs</w:t>
      </w:r>
      <w:r>
        <w:t xml:space="preserve">, líneas 70-73 (uACR 32 dispara; uACR 10 control negativo no dispara).</w:t>
      </w:r>
    </w:p>
    <w:p>
      <w:pPr>
        <w:numPr>
          <w:ilvl w:val="0"/>
          <w:numId w:val="1088"/>
        </w:numPr>
        <w:pStyle w:val="Compact"/>
      </w:pPr>
      <w:r>
        <w:rPr>
          <w:b/>
        </w:rPr>
        <w:t xml:space="preserve">Qué excepciones tiene</w:t>
      </w:r>
      <w:r>
        <w:t xml:space="preserve">: Ninguna documentada distinta a las demás bandas.</w:t>
      </w:r>
    </w:p>
    <w:p>
      <w:pPr>
        <w:numPr>
          <w:ilvl w:val="0"/>
          <w:numId w:val="1088"/>
        </w:numPr>
        <w:pStyle w:val="Compact"/>
      </w:pPr>
      <w:r>
        <w:rPr>
          <w:b/>
        </w:rPr>
        <w:t xml:space="preserve">Qué ocurre si faltan datos</w:t>
      </w:r>
      <w:r>
        <w:t xml:space="preserve">:</w:t>
      </w:r>
      <w:r>
        <w:t xml:space="preserve"> </w:t>
      </w:r>
      <w:r>
        <w:rPr>
          <w:rStyle w:val="VerbatimChar"/>
        </w:rPr>
        <w:t xml:space="preserve">Number(p.uacr) || 0</w:t>
      </w:r>
      <w:r>
        <w:t xml:space="preserve"> </w:t>
      </w:r>
      <w:r>
        <w:t xml:space="preserve">— sin dato, valor</w:t>
      </w:r>
      <w:r>
        <w:t xml:space="preserve"> </w:t>
      </w:r>
      <w:r>
        <w:rPr>
          <w:rStyle w:val="VerbatimChar"/>
        </w:rPr>
        <w:t xml:space="preserve">0</w:t>
      </w:r>
      <w:r>
        <w:t xml:space="preserve">, fuera de banda, omisión silenciosa sin error.</w:t>
      </w:r>
    </w:p>
    <w:p>
      <w:pPr>
        <w:numPr>
          <w:ilvl w:val="0"/>
          <w:numId w:val="1088"/>
        </w:numPr>
        <w:pStyle w:val="Compact"/>
      </w:pPr>
      <w:r>
        <w:rPr>
          <w:b/>
        </w:rPr>
        <w:t xml:space="preserve">Qué ocurre si dos guías discrepan</w:t>
      </w:r>
      <w:r>
        <w:t xml:space="preserve">: No aplica / sin discrepancia documentada para esta regla.</w:t>
      </w:r>
    </w:p>
    <w:p>
      <w:pPr>
        <w:pStyle w:val="Heading3"/>
      </w:pPr>
      <w:bookmarkStart w:id="121" w:name="X0ceb0510da91d8350439447621540f2400ff5c6"/>
      <w:r>
        <w:t xml:space="preserve">2.8 cortico_20 — Corticoide cerca de 20 mg/día equiv. prednisona (banda asimétrica)</w:t>
      </w:r>
      <w:bookmarkEnd w:id="121"/>
    </w:p>
    <w:p>
      <w:pPr>
        <w:numPr>
          <w:ilvl w:val="0"/>
          <w:numId w:val="1089"/>
        </w:numPr>
        <w:pStyle w:val="Compact"/>
      </w:pPr>
      <w:r>
        <w:rPr>
          <w:b/>
        </w:rPr>
        <w:t xml:space="preserve">Qué hace</w:t>
      </w:r>
      <w:r>
        <w:t xml:space="preserve">: Aviso cerrable si la dosis de corticoide cae entre 15 y 19.99 mg/día (banda SOLO por debajo del corte, asimétrica).</w:t>
      </w:r>
    </w:p>
    <w:p>
      <w:pPr>
        <w:numPr>
          <w:ilvl w:val="0"/>
          <w:numId w:val="1089"/>
        </w:numPr>
        <w:pStyle w:val="Compact"/>
      </w:pPr>
      <w:r>
        <w:rPr>
          <w:b/>
        </w:rPr>
        <w:t xml:space="preserve">Por qué</w:t>
      </w:r>
      <w:r>
        <w:t xml:space="preserve">: 20 mg/día es el corte de riesgo ALTO de hiperglucemia/HTA; a diferencia de los demás analitos, aquí</w:t>
      </w:r>
      <w:r>
        <w:t xml:space="preserve"> </w:t>
      </w:r>
      <w:r>
        <w:t xml:space="preserve">“</w:t>
      </w:r>
      <w:r>
        <w:t xml:space="preserve">es una dosis exacta prescrita (sin ruido de medición)</w:t>
      </w:r>
      <w:r>
        <w:t xml:space="preserve">”</w:t>
      </w:r>
      <w:r>
        <w:t xml:space="preserve">, pero el riesgo real es</w:t>
      </w:r>
      <w:r>
        <w:t xml:space="preserve"> </w:t>
      </w:r>
      <w:r>
        <w:t xml:space="preserve">“</w:t>
      </w:r>
      <w:r>
        <w:t xml:space="preserve">dosis-dependiente y continuo, no un escalón real</w:t>
      </w:r>
      <w:r>
        <w:t xml:space="preserve">”</w:t>
      </w:r>
      <w:r>
        <w:t xml:space="preserve"> </w:t>
      </w:r>
      <w:r>
        <w:t xml:space="preserve">— por eso la banda es asimétrica y no se extiende por encima de 20 (ahí ya se clasifica ALTO correctamente, dirección conservadora ya cubierta).</w:t>
      </w:r>
    </w:p>
    <w:p>
      <w:pPr>
        <w:numPr>
          <w:ilvl w:val="0"/>
          <w:numId w:val="1089"/>
        </w:numPr>
        <w:pStyle w:val="Compact"/>
      </w:pPr>
      <w:r>
        <w:rPr>
          <w:b/>
        </w:rPr>
        <w:t xml:space="preserve">Fuente</w:t>
      </w:r>
      <w:r>
        <w:t xml:space="preserve">: Razonamiento fisiopatológico (riesgo continuo, no escalonado) documentado por el Dr. Ortega; sin cita de guía externa para la anchura de la banda.</w:t>
      </w:r>
    </w:p>
    <w:p>
      <w:pPr>
        <w:numPr>
          <w:ilvl w:val="0"/>
          <w:numId w:val="1089"/>
        </w:numPr>
        <w:pStyle w:val="Compact"/>
      </w:pPr>
      <w:r>
        <w:rPr>
          <w:b/>
        </w:rPr>
        <w:t xml:space="preserve">Versión de la fuente</w:t>
      </w:r>
      <w:r>
        <w:t xml:space="preserve">: No especificada en el código — pendiente de documentar.</w:t>
      </w:r>
    </w:p>
    <w:p>
      <w:pPr>
        <w:numPr>
          <w:ilvl w:val="0"/>
          <w:numId w:val="1089"/>
        </w:numPr>
        <w:pStyle w:val="Compact"/>
      </w:pPr>
      <w:r>
        <w:rPr>
          <w:b/>
        </w:rPr>
        <w:t xml:space="preserve">Fecha de revisión</w:t>
      </w:r>
      <w:r>
        <w:t xml:space="preserve">: 10/11-ago-2026.</w:t>
      </w:r>
    </w:p>
    <w:p>
      <w:pPr>
        <w:numPr>
          <w:ilvl w:val="0"/>
          <w:numId w:val="1089"/>
        </w:numPr>
        <w:pStyle w:val="Compact"/>
      </w:pPr>
      <w:r>
        <w:rPr>
          <w:b/>
        </w:rPr>
        <w:t xml:space="preserve">Quién revisó</w:t>
      </w:r>
      <w:r>
        <w:t xml:space="preserve">: Dr. Ortega.</w:t>
      </w:r>
    </w:p>
    <w:p>
      <w:pPr>
        <w:numPr>
          <w:ilvl w:val="0"/>
          <w:numId w:val="1089"/>
        </w:numPr>
        <w:pStyle w:val="Compact"/>
      </w:pPr>
      <w:r>
        <w:rPr>
          <w:b/>
        </w:rPr>
        <w:t xml:space="preserve">Qué casos la validan</w:t>
      </w:r>
      <w:r>
        <w:t xml:space="preserve">:</w:t>
      </w:r>
      <w:r>
        <w:t xml:space="preserve"> </w:t>
      </w:r>
      <w:r>
        <w:rPr>
          <w:rStyle w:val="VerbatimChar"/>
        </w:rPr>
        <w:t xml:space="preserve">tests/boundary-alerts.test.mjs</w:t>
      </w:r>
      <w:r>
        <w:t xml:space="preserve">, líneas 78-83 (corticoide 17 mg/día dispara; 20 mg/día exacto NO dispara —</w:t>
      </w:r>
      <w:r>
        <w:t xml:space="preserve"> </w:t>
      </w:r>
      <w:r>
        <w:t xml:space="preserve">“</w:t>
      </w:r>
      <w:r>
        <w:t xml:space="preserve">ya clasificado ALTO sin ambigüedad, banda asimétrica, solo bajo el corte</w:t>
      </w:r>
      <w:r>
        <w:t xml:space="preserve">”</w:t>
      </w:r>
      <w:r>
        <w:t xml:space="preserve">; 5 mg/día control negativo no dispara).</w:t>
      </w:r>
    </w:p>
    <w:p>
      <w:pPr>
        <w:numPr>
          <w:ilvl w:val="0"/>
          <w:numId w:val="1089"/>
        </w:numPr>
        <w:pStyle w:val="Compact"/>
      </w:pPr>
      <w:r>
        <w:rPr>
          <w:b/>
        </w:rPr>
        <w:t xml:space="preserve">Qué excepciones tiene</w:t>
      </w:r>
      <w:r>
        <w:t xml:space="preserve">: Banda deliberadamente asimétrica (documentada como excepción explícita en el propio diseño, no un descuido).</w:t>
      </w:r>
    </w:p>
    <w:p>
      <w:pPr>
        <w:numPr>
          <w:ilvl w:val="0"/>
          <w:numId w:val="1089"/>
        </w:numPr>
        <w:pStyle w:val="Compact"/>
      </w:pPr>
      <w:r>
        <w:rPr>
          <w:b/>
        </w:rPr>
        <w:t xml:space="preserve">Qué ocurre si faltan datos</w:t>
      </w:r>
      <w:r>
        <w:t xml:space="preserve">:</w:t>
      </w:r>
      <w:r>
        <w:t xml:space="preserve"> </w:t>
      </w:r>
      <w:r>
        <w:rPr>
          <w:rStyle w:val="VerbatimChar"/>
        </w:rPr>
        <w:t xml:space="preserve">Number(p.corticoideDosis) || 0</w:t>
      </w:r>
      <w:r>
        <w:t xml:space="preserve"> </w:t>
      </w:r>
      <w:r>
        <w:t xml:space="preserve">— sin dato, valor</w:t>
      </w:r>
      <w:r>
        <w:t xml:space="preserve"> </w:t>
      </w:r>
      <w:r>
        <w:rPr>
          <w:rStyle w:val="VerbatimChar"/>
        </w:rPr>
        <w:t xml:space="preserve">0</w:t>
      </w:r>
      <w:r>
        <w:t xml:space="preserve">, fuera de banda, omisión silenciosa sin error.</w:t>
      </w:r>
    </w:p>
    <w:p>
      <w:pPr>
        <w:numPr>
          <w:ilvl w:val="0"/>
          <w:numId w:val="1089"/>
        </w:numPr>
        <w:pStyle w:val="Compact"/>
      </w:pPr>
      <w:r>
        <w:rPr>
          <w:b/>
        </w:rPr>
        <w:t xml:space="preserve">Qué ocurre si dos guías discrepan</w:t>
      </w:r>
      <w:r>
        <w:t xml:space="preserve">: No aplica / sin discrepancia documentada para esta regla.</w:t>
      </w:r>
    </w:p>
    <w:p>
      <w:pPr>
        <w:pStyle w:val="FirstParagraph"/>
      </w:pPr>
      <w:r>
        <w:rPr>
          <w:b/>
        </w:rPr>
        <w:t xml:space="preserve">Exclusiones deliberadas de esta capa completa, documentadas literalmente por el Dr. Ortega (10-ago-2026)</w:t>
      </w:r>
      <w:r>
        <w:t xml:space="preserve"> </w:t>
      </w:r>
      <w:r>
        <w:t xml:space="preserve">— no son huecos accidentales, sino decisiones registradas:</w:t>
      </w:r>
      <w:r>
        <w:t xml:space="preserve"> </w:t>
      </w:r>
      <w:r>
        <w:t xml:space="preserve">-</w:t>
      </w:r>
      <w:r>
        <w:t xml:space="preserve"> </w:t>
      </w:r>
      <w:r>
        <w:rPr>
          <w:b/>
        </w:rPr>
        <w:t xml:space="preserve">Presión arterial</w:t>
      </w:r>
      <w:r>
        <w:t xml:space="preserve">:</w:t>
      </w:r>
      <w:r>
        <w:t xml:space="preserve"> </w:t>
      </w:r>
      <w:r>
        <w:rPr>
          <w:i/>
        </w:rPr>
        <w:t xml:space="preserve">“</w:t>
      </w:r>
      <w:r>
        <w:rPr>
          <w:i/>
        </w:rPr>
        <w:t xml:space="preserve">lo que se registra es y ya, no podemos comprobar esa variación</w:t>
      </w:r>
      <w:r>
        <w:rPr>
          <w:i/>
        </w:rPr>
        <w:t xml:space="preserve">”</w:t>
      </w:r>
      <w:r>
        <w:t xml:space="preserve"> </w:t>
      </w:r>
      <w:r>
        <w:t xml:space="preserve">— permanece estricta, sin banda.</w:t>
      </w:r>
      <w:r>
        <w:t xml:space="preserve"> </w:t>
      </w:r>
      <w:r>
        <w:t xml:space="preserve">-</w:t>
      </w:r>
      <w:r>
        <w:t xml:space="preserve"> </w:t>
      </w:r>
      <w:r>
        <w:rPr>
          <w:b/>
        </w:rPr>
        <w:t xml:space="preserve">Glucosa/hipoglucemia</w:t>
      </w:r>
      <w:r>
        <w:t xml:space="preserve">: conserva el rango original (&lt;70 mg/dL) sin banda — la granularidad adicional ya existe como subclasificación por niveles ADA 1/2/3 (</w:t>
      </w:r>
      <w:r>
        <w:rPr>
          <w:rStyle w:val="VerbatimChar"/>
        </w:rPr>
        <w:t xml:space="preserve">getHypoglycemiaLevel</w:t>
      </w:r>
      <w:r>
        <w:t xml:space="preserve"> </w:t>
      </w:r>
      <w:r>
        <w:t xml:space="preserve">en</w:t>
      </w:r>
      <w:r>
        <w:t xml:space="preserve"> </w:t>
      </w:r>
      <w:r>
        <w:rPr>
          <w:rStyle w:val="VerbatimChar"/>
        </w:rPr>
        <w:t xml:space="preserve">calculations.js</w:t>
      </w:r>
      <w:r>
        <w:t xml:space="preserve">), no como</w:t>
      </w:r>
      <w:r>
        <w:t xml:space="preserve"> </w:t>
      </w:r>
      <w:r>
        <w:t xml:space="preserve">“</w:t>
      </w:r>
      <w:r>
        <w:t xml:space="preserve">zona límite</w:t>
      </w:r>
      <w:r>
        <w:t xml:space="preserve">”</w:t>
      </w:r>
      <w:r>
        <w:t xml:space="preserve">.</w:t>
      </w:r>
      <w:r>
        <w:t xml:space="preserve"> </w:t>
      </w:r>
      <w:r>
        <w:t xml:space="preserve">-</w:t>
      </w:r>
      <w:r>
        <w:t xml:space="preserve"> </w:t>
      </w:r>
      <w:r>
        <w:rPr>
          <w:b/>
        </w:rPr>
        <w:t xml:space="preserve">Potasio &gt;6.5 (redflags.js)</w:t>
      </w:r>
      <w:r>
        <w:t xml:space="preserve">: alerta de urgencia vital —</w:t>
      </w:r>
      <w:r>
        <w:t xml:space="preserve"> </w:t>
      </w:r>
      <w:r>
        <w:t xml:space="preserve">“</w:t>
      </w:r>
      <w:r>
        <w:t xml:space="preserve">debe ser inequívoca, no se le agrega un matiz de</w:t>
      </w:r>
      <w:r>
        <w:t xml:space="preserve"> </w:t>
      </w:r>
      <w:r>
        <w:t xml:space="preserve">‘</w:t>
      </w:r>
      <w:r>
        <w:t xml:space="preserve">quizás no es para tanto</w:t>
      </w:r>
      <w:r>
        <w:t xml:space="preserve">’</w:t>
      </w:r>
      <w:r>
        <w:t xml:space="preserve">”</w:t>
      </w:r>
      <w:r>
        <w:t xml:space="preserve">.</w:t>
      </w:r>
    </w:p>
    <w:p>
      <w:r>
        <w:pict>
          <v:rect style="width:0;height:1.5pt" o:hralign="center" o:hrstd="t" o:hr="t"/>
        </w:pict>
      </w:r>
    </w:p>
    <w:p>
      <w:pPr>
        <w:pStyle w:val="Heading2"/>
      </w:pPr>
      <w:bookmarkStart w:id="122" w:name="X87311a9f5e06f92731aecf7c134504526d3ada2"/>
      <w:r>
        <w:t xml:space="preserve">3. Individualización y clasificación de riesgo —</w:t>
      </w:r>
      <w:r>
        <w:t xml:space="preserve"> </w:t>
      </w:r>
      <w:r>
        <w:rPr>
          <w:rStyle w:val="VerbatimChar"/>
        </w:rPr>
        <w:t xml:space="preserve">js/individualization.js</w:t>
      </w:r>
      <w:bookmarkEnd w:id="122"/>
    </w:p>
    <w:p>
      <w:pPr>
        <w:pStyle w:val="FirstParagraph"/>
      </w:pPr>
      <w:r>
        <w:t xml:space="preserve">Este módulo NO calcula valores crudos (eso vive en</w:t>
      </w:r>
      <w:r>
        <w:t xml:space="preserve"> </w:t>
      </w:r>
      <w:r>
        <w:rPr>
          <w:rStyle w:val="VerbatimChar"/>
        </w:rPr>
        <w:t xml:space="preserve">calculations.js</w:t>
      </w:r>
      <w:r>
        <w:t xml:space="preserve">): traduce valores ya calculados a zonas de riesgo codificadas por color, según las guías citadas en</w:t>
      </w:r>
      <w:r>
        <w:t xml:space="preserve"> </w:t>
      </w:r>
      <w:r>
        <w:rPr>
          <w:rStyle w:val="VerbatimChar"/>
        </w:rPr>
        <w:t xml:space="preserve">Criterios_Individualizacion_Dashboard.md</w:t>
      </w:r>
      <w:r>
        <w:t xml:space="preserve">.</w:t>
      </w:r>
    </w:p>
    <w:p>
      <w:pPr>
        <w:pStyle w:val="Heading3"/>
      </w:pPr>
      <w:bookmarkStart w:id="123" w:name="X11707396adb6f6029aa514e0e7147cf51714410"/>
      <w:r>
        <w:t xml:space="preserve">3.1 classifyEGFR — Estadificación renal KDIGO 2024 (eGFR × uACR)</w:t>
      </w:r>
      <w:bookmarkEnd w:id="123"/>
    </w:p>
    <w:p>
      <w:pPr>
        <w:numPr>
          <w:ilvl w:val="0"/>
          <w:numId w:val="1090"/>
        </w:numPr>
        <w:pStyle w:val="Compact"/>
      </w:pPr>
      <w:r>
        <w:rPr>
          <w:b/>
        </w:rPr>
        <w:t xml:space="preserve">Qué hace</w:t>
      </w:r>
      <w:r>
        <w:t xml:space="preserve">: Combina la categoría G (eGFR, G1-G5) con la categoría A (uACR, A1-A3) en un mapa de calor de 15 combinaciones que asigna una zona de color (verde/amarillo/naranja/rojo). Si no hay uACR, cae a un fallback simplificado solo por eGFR (G1-G5).</w:t>
      </w:r>
    </w:p>
    <w:p>
      <w:pPr>
        <w:numPr>
          <w:ilvl w:val="0"/>
          <w:numId w:val="1090"/>
        </w:numPr>
        <w:pStyle w:val="Compact"/>
      </w:pPr>
      <w:r>
        <w:rPr>
          <w:b/>
        </w:rPr>
        <w:t xml:space="preserve">Por qué</w:t>
      </w:r>
      <w:r>
        <w:t xml:space="preserve">: El riesgo renal real depende de la combinación eGFR+albuminuria, no solo del eGFR aislado — es el modelo de estadificación de riesgo estándar de la nefrología moderna.</w:t>
      </w:r>
    </w:p>
    <w:p>
      <w:pPr>
        <w:numPr>
          <w:ilvl w:val="0"/>
          <w:numId w:val="1090"/>
        </w:numPr>
        <w:pStyle w:val="Compact"/>
      </w:pPr>
      <w:r>
        <w:rPr>
          <w:b/>
        </w:rPr>
        <w:t xml:space="preserve">Fuente</w:t>
      </w:r>
      <w:r>
        <w:t xml:space="preserve">: KDIGO 2024 (</w:t>
      </w:r>
      <w:r>
        <w:t xml:space="preserve">“</w:t>
      </w:r>
      <w:r>
        <w:t xml:space="preserve">Mapa de calor KDIGO 2024</w:t>
      </w:r>
      <w:r>
        <w:t xml:space="preserve">”</w:t>
      </w:r>
      <w:r>
        <w:t xml:space="preserve"> </w:t>
      </w:r>
      <w:r>
        <w:t xml:space="preserve">citado explícitamente en el</w:t>
      </w:r>
      <w:r>
        <w:t xml:space="preserve"> </w:t>
      </w:r>
      <w:r>
        <w:rPr>
          <w:rStyle w:val="VerbatimChar"/>
        </w:rPr>
        <w:t xml:space="preserve">detalle</w:t>
      </w:r>
      <w:r>
        <w:t xml:space="preserve"> </w:t>
      </w:r>
      <w:r>
        <w:t xml:space="preserve">que se muestra al médico).</w:t>
      </w:r>
    </w:p>
    <w:p>
      <w:pPr>
        <w:numPr>
          <w:ilvl w:val="0"/>
          <w:numId w:val="1090"/>
        </w:numPr>
        <w:pStyle w:val="Compact"/>
      </w:pPr>
      <w:r>
        <w:rPr>
          <w:b/>
        </w:rPr>
        <w:t xml:space="preserve">Versión de la fuente</w:t>
      </w:r>
      <w:r>
        <w:t xml:space="preserve">: KDIGO 2024 (año especificado en el propio código).</w:t>
      </w:r>
    </w:p>
    <w:p>
      <w:pPr>
        <w:numPr>
          <w:ilvl w:val="0"/>
          <w:numId w:val="1090"/>
        </w:numPr>
        <w:pStyle w:val="Compact"/>
      </w:pPr>
      <w:r>
        <w:rPr>
          <w:b/>
        </w:rPr>
        <w:t xml:space="preserve">Fecha de revisión</w:t>
      </w:r>
      <w:r>
        <w:t xml:space="preserve">: Sin fecha registrada de revisión específica para este bloque más allá de la fecha general del archivo.</w:t>
      </w:r>
    </w:p>
    <w:p>
      <w:pPr>
        <w:numPr>
          <w:ilvl w:val="0"/>
          <w:numId w:val="1090"/>
        </w:numPr>
        <w:pStyle w:val="Compact"/>
      </w:pPr>
      <w:r>
        <w:rPr>
          <w:b/>
        </w:rPr>
        <w:t xml:space="preserve">Quién revisó</w:t>
      </w:r>
      <w:r>
        <w:t xml:space="preserve">: No especificado para esta función en particular (el archivo no atribuye esta clasificación puntual al Dr. Ortega con fecha, a diferencia de otras secciones del mismo archivo que sí lo hacen).</w:t>
      </w:r>
    </w:p>
    <w:p>
      <w:pPr>
        <w:numPr>
          <w:ilvl w:val="0"/>
          <w:numId w:val="1090"/>
        </w:numPr>
        <w:pStyle w:val="Compact"/>
      </w:pPr>
      <w:r>
        <w:rPr>
          <w:b/>
        </w:rPr>
        <w:t xml:space="preserve">Qué casos la validan</w:t>
      </w:r>
      <w:r>
        <w:t xml:space="preserve">: Sin caso de prueba identificado con el nombre</w:t>
      </w:r>
      <w:r>
        <w:t xml:space="preserve"> </w:t>
      </w:r>
      <w:r>
        <w:rPr>
          <w:rStyle w:val="VerbatimChar"/>
        </w:rPr>
        <w:t xml:space="preserve">classifyEGFR</w:t>
      </w:r>
      <w:r>
        <w:t xml:space="preserve"> </w:t>
      </w:r>
      <w:r>
        <w:t xml:space="preserve">en</w:t>
      </w:r>
      <w:r>
        <w:t xml:space="preserve"> </w:t>
      </w:r>
      <w:r>
        <w:rPr>
          <w:rStyle w:val="VerbatimChar"/>
        </w:rPr>
        <w:t xml:space="preserve">tests/*.test.mjs</w:t>
      </w:r>
      <w:r>
        <w:t xml:space="preserve"> </w:t>
      </w:r>
      <w:r>
        <w:t xml:space="preserve">(no se encontró ningún</w:t>
      </w:r>
      <w:r>
        <w:t xml:space="preserve"> </w:t>
      </w:r>
      <w:r>
        <w:rPr>
          <w:rStyle w:val="VerbatimChar"/>
        </w:rPr>
        <w:t xml:space="preserve">import</w:t>
      </w:r>
      <w:r>
        <w:t xml:space="preserve">/llamada directa a esta función en los archivos de test revisados). El eGFR sí se prueba indirectamente en</w:t>
      </w:r>
      <w:r>
        <w:t xml:space="preserve"> </w:t>
      </w:r>
      <w:r>
        <w:rPr>
          <w:rStyle w:val="VerbatimChar"/>
        </w:rPr>
        <w:t xml:space="preserve">boundary-alerts.test.mjs</w:t>
      </w:r>
      <w:r>
        <w:t xml:space="preserve">, pero esa prueba cubre</w:t>
      </w:r>
      <w:r>
        <w:t xml:space="preserve"> </w:t>
      </w:r>
      <w:r>
        <w:rPr>
          <w:rStyle w:val="VerbatimChar"/>
        </w:rPr>
        <w:t xml:space="preserve">calcEGFR</w:t>
      </w:r>
      <w:r>
        <w:t xml:space="preserve">/</w:t>
      </w:r>
      <w:r>
        <w:rPr>
          <w:rStyle w:val="VerbatimChar"/>
        </w:rPr>
        <w:t xml:space="preserve">evaluateBoundaryZones</w:t>
      </w:r>
      <w:r>
        <w:t xml:space="preserve">, no la clasificación de zona KDIGO en sí.</w:t>
      </w:r>
    </w:p>
    <w:p>
      <w:pPr>
        <w:numPr>
          <w:ilvl w:val="0"/>
          <w:numId w:val="1090"/>
        </w:numPr>
        <w:pStyle w:val="Compact"/>
      </w:pPr>
      <w:r>
        <w:rPr>
          <w:b/>
        </w:rPr>
        <w:t xml:space="preserve">Qué excepciones tiene</w:t>
      </w:r>
      <w:r>
        <w:t xml:space="preserve">: Si eGFR es inválido/vacío, regresa zona</w:t>
      </w:r>
      <w:r>
        <w:t xml:space="preserve"> </w:t>
      </w:r>
      <w:r>
        <w:t xml:space="preserve">“</w:t>
      </w:r>
      <w:r>
        <w:t xml:space="preserve">gris</w:t>
      </w:r>
      <w:r>
        <w:t xml:space="preserve">”</w:t>
      </w:r>
      <w:r>
        <w:t xml:space="preserve"> </w:t>
      </w:r>
      <w:r>
        <w:t xml:space="preserve">con texto</w:t>
      </w:r>
      <w:r>
        <w:t xml:space="preserve"> </w:t>
      </w:r>
      <w:r>
        <w:t xml:space="preserve">“</w:t>
      </w:r>
      <w:r>
        <w:t xml:space="preserve">Sin dato</w:t>
      </w:r>
      <w:r>
        <w:t xml:space="preserve">”</w:t>
      </w:r>
      <w:r>
        <w:t xml:space="preserve"> </w:t>
      </w:r>
      <w:r>
        <w:t xml:space="preserve">en vez de intentar clasificar.</w:t>
      </w:r>
    </w:p>
    <w:p>
      <w:pPr>
        <w:numPr>
          <w:ilvl w:val="0"/>
          <w:numId w:val="1090"/>
        </w:numPr>
        <w:pStyle w:val="Compact"/>
      </w:pPr>
      <w:r>
        <w:rPr>
          <w:b/>
        </w:rPr>
        <w:t xml:space="preserve">Qué ocurre si faltan datos</w:t>
      </w:r>
      <w:r>
        <w:t xml:space="preserve">: Comportamiento explícito y visible (no silencioso): si eGFR falta, regresa</w:t>
      </w:r>
      <w:r>
        <w:t xml:space="preserve"> </w:t>
      </w:r>
      <w:r>
        <w:rPr>
          <w:rStyle w:val="VerbatimChar"/>
        </w:rPr>
        <w:t xml:space="preserve">{ valor: null, zona: "gris", texto: "Sin dato", detalle: "Requiere creatinina, edad y sexo para calcular eGFR (CKD-EPI 2021)." }</w:t>
      </w:r>
      <w:r>
        <w:t xml:space="preserve">. Si eGFR existe pero falta uACR, usa el fallback simplificado G1-G5 y lo declara en el</w:t>
      </w:r>
      <w:r>
        <w:t xml:space="preserve"> </w:t>
      </w:r>
      <w:r>
        <w:rPr>
          <w:rStyle w:val="VerbatimChar"/>
        </w:rPr>
        <w:t xml:space="preserve">detalle</w:t>
      </w:r>
      <w:r>
        <w:t xml:space="preserve"> </w:t>
      </w:r>
      <w:r>
        <w:t xml:space="preserve">(</w:t>
      </w:r>
      <w:r>
        <w:t xml:space="preserve">“</w:t>
      </w:r>
      <w:r>
        <w:t xml:space="preserve">sin UACR disponible; el mapa de calor completo requiere albuminuria</w:t>
      </w:r>
      <w:r>
        <w:t xml:space="preserve">”</w:t>
      </w:r>
      <w:r>
        <w:t xml:space="preserve">) — es decir, degrada la precisión de forma visible al usuario, no silenciosa.</w:t>
      </w:r>
    </w:p>
    <w:p>
      <w:pPr>
        <w:numPr>
          <w:ilvl w:val="0"/>
          <w:numId w:val="1090"/>
        </w:numPr>
        <w:pStyle w:val="Compact"/>
      </w:pPr>
      <w:r>
        <w:rPr>
          <w:b/>
        </w:rPr>
        <w:t xml:space="preserve">Qué ocurre si dos guías discrepan</w:t>
      </w:r>
      <w:r>
        <w:t xml:space="preserve">: No aplica / sin discrepancia documentada para esta regla.</w:t>
      </w:r>
    </w:p>
    <w:p>
      <w:pPr>
        <w:pStyle w:val="Heading3"/>
      </w:pPr>
      <w:bookmarkStart w:id="124" w:name="X6d0ee15bc5bdd5911e809c4eff54adb093af3dc"/>
      <w:r>
        <w:t xml:space="preserve">3.2 classifyBP — Clasificación poblacional de presión arterial (AHA/ACC 2025, 5 categorías)</w:t>
      </w:r>
      <w:bookmarkEnd w:id="124"/>
    </w:p>
    <w:p>
      <w:pPr>
        <w:numPr>
          <w:ilvl w:val="0"/>
          <w:numId w:val="1091"/>
        </w:numPr>
        <w:pStyle w:val="Compact"/>
      </w:pPr>
      <w:r>
        <w:rPr>
          <w:b/>
        </w:rPr>
        <w:t xml:space="preserve">Qué hace</w:t>
      </w:r>
      <w:r>
        <w:t xml:space="preserve">: Clasifica TAS/TAD en 5 categorías (Normal, Elevada, Etapa 1, Etapa 2, Crisis Hipertensiva) con color asociado.</w:t>
      </w:r>
    </w:p>
    <w:p>
      <w:pPr>
        <w:numPr>
          <w:ilvl w:val="0"/>
          <w:numId w:val="1091"/>
        </w:numPr>
        <w:pStyle w:val="Compact"/>
      </w:pPr>
      <w:r>
        <w:rPr>
          <w:b/>
        </w:rPr>
        <w:t xml:space="preserve">Por qué</w:t>
      </w:r>
      <w:r>
        <w:t xml:space="preserve">: Estandarizar la interpretación de PA según la guía poblacional vigente, independiente de la meta individualizada del paciente (para eso existe</w:t>
      </w:r>
      <w:r>
        <w:t xml:space="preserve"> </w:t>
      </w:r>
      <w:r>
        <w:rPr>
          <w:rStyle w:val="VerbatimChar"/>
        </w:rPr>
        <w:t xml:space="preserve">classifyBPVsGoal</w:t>
      </w:r>
      <w:r>
        <w:t xml:space="preserve">, función distinta).</w:t>
      </w:r>
    </w:p>
    <w:p>
      <w:pPr>
        <w:numPr>
          <w:ilvl w:val="0"/>
          <w:numId w:val="1091"/>
        </w:numPr>
        <w:pStyle w:val="Compact"/>
      </w:pPr>
      <w:r>
        <w:rPr>
          <w:b/>
        </w:rPr>
        <w:t xml:space="preserve">Fuente</w:t>
      </w:r>
      <w:r>
        <w:t xml:space="preserve">: AHA/ACC 2025.</w:t>
      </w:r>
    </w:p>
    <w:p>
      <w:pPr>
        <w:numPr>
          <w:ilvl w:val="0"/>
          <w:numId w:val="1091"/>
        </w:numPr>
        <w:pStyle w:val="Compact"/>
      </w:pPr>
      <w:r>
        <w:rPr>
          <w:b/>
        </w:rPr>
        <w:t xml:space="preserve">Versión de la fuente</w:t>
      </w:r>
      <w:r>
        <w:t xml:space="preserve">: AHA/ACC 2025 (especificada en el código:</w:t>
      </w:r>
      <w:r>
        <w:t xml:space="preserve"> </w:t>
      </w:r>
      <w:r>
        <w:t xml:space="preserve">“</w:t>
      </w:r>
      <w:r>
        <w:t xml:space="preserve">Normal &lt;120/&lt;80, Elevada 120-129/&lt;80, Etapa 1 130-139/80-89, Etapa 2 ≥140/≥90, Crisis ≥180/≥120</w:t>
      </w:r>
      <w:r>
        <w:t xml:space="preserve">”</w:t>
      </w:r>
      <w:r>
        <w:t xml:space="preserve">).</w:t>
      </w:r>
    </w:p>
    <w:p>
      <w:pPr>
        <w:numPr>
          <w:ilvl w:val="0"/>
          <w:numId w:val="1091"/>
        </w:numPr>
        <w:pStyle w:val="Compact"/>
      </w:pPr>
      <w:r>
        <w:rPr>
          <w:b/>
        </w:rPr>
        <w:t xml:space="preserve">Fecha de revisión</w:t>
      </w:r>
      <w:r>
        <w:t xml:space="preserve">: Sin fecha registrada específica para esta función (más allá de la fecha general del archivo).</w:t>
      </w:r>
    </w:p>
    <w:p>
      <w:pPr>
        <w:numPr>
          <w:ilvl w:val="0"/>
          <w:numId w:val="1091"/>
        </w:numPr>
        <w:pStyle w:val="Compact"/>
      </w:pPr>
      <w:r>
        <w:rPr>
          <w:b/>
        </w:rPr>
        <w:t xml:space="preserve">Quién revisó</w:t>
      </w:r>
      <w:r>
        <w:t xml:space="preserve">: No especificado para esta función en particular.</w:t>
      </w:r>
    </w:p>
    <w:p>
      <w:pPr>
        <w:numPr>
          <w:ilvl w:val="0"/>
          <w:numId w:val="1091"/>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(línea 246,</w:t>
      </w:r>
      <w:r>
        <w:t xml:space="preserve"> </w:t>
      </w:r>
      <w:r>
        <w:rPr>
          <w:rStyle w:val="VerbatimChar"/>
        </w:rPr>
        <w:t xml:space="preserve">classifyBP(132, 84)</w:t>
      </w:r>
      <w:r>
        <w:t xml:space="preserve">) y</w:t>
      </w:r>
      <w:r>
        <w:t xml:space="preserve"> </w:t>
      </w:r>
      <w:r>
        <w:rPr>
          <w:rStyle w:val="VerbatimChar"/>
        </w:rPr>
        <w:t xml:space="preserve">tests/multimorbid-cases.test.mjs</w:t>
      </w:r>
      <w:r>
        <w:t xml:space="preserve"> </w:t>
      </w:r>
      <w:r>
        <w:t xml:space="preserve">(línea 78,</w:t>
      </w:r>
      <w:r>
        <w:t xml:space="preserve"> </w:t>
      </w:r>
      <w:r>
        <w:rPr>
          <w:rStyle w:val="VerbatimChar"/>
        </w:rPr>
        <w:t xml:space="preserve">classifyBP(p.tas, p.tad)</w:t>
      </w:r>
      <w:r>
        <w:t xml:space="preserve">).</w:t>
      </w:r>
    </w:p>
    <w:p>
      <w:pPr>
        <w:numPr>
          <w:ilvl w:val="0"/>
          <w:numId w:val="1091"/>
        </w:numPr>
        <w:pStyle w:val="Compact"/>
      </w:pPr>
      <w:r>
        <w:rPr>
          <w:b/>
        </w:rPr>
        <w:t xml:space="preserve">Qué excepciones tiene</w:t>
      </w:r>
      <w:r>
        <w:t xml:space="preserve">: Nota explícita en</w:t>
      </w:r>
      <w:r>
        <w:t xml:space="preserve"> </w:t>
      </w:r>
      <w:r>
        <w:rPr>
          <w:rStyle w:val="VerbatimChar"/>
        </w:rPr>
        <w:t xml:space="preserve">classifyBPVsGoal</w:t>
      </w:r>
      <w:r>
        <w:t xml:space="preserve"> </w:t>
      </w:r>
      <w:r>
        <w:t xml:space="preserve">(sección 3.11): esta función usa deliberadamente cortes poblacionales fijos,</w:t>
      </w:r>
      <w:r>
        <w:t xml:space="preserve"> </w:t>
      </w:r>
      <w:r>
        <w:t xml:space="preserve">“</w:t>
      </w:r>
      <w:r>
        <w:t xml:space="preserve">a propósito NO reutiliza classifyBP</w:t>
      </w:r>
      <w:r>
        <w:t xml:space="preserve">”</w:t>
      </w:r>
      <w:r>
        <w:t xml:space="preserve"> </w:t>
      </w:r>
      <w:r>
        <w:t xml:space="preserve">la función de meta individualizada, para no mezclar dos criterios distintos (poblacional vs. individualizado) bajo el mismo cálculo.</w:t>
      </w:r>
    </w:p>
    <w:p>
      <w:pPr>
        <w:numPr>
          <w:ilvl w:val="0"/>
          <w:numId w:val="1091"/>
        </w:numPr>
        <w:pStyle w:val="Compact"/>
      </w:pPr>
      <w:r>
        <w:rPr>
          <w:b/>
        </w:rPr>
        <w:t xml:space="preserve">Qué ocurre si faltan datos</w:t>
      </w:r>
      <w:r>
        <w:t xml:space="preserve">: Si TAS o TAD faltan/son inválidos, regresa explícitamente</w:t>
      </w:r>
      <w:r>
        <w:t xml:space="preserve"> </w:t>
      </w:r>
      <w:r>
        <w:rPr>
          <w:rStyle w:val="VerbatimChar"/>
        </w:rPr>
        <w:t xml:space="preserve">{ valor: null, zona: "gris", texto: "Sin dato" }</w:t>
      </w:r>
      <w:r>
        <w:t xml:space="preserve"> </w:t>
      </w:r>
      <w:r>
        <w:t xml:space="preserve">— comportamiento visible, no silencioso.</w:t>
      </w:r>
    </w:p>
    <w:p>
      <w:pPr>
        <w:numPr>
          <w:ilvl w:val="0"/>
          <w:numId w:val="1091"/>
        </w:numPr>
        <w:pStyle w:val="Compact"/>
      </w:pPr>
      <w:r>
        <w:rPr>
          <w:b/>
        </w:rPr>
        <w:t xml:space="preserve">Qué ocurre si dos guías discrepan</w:t>
      </w:r>
      <w:r>
        <w:t xml:space="preserve">: No aplica / sin discrepancia documentada para esta regla.</w:t>
      </w:r>
    </w:p>
    <w:p>
      <w:pPr>
        <w:pStyle w:val="Heading3"/>
      </w:pPr>
      <w:bookmarkStart w:id="125" w:name="X35904c40b572d35026aa8056fa99baa7a763936"/>
      <w:r>
        <w:t xml:space="preserve">3.3 classifyFIB4 — Riesgo hepático (MASLD Consensus 2026, algoritmo de 2 pasos)</w:t>
      </w:r>
      <w:bookmarkEnd w:id="125"/>
    </w:p>
    <w:p>
      <w:pPr>
        <w:numPr>
          <w:ilvl w:val="0"/>
          <w:numId w:val="1092"/>
        </w:numPr>
        <w:pStyle w:val="Compact"/>
      </w:pPr>
      <w:r>
        <w:rPr>
          <w:b/>
        </w:rPr>
        <w:t xml:space="preserve">Qué hace</w:t>
      </w:r>
      <w:r>
        <w:t xml:space="preserve">: Calcula si el índice FIB-4 está por debajo/encima de un corte ajustado por edad (&lt;65 años: 1.3; ≥65 años: 2.0). Si está por encima y no hay VCTE-LSM disponible, marca</w:t>
      </w:r>
      <w:r>
        <w:t xml:space="preserve"> </w:t>
      </w:r>
      <w:r>
        <w:t xml:space="preserve">“</w:t>
      </w:r>
      <w:r>
        <w:t xml:space="preserve">Indeterminado — Requiere VCTE</w:t>
      </w:r>
      <w:r>
        <w:t xml:space="preserve">”</w:t>
      </w:r>
      <w:r>
        <w:t xml:space="preserve"> </w:t>
      </w:r>
      <w:r>
        <w:t xml:space="preserve">(amarillo) en vez de asumir riesgo alto. Si hay VCTE-LSM ≥8 kPa, confirma riesgo alto (rojo); si &lt;8 kPa,</w:t>
      </w:r>
      <w:r>
        <w:t xml:space="preserve"> </w:t>
      </w:r>
      <w:r>
        <w:t xml:space="preserve">“</w:t>
      </w:r>
      <w:r>
        <w:t xml:space="preserve">Riesgo Bajo-Intermedio</w:t>
      </w:r>
      <w:r>
        <w:t xml:space="preserve">”</w:t>
      </w:r>
      <w:r>
        <w:t xml:space="preserve"> </w:t>
      </w:r>
      <w:r>
        <w:t xml:space="preserve">(amarillo).</w:t>
      </w:r>
    </w:p>
    <w:p>
      <w:pPr>
        <w:numPr>
          <w:ilvl w:val="0"/>
          <w:numId w:val="1092"/>
        </w:numPr>
        <w:pStyle w:val="Compact"/>
      </w:pPr>
      <w:r>
        <w:rPr>
          <w:b/>
        </w:rPr>
        <w:t xml:space="preserve">Por qué</w:t>
      </w:r>
      <w:r>
        <w:t xml:space="preserve">: El consenso MASLD 2026 exige una segunda prueba (VCTE) antes de confirmar fibrosis avanzada — el motor está diseñado explícitamente para NO sobre-declarar</w:t>
      </w:r>
      <w:r>
        <w:t xml:space="preserve"> </w:t>
      </w:r>
      <w:r>
        <w:t xml:space="preserve">“</w:t>
      </w:r>
      <w:r>
        <w:t xml:space="preserve">riesgo alto</w:t>
      </w:r>
      <w:r>
        <w:t xml:space="preserve">”</w:t>
      </w:r>
      <w:r>
        <w:t xml:space="preserve"> </w:t>
      </w:r>
      <w:r>
        <w:t xml:space="preserve">solo con FIB-4 elevado sin la prueba confirmatoria.</w:t>
      </w:r>
    </w:p>
    <w:p>
      <w:pPr>
        <w:numPr>
          <w:ilvl w:val="0"/>
          <w:numId w:val="1092"/>
        </w:numPr>
        <w:pStyle w:val="Compact"/>
      </w:pPr>
      <w:r>
        <w:rPr>
          <w:b/>
        </w:rPr>
        <w:t xml:space="preserve">Fuente</w:t>
      </w:r>
      <w:r>
        <w:t xml:space="preserve">: MASLD Consensus 2026.</w:t>
      </w:r>
    </w:p>
    <w:p>
      <w:pPr>
        <w:numPr>
          <w:ilvl w:val="0"/>
          <w:numId w:val="1092"/>
        </w:numPr>
        <w:pStyle w:val="Compact"/>
      </w:pPr>
      <w:r>
        <w:rPr>
          <w:b/>
        </w:rPr>
        <w:t xml:space="preserve">Versión de la fuente</w:t>
      </w:r>
      <w:r>
        <w:t xml:space="preserve">: MASLD Consensus 2026 (especificada en el código).</w:t>
      </w:r>
    </w:p>
    <w:p>
      <w:pPr>
        <w:numPr>
          <w:ilvl w:val="0"/>
          <w:numId w:val="1092"/>
        </w:numPr>
        <w:pStyle w:val="Compact"/>
      </w:pPr>
      <w:r>
        <w:rPr>
          <w:b/>
        </w:rPr>
        <w:t xml:space="preserve">Fecha de revisión</w:t>
      </w:r>
      <w:r>
        <w:t xml:space="preserve">: Sin fecha registrada específica para esta función.</w:t>
      </w:r>
    </w:p>
    <w:p>
      <w:pPr>
        <w:numPr>
          <w:ilvl w:val="0"/>
          <w:numId w:val="1092"/>
        </w:numPr>
        <w:pStyle w:val="Compact"/>
      </w:pPr>
      <w:r>
        <w:rPr>
          <w:b/>
        </w:rPr>
        <w:t xml:space="preserve">Quién revisó</w:t>
      </w:r>
      <w:r>
        <w:t xml:space="preserve">: No especificado para esta función en particular.</w:t>
      </w:r>
    </w:p>
    <w:p>
      <w:pPr>
        <w:numPr>
          <w:ilvl w:val="0"/>
          <w:numId w:val="1092"/>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(líneas 238, 364) y</w:t>
      </w:r>
      <w:r>
        <w:t xml:space="preserve"> </w:t>
      </w:r>
      <w:r>
        <w:rPr>
          <w:rStyle w:val="VerbatimChar"/>
        </w:rPr>
        <w:t xml:space="preserve">tests/multimorbid-cases.test.mjs</w:t>
      </w:r>
      <w:r>
        <w:t xml:space="preserve"> </w:t>
      </w:r>
      <w:r>
        <w:t xml:space="preserve">(línea 77).</w:t>
      </w:r>
    </w:p>
    <w:p>
      <w:pPr>
        <w:numPr>
          <w:ilvl w:val="0"/>
          <w:numId w:val="1092"/>
        </w:numPr>
        <w:pStyle w:val="Compact"/>
      </w:pPr>
      <w:r>
        <w:rPr>
          <w:b/>
        </w:rPr>
        <w:t xml:space="preserve">Qué excepciones tiene</w:t>
      </w:r>
      <w:r>
        <w:t xml:space="preserve">: El corte por edad (1.3 vs. 2.0) es en sí mismo una excepción documentada del algoritmo estándar.</w:t>
      </w:r>
    </w:p>
    <w:p>
      <w:pPr>
        <w:numPr>
          <w:ilvl w:val="0"/>
          <w:numId w:val="1092"/>
        </w:numPr>
        <w:pStyle w:val="Compact"/>
      </w:pPr>
      <w:r>
        <w:rPr>
          <w:b/>
        </w:rPr>
        <w:t xml:space="preserve">Qué ocurre si faltan datos</w:t>
      </w:r>
      <w:r>
        <w:t xml:space="preserve">: Sin FIB-4, regresa explícitamente zona gris</w:t>
      </w:r>
      <w:r>
        <w:t xml:space="preserve"> </w:t>
      </w:r>
      <w:r>
        <w:t xml:space="preserve">“</w:t>
      </w:r>
      <w:r>
        <w:t xml:space="preserve">Sin dato</w:t>
      </w:r>
      <w:r>
        <w:t xml:space="preserve">”</w:t>
      </w:r>
      <w:r>
        <w:t xml:space="preserve"> </w:t>
      </w:r>
      <w:r>
        <w:t xml:space="preserve">(</w:t>
      </w:r>
      <w:r>
        <w:t xml:space="preserve">“</w:t>
      </w:r>
      <w:r>
        <w:t xml:space="preserve">Requiere edad, AST, ALT y plaquetas</w:t>
      </w:r>
      <w:r>
        <w:t xml:space="preserve">”</w:t>
      </w:r>
      <w:r>
        <w:t xml:space="preserve">). Sin VCTE-LSM (cuando FIB-4 ya está elevado), NO asume</w:t>
      </w:r>
      <w:r>
        <w:t xml:space="preserve"> </w:t>
      </w:r>
      <w:r>
        <w:t xml:space="preserve">“</w:t>
      </w:r>
      <w:r>
        <w:t xml:space="preserve">riesgo alto</w:t>
      </w:r>
      <w:r>
        <w:t xml:space="preserve">”</w:t>
      </w:r>
      <w:r>
        <w:t xml:space="preserve"> </w:t>
      </w:r>
      <w:r>
        <w:t xml:space="preserve">ni</w:t>
      </w:r>
      <w:r>
        <w:t xml:space="preserve"> </w:t>
      </w:r>
      <w:r>
        <w:t xml:space="preserve">“</w:t>
      </w:r>
      <w:r>
        <w:t xml:space="preserve">riesgo bajo</w:t>
      </w:r>
      <w:r>
        <w:t xml:space="preserve">”</w:t>
      </w:r>
      <w:r>
        <w:t xml:space="preserve"> </w:t>
      </w:r>
      <w:r>
        <w:t xml:space="preserve">— cae en una categoría intermedia explícita (</w:t>
      </w:r>
      <w:r>
        <w:t xml:space="preserve">“</w:t>
      </w:r>
      <w:r>
        <w:t xml:space="preserve">Indeterminado — Requiere VCTE</w:t>
      </w:r>
      <w:r>
        <w:t xml:space="preserve">”</w:t>
      </w:r>
      <w:r>
        <w:t xml:space="preserve">) en vez de degradar silenciosamente hacia un extremo. Este es uno de los manejos de dato faltante más seguros de todo el motor.</w:t>
      </w:r>
    </w:p>
    <w:p>
      <w:pPr>
        <w:numPr>
          <w:ilvl w:val="0"/>
          <w:numId w:val="1092"/>
        </w:numPr>
        <w:pStyle w:val="Compact"/>
      </w:pPr>
      <w:r>
        <w:rPr>
          <w:b/>
        </w:rPr>
        <w:t xml:space="preserve">Qué ocurre si dos guías discrepan</w:t>
      </w:r>
      <w:r>
        <w:t xml:space="preserve">: No aplica / sin discrepancia documentada para esta regla.</w:t>
      </w:r>
    </w:p>
    <w:p>
      <w:pPr>
        <w:pStyle w:val="Heading3"/>
      </w:pPr>
      <w:bookmarkStart w:id="126" w:name="X607d1192a7c9c0a7cfc96ccadf80710c0e044bd"/>
      <w:r>
        <w:t xml:space="preserve">3.4 classifyASCVD / getCardiovascularSummary — Riesgo cardiovascular (PREVENT, AHA)</w:t>
      </w:r>
      <w:bookmarkEnd w:id="126"/>
    </w:p>
    <w:p>
      <w:pPr>
        <w:numPr>
          <w:ilvl w:val="0"/>
          <w:numId w:val="1093"/>
        </w:numPr>
        <w:pStyle w:val="Compact"/>
      </w:pPr>
      <w:r>
        <w:rPr>
          <w:b/>
        </w:rPr>
        <w:t xml:space="preserve">Qué hace</w:t>
      </w:r>
      <w:r>
        <w:t xml:space="preserve">:</w:t>
      </w:r>
      <w:r>
        <w:t xml:space="preserve"> </w:t>
      </w:r>
      <w:r>
        <w:rPr>
          <w:rStyle w:val="VerbatimChar"/>
        </w:rPr>
        <w:t xml:space="preserve">getCardiovascularSummary</w:t>
      </w:r>
      <w:r>
        <w:t xml:space="preserve"> </w:t>
      </w:r>
      <w:r>
        <w:t xml:space="preserve">decide el árbol de decisión: si el paciente ya tiene ASCVD establecida, omite PREVENT (automáticamente</w:t>
      </w:r>
      <w:r>
        <w:t xml:space="preserve"> </w:t>
      </w:r>
      <w:r>
        <w:t xml:space="preserve">“</w:t>
      </w:r>
      <w:r>
        <w:t xml:space="preserve">Muy Alto Riesgo</w:t>
      </w:r>
      <w:r>
        <w:t xml:space="preserve">”</w:t>
      </w:r>
      <w:r>
        <w:t xml:space="preserve">); si tiene 30-79 años sin ASCVD, usa</w:t>
      </w:r>
      <w:r>
        <w:t xml:space="preserve"> </w:t>
      </w:r>
      <w:r>
        <w:rPr>
          <w:rStyle w:val="VerbatimChar"/>
        </w:rPr>
        <w:t xml:space="preserve">classifyASCVD</w:t>
      </w:r>
      <w:r>
        <w:t xml:space="preserve"> </w:t>
      </w:r>
      <w:r>
        <w:t xml:space="preserve">sobre el % PREVENT capturado (4 categorías: Bajo &lt;3%, Limítrofe 3-&lt;5%, Intermedio 5-&lt;10%, Alto ≥10%); fuera de ese rango de edad, marca</w:t>
      </w:r>
      <w:r>
        <w:t xml:space="preserve"> </w:t>
      </w:r>
      <w:r>
        <w:t xml:space="preserve">“</w:t>
      </w:r>
      <w:r>
        <w:t xml:space="preserve">N/A</w:t>
      </w:r>
      <w:r>
        <w:t xml:space="preserve">”</w:t>
      </w:r>
      <w:r>
        <w:t xml:space="preserve">.</w:t>
      </w:r>
    </w:p>
    <w:p>
      <w:pPr>
        <w:numPr>
          <w:ilvl w:val="0"/>
          <w:numId w:val="1093"/>
        </w:numPr>
        <w:pStyle w:val="Compact"/>
      </w:pPr>
      <w:r>
        <w:rPr>
          <w:b/>
        </w:rPr>
        <w:t xml:space="preserve">Por qué</w:t>
      </w:r>
      <w:r>
        <w:t xml:space="preserve">: No tiene sentido calcular un score de riesgo futuro en alguien que ya tuvo el evento; PREVENT solo está validado para 30-79 años.</w:t>
      </w:r>
    </w:p>
    <w:p>
      <w:pPr>
        <w:numPr>
          <w:ilvl w:val="0"/>
          <w:numId w:val="1093"/>
        </w:numPr>
        <w:pStyle w:val="Compact"/>
      </w:pPr>
      <w:r>
        <w:rPr>
          <w:b/>
        </w:rPr>
        <w:t xml:space="preserve">Fuente</w:t>
      </w:r>
      <w:r>
        <w:t xml:space="preserve">: PREVENT (AHA).</w:t>
      </w:r>
    </w:p>
    <w:p>
      <w:pPr>
        <w:numPr>
          <w:ilvl w:val="0"/>
          <w:numId w:val="1093"/>
        </w:numPr>
        <w:pStyle w:val="Compact"/>
      </w:pPr>
      <w:r>
        <w:rPr>
          <w:b/>
        </w:rPr>
        <w:t xml:space="preserve">Versión de la fuente</w:t>
      </w:r>
      <w:r>
        <w:t xml:space="preserve">: No se especifica año de la ecuación PREVENT en este archivo — pendiente de documentar.</w:t>
      </w:r>
    </w:p>
    <w:p>
      <w:pPr>
        <w:numPr>
          <w:ilvl w:val="0"/>
          <w:numId w:val="1093"/>
        </w:numPr>
        <w:pStyle w:val="Compact"/>
      </w:pPr>
      <w:r>
        <w:rPr>
          <w:b/>
        </w:rPr>
        <w:t xml:space="preserve">Fecha de revisión</w:t>
      </w:r>
      <w:r>
        <w:t xml:space="preserve">: Sin fecha registrada específica para esta función.</w:t>
      </w:r>
    </w:p>
    <w:p>
      <w:pPr>
        <w:numPr>
          <w:ilvl w:val="0"/>
          <w:numId w:val="1093"/>
        </w:numPr>
        <w:pStyle w:val="Compact"/>
      </w:pPr>
      <w:r>
        <w:rPr>
          <w:b/>
        </w:rPr>
        <w:t xml:space="preserve">Quién revisó</w:t>
      </w:r>
      <w:r>
        <w:t xml:space="preserve">: No especificado para esta función en particular.</w:t>
      </w:r>
    </w:p>
    <w:p>
      <w:pPr>
        <w:numPr>
          <w:ilvl w:val="0"/>
          <w:numId w:val="1093"/>
        </w:numPr>
        <w:pStyle w:val="Compact"/>
      </w:pPr>
      <w:r>
        <w:rPr>
          <w:b/>
        </w:rPr>
        <w:t xml:space="preserve">Qué casos la validan</w:t>
      </w:r>
      <w:r>
        <w:t xml:space="preserve">: Sin caso de prueba identificado — no se encontró ningún</w:t>
      </w:r>
      <w:r>
        <w:t xml:space="preserve"> </w:t>
      </w:r>
      <w:r>
        <w:rPr>
          <w:rStyle w:val="VerbatimChar"/>
        </w:rPr>
        <w:t xml:space="preserve">import</w:t>
      </w:r>
      <w:r>
        <w:t xml:space="preserve">/llamada a</w:t>
      </w:r>
      <w:r>
        <w:t xml:space="preserve"> </w:t>
      </w:r>
      <w:r>
        <w:rPr>
          <w:rStyle w:val="VerbatimChar"/>
        </w:rPr>
        <w:t xml:space="preserve">classifyASCVD</w:t>
      </w:r>
      <w:r>
        <w:t xml:space="preserve"> </w:t>
      </w:r>
      <w:r>
        <w:t xml:space="preserve">ni</w:t>
      </w:r>
      <w:r>
        <w:t xml:space="preserve"> </w:t>
      </w:r>
      <w:r>
        <w:rPr>
          <w:rStyle w:val="VerbatimChar"/>
        </w:rPr>
        <w:t xml:space="preserve">getCardiovascularSummary</w:t>
      </w:r>
      <w:r>
        <w:t xml:space="preserve"> </w:t>
      </w:r>
      <w:r>
        <w:t xml:space="preserve">en</w:t>
      </w:r>
      <w:r>
        <w:t xml:space="preserve"> </w:t>
      </w:r>
      <w:r>
        <w:rPr>
          <w:rStyle w:val="VerbatimChar"/>
        </w:rPr>
        <w:t xml:space="preserve">tests/*.test.mjs</w:t>
      </w:r>
      <w:r>
        <w:t xml:space="preserve">.</w:t>
      </w:r>
    </w:p>
    <w:p>
      <w:pPr>
        <w:numPr>
          <w:ilvl w:val="0"/>
          <w:numId w:val="1093"/>
        </w:numPr>
        <w:pStyle w:val="Compact"/>
      </w:pPr>
      <w:r>
        <w:rPr>
          <w:b/>
        </w:rPr>
        <w:t xml:space="preserve">Qué excepciones tiene</w:t>
      </w:r>
      <w:r>
        <w:t xml:space="preserve">: Ninguna adicional documentada.</w:t>
      </w:r>
    </w:p>
    <w:p>
      <w:pPr>
        <w:numPr>
          <w:ilvl w:val="0"/>
          <w:numId w:val="1093"/>
        </w:numPr>
        <w:pStyle w:val="Compact"/>
      </w:pPr>
      <w:r>
        <w:rPr>
          <w:b/>
        </w:rPr>
        <w:t xml:space="preserve">Qué ocurre si faltan datos</w:t>
      </w:r>
      <w:r>
        <w:t xml:space="preserve">: Comportamiento visible, no silencioso — sin ASCVD y fuera del rango de edad 30-79, regresa explícitamente</w:t>
      </w:r>
      <w:r>
        <w:t xml:space="preserve"> </w:t>
      </w:r>
      <w:r>
        <w:t xml:space="preserve">“</w:t>
      </w:r>
      <w:r>
        <w:t xml:space="preserve">N/A</w:t>
      </w:r>
      <w:r>
        <w:t xml:space="preserve">”</w:t>
      </w:r>
      <w:r>
        <w:t xml:space="preserve"> </w:t>
      </w:r>
      <w:r>
        <w:t xml:space="preserve">con</w:t>
      </w:r>
      <w:r>
        <w:t xml:space="preserve"> </w:t>
      </w:r>
      <w:r>
        <w:rPr>
          <w:rStyle w:val="VerbatimChar"/>
        </w:rPr>
        <w:t xml:space="preserve">detalle</w:t>
      </w:r>
      <w:r>
        <w:t xml:space="preserve"> </w:t>
      </w:r>
      <w:r>
        <w:t xml:space="preserve">explicando el motivo; dentro del rango de edad pero sin</w:t>
      </w:r>
      <w:r>
        <w:t xml:space="preserve"> </w:t>
      </w:r>
      <w:r>
        <w:rPr>
          <w:rStyle w:val="VerbatimChar"/>
        </w:rPr>
        <w:t xml:space="preserve">p.ascvdRiskPct</w:t>
      </w:r>
      <w:r>
        <w:t xml:space="preserve"> </w:t>
      </w:r>
      <w:r>
        <w:t xml:space="preserve">capturado, regresa explícitamente</w:t>
      </w:r>
      <w:r>
        <w:t xml:space="preserve"> </w:t>
      </w:r>
      <w:r>
        <w:t xml:space="preserve">“</w:t>
      </w:r>
      <w:r>
        <w:t xml:space="preserve">Sin capturar</w:t>
      </w:r>
      <w:r>
        <w:t xml:space="preserve">”</w:t>
      </w:r>
      <w:r>
        <w:t xml:space="preserve"> </w:t>
      </w:r>
      <w:r>
        <w:t xml:space="preserve">(no</w:t>
      </w:r>
      <w:r>
        <w:t xml:space="preserve"> </w:t>
      </w:r>
      <w:r>
        <w:t xml:space="preserve">“</w:t>
      </w:r>
      <w:r>
        <w:t xml:space="preserve">0%</w:t>
      </w:r>
      <w:r>
        <w:t xml:space="preserve">”</w:t>
      </w:r>
      <w:r>
        <w:t xml:space="preserve">, no un valor inventado).</w:t>
      </w:r>
    </w:p>
    <w:p>
      <w:pPr>
        <w:numPr>
          <w:ilvl w:val="0"/>
          <w:numId w:val="1093"/>
        </w:numPr>
        <w:pStyle w:val="Compact"/>
      </w:pPr>
      <w:r>
        <w:rPr>
          <w:b/>
        </w:rPr>
        <w:t xml:space="preserve">Qué ocurre si dos guías discrepan</w:t>
      </w:r>
      <w:r>
        <w:t xml:space="preserve">: No aplica / sin discrepancia documentada para esta regla.</w:t>
      </w:r>
      <w:r>
        <w:t xml:space="preserve"> </w:t>
      </w:r>
      <w:r>
        <w:rPr>
          <w:b/>
        </w:rPr>
        <w:t xml:space="preserve">Limitación declarada explícitamente en el comentario</w:t>
      </w:r>
      <w:r>
        <w:t xml:space="preserve">:</w:t>
      </w:r>
      <w:r>
        <w:t xml:space="preserve"> </w:t>
      </w:r>
      <w:r>
        <w:rPr>
          <w:i/>
        </w:rPr>
        <w:t xml:space="preserve">“</w:t>
      </w:r>
      <w:r>
        <w:rPr>
          <w:i/>
        </w:rPr>
        <w:t xml:space="preserve">La ecuación PREVENT en sí NO está implementada todavía dentro del dashboard:</w:t>
      </w:r>
      <w:r>
        <w:rPr>
          <w:i/>
        </w:rPr>
        <w:t xml:space="preserve"> </w:t>
      </w:r>
      <w:r>
        <w:rPr>
          <w:rStyle w:val="VerbatimChar"/>
          <w:i/>
        </w:rPr>
        <w:t xml:space="preserve">p.ascvdRiskPct</w:t>
      </w:r>
      <w:r>
        <w:rPr>
          <w:i/>
        </w:rPr>
        <w:t xml:space="preserve"> </w:t>
      </w:r>
      <w:r>
        <w:rPr>
          <w:i/>
        </w:rPr>
        <w:t xml:space="preserve">se captura manualmente (calculado aparte) y esta función solo decide CUÁL score mostrar y cómo colorearlo.</w:t>
      </w:r>
      <w:r>
        <w:rPr>
          <w:i/>
        </w:rPr>
        <w:t xml:space="preserve">”</w:t>
      </w:r>
    </w:p>
    <w:p>
      <w:pPr>
        <w:pStyle w:val="Heading3"/>
      </w:pPr>
      <w:bookmarkStart w:id="127" w:name="X12d46eabbebab1a4ee02988de5f0150c108d6f8"/>
      <w:r>
        <w:t xml:space="preserve">3.5 deriveOrcdFromFlags / classifyABCD — Estadificación de obesidad (AACE ABCD Staging 2025)</w:t>
      </w:r>
      <w:bookmarkEnd w:id="127"/>
    </w:p>
    <w:p>
      <w:pPr>
        <w:numPr>
          <w:ilvl w:val="0"/>
          <w:numId w:val="1094"/>
        </w:numPr>
        <w:pStyle w:val="Compact"/>
      </w:pPr>
      <w:r>
        <w:rPr>
          <w:b/>
        </w:rPr>
        <w:t xml:space="preserve">Qué hace</w:t>
      </w:r>
      <w:r>
        <w:t xml:space="preserve">: Deriva la lista de complicaciones ORCD (Obesity-Related Chronic Disease) a partir de banderas clínicas (IC/ERC/ASCVD/SAOS = severa; MASLD/Osteoartritis = moderada) y las traduce a un estadio 0-3.</w:t>
      </w:r>
    </w:p>
    <w:p>
      <w:pPr>
        <w:numPr>
          <w:ilvl w:val="0"/>
          <w:numId w:val="1094"/>
        </w:numPr>
        <w:pStyle w:val="Compact"/>
      </w:pPr>
      <w:r>
        <w:rPr>
          <w:b/>
        </w:rPr>
        <w:t xml:space="preserve">Por qué</w:t>
      </w:r>
      <w:r>
        <w:t xml:space="preserve">: Solo tiene sentido evaluar ORCD si el paciente cumple criterio de obesidad/sobrepeso — de lo contrario un paciente con, por ejemplo, IC pero sin obesidad se estadificaría incorrectamente bajo un marco específico para adiposidad excesiva.</w:t>
      </w:r>
    </w:p>
    <w:p>
      <w:pPr>
        <w:numPr>
          <w:ilvl w:val="0"/>
          <w:numId w:val="1094"/>
        </w:numPr>
        <w:pStyle w:val="Compact"/>
      </w:pPr>
      <w:r>
        <w:rPr>
          <w:b/>
        </w:rPr>
        <w:t xml:space="preserve">Fuente</w:t>
      </w:r>
      <w:r>
        <w:t xml:space="preserve">: AACE 2025 (consenso ABCD Staging).</w:t>
      </w:r>
    </w:p>
    <w:p>
      <w:pPr>
        <w:numPr>
          <w:ilvl w:val="0"/>
          <w:numId w:val="1094"/>
        </w:numPr>
        <w:pStyle w:val="Compact"/>
      </w:pPr>
      <w:r>
        <w:rPr>
          <w:b/>
        </w:rPr>
        <w:t xml:space="preserve">Versión de la fuente</w:t>
      </w:r>
      <w:r>
        <w:t xml:space="preserve">: AACE 2025 (especificada en el código).</w:t>
      </w:r>
    </w:p>
    <w:p>
      <w:pPr>
        <w:numPr>
          <w:ilvl w:val="0"/>
          <w:numId w:val="1094"/>
        </w:numPr>
        <w:pStyle w:val="Compact"/>
      </w:pPr>
      <w:r>
        <w:rPr>
          <w:b/>
        </w:rPr>
        <w:t xml:space="preserve">Fecha de revisión</w:t>
      </w:r>
      <w:r>
        <w:t xml:space="preserve">: Sin fecha registrada específica para esta función.</w:t>
      </w:r>
    </w:p>
    <w:p>
      <w:pPr>
        <w:numPr>
          <w:ilvl w:val="0"/>
          <w:numId w:val="1094"/>
        </w:numPr>
        <w:pStyle w:val="Compact"/>
      </w:pPr>
      <w:r>
        <w:rPr>
          <w:b/>
        </w:rPr>
        <w:t xml:space="preserve">Quién revisó</w:t>
      </w:r>
      <w:r>
        <w:t xml:space="preserve">: No especificado para esta función en particular.</w:t>
      </w:r>
    </w:p>
    <w:p>
      <w:pPr>
        <w:numPr>
          <w:ilvl w:val="0"/>
          <w:numId w:val="1094"/>
        </w:numPr>
        <w:pStyle w:val="Compact"/>
      </w:pPr>
      <w:r>
        <w:rPr>
          <w:b/>
        </w:rPr>
        <w:t xml:space="preserve">Qué casos la validan</w:t>
      </w:r>
      <w:r>
        <w:t xml:space="preserve">:</w:t>
      </w:r>
      <w:r>
        <w:t xml:space="preserve"> </w:t>
      </w:r>
      <w:r>
        <w:rPr>
          <w:rStyle w:val="VerbatimChar"/>
        </w:rPr>
        <w:t xml:space="preserve">tests/multimorbid-cases.test.mjs</w:t>
      </w:r>
      <w:r>
        <w:t xml:space="preserve"> </w:t>
      </w:r>
      <w:r>
        <w:t xml:space="preserve">(líneas 80-81,</w:t>
      </w:r>
      <w:r>
        <w:t xml:space="preserve"> </w:t>
      </w:r>
      <w:r>
        <w:rPr>
          <w:rStyle w:val="VerbatimChar"/>
        </w:rPr>
        <w:t xml:space="preserve">deriveOrcdFromFlags(flags)</w:t>
      </w:r>
      <w:r>
        <w:t xml:space="preserve"> </w:t>
      </w:r>
      <w:r>
        <w:t xml:space="preserve">y</w:t>
      </w:r>
      <w:r>
        <w:t xml:space="preserve"> </w:t>
      </w:r>
      <w:r>
        <w:rPr>
          <w:rStyle w:val="VerbatimChar"/>
        </w:rPr>
        <w:t xml:space="preserve">classifyABCD(orcd, flags.obesidad)</w:t>
      </w:r>
      <w:r>
        <w:t xml:space="preserve">).</w:t>
      </w:r>
    </w:p>
    <w:p>
      <w:pPr>
        <w:numPr>
          <w:ilvl w:val="0"/>
          <w:numId w:val="1094"/>
        </w:numPr>
        <w:pStyle w:val="Compact"/>
      </w:pPr>
      <w:r>
        <w:rPr>
          <w:b/>
        </w:rPr>
        <w:t xml:space="preserve">Qué excepciones tiene</w:t>
      </w:r>
      <w:r>
        <w:t xml:space="preserve">: El comentario declara explícitamente una simplificación:</w:t>
      </w:r>
      <w:r>
        <w:t xml:space="preserve"> </w:t>
      </w:r>
      <w:r>
        <w:rPr>
          <w:i/>
        </w:rPr>
        <w:t xml:space="preserve">“</w:t>
      </w:r>
      <w:r>
        <w:rPr>
          <w:i/>
        </w:rPr>
        <w:t xml:space="preserve">AACE no da un solo nivel por comorbilidad, depende de gravedad clínica — aquí se usa la categoría más frecuente/típica cuando el dato capturado es solo presencia/ausencia, no severidad</w:t>
      </w:r>
      <w:r>
        <w:rPr>
          <w:i/>
        </w:rPr>
        <w:t xml:space="preserve">”</w:t>
      </w:r>
      <w:r>
        <w:t xml:space="preserve">.</w:t>
      </w:r>
    </w:p>
    <w:p>
      <w:pPr>
        <w:numPr>
          <w:ilvl w:val="0"/>
          <w:numId w:val="1094"/>
        </w:numPr>
        <w:pStyle w:val="Compact"/>
      </w:pPr>
      <w:r>
        <w:rPr>
          <w:b/>
        </w:rPr>
        <w:t xml:space="preserve">Qué ocurre si faltan datos</w:t>
      </w:r>
      <w:r>
        <w:t xml:space="preserve">: Si</w:t>
      </w:r>
      <w:r>
        <w:t xml:space="preserve"> </w:t>
      </w:r>
      <w:r>
        <w:rPr>
          <w:rStyle w:val="VerbatimChar"/>
        </w:rPr>
        <w:t xml:space="preserve">hasObesidad</w:t>
      </w:r>
      <w:r>
        <w:t xml:space="preserve"> </w:t>
      </w:r>
      <w:r>
        <w:t xml:space="preserve">es falso, regresa explícitamente</w:t>
      </w:r>
      <w:r>
        <w:t xml:space="preserve"> </w:t>
      </w:r>
      <w:r>
        <w:t xml:space="preserve">“</w:t>
      </w:r>
      <w:r>
        <w:t xml:space="preserve">N/A</w:t>
      </w:r>
      <w:r>
        <w:t xml:space="preserve">”</w:t>
      </w:r>
      <w:r>
        <w:t xml:space="preserve"> </w:t>
      </w:r>
      <w:r>
        <w:t xml:space="preserve">con explicación. Si no hay ORCD detectada, regresa explícitamente</w:t>
      </w:r>
      <w:r>
        <w:t xml:space="preserve"> </w:t>
      </w:r>
      <w:r>
        <w:t xml:space="preserve">“</w:t>
      </w:r>
      <w:r>
        <w:t xml:space="preserve">Estadio 0</w:t>
      </w:r>
      <w:r>
        <w:t xml:space="preserve">”</w:t>
      </w:r>
      <w:r>
        <w:t xml:space="preserve"> </w:t>
      </w:r>
      <w:r>
        <w:t xml:space="preserve">(no</w:t>
      </w:r>
      <w:r>
        <w:t xml:space="preserve"> </w:t>
      </w:r>
      <w:r>
        <w:t xml:space="preserve">“</w:t>
      </w:r>
      <w:r>
        <w:t xml:space="preserve">sin dato</w:t>
      </w:r>
      <w:r>
        <w:t xml:space="preserve">”</w:t>
      </w:r>
      <w:r>
        <w:t xml:space="preserve">) — aquí la ausencia de banderas positivas SÍ se interpreta activamente como</w:t>
      </w:r>
      <w:r>
        <w:t xml:space="preserve"> </w:t>
      </w:r>
      <w:r>
        <w:t xml:space="preserve">“</w:t>
      </w:r>
      <w:r>
        <w:t xml:space="preserve">sin complicaciones</w:t>
      </w:r>
      <w:r>
        <w:t xml:space="preserve">”</w:t>
      </w:r>
      <w:r>
        <w:t xml:space="preserve">, una decisión de diseño razonable pero distinta al patrón</w:t>
      </w:r>
      <w:r>
        <w:t xml:space="preserve"> </w:t>
      </w:r>
      <w:r>
        <w:t xml:space="preserve">“</w:t>
      </w:r>
      <w:r>
        <w:t xml:space="preserve">gris = sin dato</w:t>
      </w:r>
      <w:r>
        <w:t xml:space="preserve">”</w:t>
      </w:r>
      <w:r>
        <w:t xml:space="preserve"> </w:t>
      </w:r>
      <w:r>
        <w:t xml:space="preserve">usado en otras funciones del mismo archivo; documentado aquí para que quede claro que no es un dato faltante sino una clasificación positiva de</w:t>
      </w:r>
      <w:r>
        <w:t xml:space="preserve"> </w:t>
      </w:r>
      <w:r>
        <w:t xml:space="preserve">“</w:t>
      </w:r>
      <w:r>
        <w:t xml:space="preserve">ausencia de hallazgo</w:t>
      </w:r>
      <w:r>
        <w:t xml:space="preserve">”</w:t>
      </w:r>
      <w:r>
        <w:t xml:space="preserve">.</w:t>
      </w:r>
    </w:p>
    <w:p>
      <w:pPr>
        <w:numPr>
          <w:ilvl w:val="0"/>
          <w:numId w:val="1094"/>
        </w:numPr>
        <w:pStyle w:val="Compact"/>
      </w:pPr>
      <w:r>
        <w:rPr>
          <w:b/>
        </w:rPr>
        <w:t xml:space="preserve">Qué ocurre si dos guías discrepan</w:t>
      </w:r>
      <w:r>
        <w:t xml:space="preserve">: No aplica / sin discrepancia documentada para esta regla.</w:t>
      </w:r>
    </w:p>
    <w:p>
      <w:pPr>
        <w:pStyle w:val="Heading3"/>
      </w:pPr>
      <w:bookmarkStart w:id="128" w:name="X585ea3c5790dbea1c1f828ae050d85d44fabaf6"/>
      <w:r>
        <w:t xml:space="preserve">3.6 getA1cTarget — Meta de A1c individualizada (ADA 2026, Tabla 13.2)</w:t>
      </w:r>
      <w:bookmarkEnd w:id="128"/>
    </w:p>
    <w:p>
      <w:pPr>
        <w:numPr>
          <w:ilvl w:val="0"/>
          <w:numId w:val="1095"/>
        </w:numPr>
        <w:pStyle w:val="Compact"/>
      </w:pPr>
      <w:r>
        <w:rPr>
          <w:b/>
        </w:rPr>
        <w:t xml:space="preserve">Qué hace</w:t>
      </w:r>
      <w:r>
        <w:t xml:space="preserve">: Calcula la meta de A1c individualizada: ≥65 años → 7.5% (sano/sin especificar), 8.0% (complejo), 8.5% (muy complejo); &lt;65 años → 6.5% si bajo riesgo/carga de tratamiento, si no 7.0%.</w:t>
      </w:r>
    </w:p>
    <w:p>
      <w:pPr>
        <w:numPr>
          <w:ilvl w:val="0"/>
          <w:numId w:val="1095"/>
        </w:numPr>
        <w:pStyle w:val="Compact"/>
      </w:pPr>
      <w:r>
        <w:rPr>
          <w:b/>
        </w:rPr>
        <w:t xml:space="preserve">Por qué</w:t>
      </w:r>
      <w:r>
        <w:t xml:space="preserve">: Adultos mayores con comorbilidad/deterioro funcional se benefician de metas más laxas para evitar hipoglucemia; adultos jóvenes sanos con bajo riesgo de hipoglucemia pueden buscar metas más estrictas.</w:t>
      </w:r>
    </w:p>
    <w:p>
      <w:pPr>
        <w:numPr>
          <w:ilvl w:val="0"/>
          <w:numId w:val="1095"/>
        </w:numPr>
        <w:pStyle w:val="Compact"/>
      </w:pPr>
      <w:r>
        <w:rPr>
          <w:b/>
        </w:rPr>
        <w:t xml:space="preserve">Fuente</w:t>
      </w:r>
      <w:r>
        <w:t xml:space="preserve">: ADA 2026, Tabla 13.2 (</w:t>
      </w:r>
      <w:r>
        <w:t xml:space="preserve">“</w:t>
      </w:r>
      <w:r>
        <w:t xml:space="preserve">Older Adults</w:t>
      </w:r>
      <w:r>
        <w:t xml:space="preserve">”</w:t>
      </w:r>
      <w:r>
        <w:t xml:space="preserve">), verificada contra el PDF de la guía; Recomendaciones 6.3a y 6.4 (ADA 2026) para &lt;65 años.</w:t>
      </w:r>
    </w:p>
    <w:p>
      <w:pPr>
        <w:numPr>
          <w:ilvl w:val="0"/>
          <w:numId w:val="1095"/>
        </w:numPr>
        <w:pStyle w:val="Compact"/>
      </w:pPr>
      <w:r>
        <w:rPr>
          <w:b/>
        </w:rPr>
        <w:t xml:space="preserve">Versión de la fuente</w:t>
      </w:r>
      <w:r>
        <w:t xml:space="preserve">: ADA 2026 (especificada en el código, con verificación explícita contra el PDF original).</w:t>
      </w:r>
    </w:p>
    <w:p>
      <w:pPr>
        <w:numPr>
          <w:ilvl w:val="0"/>
          <w:numId w:val="1095"/>
        </w:numPr>
        <w:pStyle w:val="Compact"/>
      </w:pPr>
      <w:r>
        <w:rPr>
          <w:b/>
        </w:rPr>
        <w:t xml:space="preserve">Fecha de revisión</w:t>
      </w:r>
      <w:r>
        <w:t xml:space="preserve">:</w:t>
      </w:r>
      <w:r>
        <w:t xml:space="preserve"> </w:t>
      </w:r>
      <w:r>
        <w:rPr>
          <w:b/>
        </w:rPr>
        <w:t xml:space="preserve">Corrección de auditoría documentada el 8 de agosto de 2026.</w:t>
      </w:r>
    </w:p>
    <w:p>
      <w:pPr>
        <w:numPr>
          <w:ilvl w:val="0"/>
          <w:numId w:val="1095"/>
        </w:numPr>
        <w:pStyle w:val="Compact"/>
      </w:pPr>
      <w:r>
        <w:rPr>
          <w:b/>
        </w:rPr>
        <w:t xml:space="preserve">Quién revisó</w:t>
      </w:r>
      <w:r>
        <w:t xml:space="preserve">: El bug fue detectado al auditar la integración del código; la corrección restauró el vocabulario real de la Tabla 13.2. El comentario no atribuye explícitamente el hallazgo al Dr. Ortega en esta función (a diferencia de</w:t>
      </w:r>
      <w:r>
        <w:t xml:space="preserve"> </w:t>
      </w:r>
      <w:r>
        <w:rPr>
          <w:rStyle w:val="VerbatimChar"/>
        </w:rPr>
        <w:t xml:space="preserve">getGlycemicAndBPGoals</w:t>
      </w:r>
      <w:r>
        <w:t xml:space="preserve">, sección 3.10, donde sí se atribuye la detección al Dr. Ortega) — se documenta como</w:t>
      </w:r>
      <w:r>
        <w:t xml:space="preserve"> </w:t>
      </w:r>
      <w:r>
        <w:t xml:space="preserve">“</w:t>
      </w:r>
      <w:r>
        <w:t xml:space="preserve">auditoría del 8 de agosto de 2026</w:t>
      </w:r>
      <w:r>
        <w:t xml:space="preserve">”</w:t>
      </w:r>
      <w:r>
        <w:t xml:space="preserve"> </w:t>
      </w:r>
      <w:r>
        <w:t xml:space="preserve">sin nombre explícito de revisor en el propio comentario de esta función.</w:t>
      </w:r>
    </w:p>
    <w:p>
      <w:pPr>
        <w:numPr>
          <w:ilvl w:val="0"/>
          <w:numId w:val="1095"/>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(líneas 256, 265 — casos</w:t>
      </w:r>
      <w:r>
        <w:t xml:space="preserve"> </w:t>
      </w:r>
      <w:r>
        <w:t xml:space="preserve">“</w:t>
      </w:r>
      <w:r>
        <w:t xml:space="preserve">complejo</w:t>
      </w:r>
      <w:r>
        <w:t xml:space="preserve">”</w:t>
      </w:r>
      <w:r>
        <w:t xml:space="preserve"> </w:t>
      </w:r>
      <w:r>
        <w:t xml:space="preserve">a los 70 años y</w:t>
      </w:r>
      <w:r>
        <w:t xml:space="preserve"> </w:t>
      </w:r>
      <w:r>
        <w:t xml:space="preserve">“</w:t>
      </w:r>
      <w:r>
        <w:t xml:space="preserve">sano</w:t>
      </w:r>
      <w:r>
        <w:t xml:space="preserve">”</w:t>
      </w:r>
      <w:r>
        <w:t xml:space="preserve">+</w:t>
      </w:r>
      <w:r>
        <w:rPr>
          <w:rStyle w:val="VerbatimChar"/>
        </w:rPr>
        <w:t xml:space="preserve">lowTreatmentBurden</w:t>
      </w:r>
      <w:r>
        <w:t xml:space="preserve"> </w:t>
      </w:r>
      <w:r>
        <w:t xml:space="preserve">a los 45); también integrado extensamente en</w:t>
      </w:r>
      <w:r>
        <w:t xml:space="preserve"> </w:t>
      </w:r>
      <w:r>
        <w:rPr>
          <w:rStyle w:val="VerbatimChar"/>
        </w:rPr>
        <w:t xml:space="preserve">tests/clinical-cases.test.mjs</w:t>
      </w:r>
      <w:r>
        <w:t xml:space="preserve"> </w:t>
      </w:r>
      <w:r>
        <w:t xml:space="preserve">líneas 586-714 (casos B1-B8, incluyendo el corte exacto edad=65 vs. edad=64 con</w:t>
      </w:r>
      <w:r>
        <w:t xml:space="preserve"> </w:t>
      </w:r>
      <w:r>
        <w:rPr>
          <w:rStyle w:val="VerbatimChar"/>
        </w:rPr>
        <w:t xml:space="preserve">saludStatus: "muyComplejo"</w:t>
      </w:r>
      <w:r>
        <w:t xml:space="preserve">).</w:t>
      </w:r>
    </w:p>
    <w:p>
      <w:pPr>
        <w:numPr>
          <w:ilvl w:val="0"/>
          <w:numId w:val="1095"/>
        </w:numPr>
        <w:pStyle w:val="Compact"/>
      </w:pPr>
      <w:r>
        <w:rPr>
          <w:b/>
        </w:rPr>
        <w:t xml:space="preserve">Qué excepciones tiene</w:t>
      </w:r>
      <w:r>
        <w:t xml:space="preserve">: Para</w:t>
      </w:r>
      <w:r>
        <w:t xml:space="preserve"> </w:t>
      </w:r>
      <w:r>
        <w:t xml:space="preserve">“</w:t>
      </w:r>
      <w:r>
        <w:t xml:space="preserve">muy complejo/mala salud</w:t>
      </w:r>
      <w:r>
        <w:t xml:space="preserve">”</w:t>
      </w:r>
      <w:r>
        <w:t xml:space="preserve">, la guía ADA 2026</w:t>
      </w:r>
      <w:r>
        <w:t xml:space="preserve"> </w:t>
      </w:r>
      <w:r>
        <w:rPr>
          <w:b/>
        </w:rPr>
        <w:t xml:space="preserve">no da un número fijo</w:t>
      </w:r>
      <w:r>
        <w:t xml:space="preserve"> </w:t>
      </w:r>
      <w:r>
        <w:t xml:space="preserve">— literalmente indica</w:t>
      </w:r>
      <w:r>
        <w:t xml:space="preserve"> </w:t>
      </w:r>
      <w:r>
        <w:t xml:space="preserve">“</w:t>
      </w:r>
      <w:r>
        <w:t xml:space="preserve">evitar depender de la A1c</w:t>
      </w:r>
      <w:r>
        <w:t xml:space="preserve">”</w:t>
      </w:r>
      <w:r>
        <w:t xml:space="preserve">. El código usa 8.5% como</w:t>
      </w:r>
      <w:r>
        <w:t xml:space="preserve"> </w:t>
      </w:r>
      <w:r>
        <w:t xml:space="preserve">“</w:t>
      </w:r>
      <w:r>
        <w:t xml:space="preserve">techo práctico de referencia (convención clínica habitual), no como cifra literal de la tabla</w:t>
      </w:r>
      <w:r>
        <w:t xml:space="preserve">”</w:t>
      </w:r>
      <w:r>
        <w:t xml:space="preserve"> </w:t>
      </w:r>
      <w:r>
        <w:t xml:space="preserve">— y esto se explicita en el</w:t>
      </w:r>
      <w:r>
        <w:t xml:space="preserve"> </w:t>
      </w:r>
      <w:r>
        <w:rPr>
          <w:rStyle w:val="VerbatimChar"/>
        </w:rPr>
        <w:t xml:space="preserve">detalle</w:t>
      </w:r>
      <w:r>
        <w:t xml:space="preserve"> </w:t>
      </w:r>
      <w:r>
        <w:t xml:space="preserve">mostrado al médico para no dar una falsa sensación de precisión.</w:t>
      </w:r>
    </w:p>
    <w:p>
      <w:pPr>
        <w:numPr>
          <w:ilvl w:val="0"/>
          <w:numId w:val="1095"/>
        </w:numPr>
        <w:pStyle w:val="Compact"/>
      </w:pPr>
      <w:r>
        <w:rPr>
          <w:b/>
        </w:rPr>
        <w:t xml:space="preserve">Qué ocurre si faltan datos</w:t>
      </w:r>
      <w:r>
        <w:t xml:space="preserve">: Si</w:t>
      </w:r>
      <w:r>
        <w:t xml:space="preserve"> </w:t>
      </w:r>
      <w:r>
        <w:rPr>
          <w:rStyle w:val="VerbatimChar"/>
        </w:rPr>
        <w:t xml:space="preserve">healthStatus</w:t>
      </w:r>
      <w:r>
        <w:t xml:space="preserve"> </w:t>
      </w:r>
      <w:r>
        <w:t xml:space="preserve">no se especifica (</w:t>
      </w:r>
      <w:r>
        <w:rPr>
          <w:rStyle w:val="VerbatimChar"/>
        </w:rPr>
        <w:t xml:space="preserve">undefined</w:t>
      </w:r>
      <w:r>
        <w:t xml:space="preserve">), la función cae al valor por defecto de</w:t>
      </w:r>
      <w:r>
        <w:t xml:space="preserve"> </w:t>
      </w:r>
      <w:r>
        <w:t xml:space="preserve">“</w:t>
      </w:r>
      <w:r>
        <w:t xml:space="preserve">sano</w:t>
      </w:r>
      <w:r>
        <w:t xml:space="preserve">”</w:t>
      </w:r>
      <w:r>
        <w:t xml:space="preserve"> </w:t>
      </w:r>
      <w:r>
        <w:t xml:space="preserve">(7.5% para ≥65 años) — es un fallback silencioso, no un bloqueo ni un aviso de</w:t>
      </w:r>
      <w:r>
        <w:t xml:space="preserve"> </w:t>
      </w:r>
      <w:r>
        <w:t xml:space="preserve">“</w:t>
      </w:r>
      <w:r>
        <w:t xml:space="preserve">dato faltante</w:t>
      </w:r>
      <w:r>
        <w:t xml:space="preserve">”</w:t>
      </w:r>
      <w:r>
        <w:t xml:space="preserve">. Este es precisamente el bug de origen: antes de la corrección, TODO paciente ≥65 años caía siempre en este fallback por defecto porque el campo real nunca se leía del formulario.</w:t>
      </w:r>
    </w:p>
    <w:p>
      <w:pPr>
        <w:numPr>
          <w:ilvl w:val="0"/>
          <w:numId w:val="1095"/>
        </w:numPr>
        <w:pStyle w:val="Compact"/>
      </w:pPr>
      <w:r>
        <w:rPr>
          <w:b/>
        </w:rPr>
        <w:t xml:space="preserve">Qué ocurre si dos guías discrepan</w:t>
      </w:r>
      <w:r>
        <w:t xml:space="preserve">: No aplica directamente, pero hay un hallazgo de gobernanza de primer orden documentado</w:t>
      </w:r>
      <w:r>
        <w:t xml:space="preserve"> </w:t>
      </w:r>
      <w:r>
        <w:rPr>
          <w:b/>
        </w:rPr>
        <w:t xml:space="preserve">textualmente en el propio código</w:t>
      </w:r>
      <w:r>
        <w:t xml:space="preserve">, que se transcribe íntegro por su relevancia para este documento de gobernanza:</w:t>
      </w:r>
    </w:p>
    <w:p>
      <w:pPr>
        <w:pStyle w:val="BlockText"/>
      </w:pPr>
      <w:r>
        <w:rPr>
          <w:i/>
        </w:rPr>
        <w:t xml:space="preserve">“</w:t>
      </w:r>
      <w:r>
        <w:rPr>
          <w:i/>
        </w:rPr>
        <w:t xml:space="preserve">CORRECCIÓN (auditoría 8 de agosto de 2026): esta función nunca recibía datos reales.</w:t>
      </w:r>
      <w:r>
        <w:rPr>
          <w:i/>
        </w:rPr>
        <w:t xml:space="preserve"> </w:t>
      </w:r>
      <w:r>
        <w:rPr>
          <w:rStyle w:val="VerbatimChar"/>
          <w:i/>
        </w:rPr>
        <w:t xml:space="preserve">render.js</w:t>
      </w:r>
      <w:r>
        <w:rPr>
          <w:i/>
        </w:rPr>
        <w:t xml:space="preserve"> </w:t>
      </w:r>
      <w:r>
        <w:rPr>
          <w:i/>
        </w:rPr>
        <w:t xml:space="preserve">la llamaba con</w:t>
      </w:r>
      <w:r>
        <w:rPr>
          <w:i/>
        </w:rPr>
        <w:t xml:space="preserve"> </w:t>
      </w:r>
      <w:r>
        <w:rPr>
          <w:rStyle w:val="VerbatimChar"/>
          <w:i/>
        </w:rPr>
        <w:t xml:space="preserve">p.saludStatus || "general"</w:t>
      </w:r>
      <w:r>
        <w:rPr>
          <w:i/>
        </w:rPr>
        <w:t xml:space="preserve">, pero</w:t>
      </w:r>
      <w:r>
        <w:rPr>
          <w:i/>
        </w:rPr>
        <w:t xml:space="preserve"> </w:t>
      </w:r>
      <w:r>
        <w:rPr>
          <w:rStyle w:val="VerbatimChar"/>
          <w:i/>
        </w:rPr>
        <w:t xml:space="preserve">p.saludStatus</w:t>
      </w:r>
      <w:r>
        <w:rPr>
          <w:i/>
        </w:rPr>
        <w:t xml:space="preserve"> </w:t>
      </w:r>
      <w:r>
        <w:rPr>
          <w:i/>
        </w:rPr>
        <w:t xml:space="preserve">NUNCA se capturaba en el formulario (no existe ese campo en index.html) y, aunque hubiera existido, el propio código esperaba un vocabulario de valores (</w:t>
      </w:r>
      <w:r>
        <w:rPr>
          <w:i/>
        </w:rPr>
        <w:t xml:space="preserve">‘</w:t>
      </w:r>
      <w:r>
        <w:rPr>
          <w:i/>
        </w:rPr>
        <w:t xml:space="preserve">malaSalud</w:t>
      </w:r>
      <w:r>
        <w:rPr>
          <w:i/>
        </w:rPr>
        <w:t xml:space="preserve">’</w:t>
      </w:r>
      <w:r>
        <w:rPr>
          <w:i/>
        </w:rPr>
        <w:t xml:space="preserve">/</w:t>
      </w:r>
      <w:r>
        <w:rPr>
          <w:i/>
        </w:rPr>
        <w:t xml:space="preserve">‘</w:t>
      </w:r>
      <w:r>
        <w:rPr>
          <w:i/>
        </w:rPr>
        <w:t xml:space="preserve">multiplesComorbilidades</w:t>
      </w:r>
      <w:r>
        <w:rPr>
          <w:i/>
        </w:rPr>
        <w:t xml:space="preserve">’</w:t>
      </w:r>
      <w:r>
        <w:rPr>
          <w:i/>
        </w:rPr>
        <w:t xml:space="preserve">/</w:t>
      </w:r>
      <w:r>
        <w:rPr>
          <w:i/>
        </w:rPr>
        <w:t xml:space="preserve">‘</w:t>
      </w:r>
      <w:r>
        <w:rPr>
          <w:i/>
        </w:rPr>
        <w:t xml:space="preserve">saludComplicada</w:t>
      </w:r>
      <w:r>
        <w:rPr>
          <w:i/>
        </w:rPr>
        <w:t xml:space="preserve">’</w:t>
      </w:r>
      <w:r>
        <w:rPr>
          <w:i/>
        </w:rPr>
        <w:t xml:space="preserve">) que no coincidía con el documentado en render.js (</w:t>
      </w:r>
      <w:r>
        <w:rPr>
          <w:i/>
        </w:rPr>
        <w:t xml:space="preserve">‘</w:t>
      </w:r>
      <w:r>
        <w:rPr>
          <w:i/>
        </w:rPr>
        <w:t xml:space="preserve">general</w:t>
      </w:r>
      <w:r>
        <w:rPr>
          <w:i/>
        </w:rPr>
        <w:t xml:space="preserve">’</w:t>
      </w:r>
      <w:r>
        <w:rPr>
          <w:i/>
        </w:rPr>
        <w:t xml:space="preserve">/</w:t>
      </w:r>
      <w:r>
        <w:rPr>
          <w:i/>
        </w:rPr>
        <w:t xml:space="preserve">‘</w:t>
      </w:r>
      <w:r>
        <w:rPr>
          <w:i/>
        </w:rPr>
        <w:t xml:space="preserve">complejo</w:t>
      </w:r>
      <w:r>
        <w:rPr>
          <w:i/>
        </w:rPr>
        <w:t xml:space="preserve">’</w:t>
      </w:r>
      <w:r>
        <w:rPr>
          <w:i/>
        </w:rPr>
        <w:t xml:space="preserve">/</w:t>
      </w:r>
      <w:r>
        <w:rPr>
          <w:i/>
        </w:rPr>
        <w:t xml:space="preserve">‘</w:t>
      </w:r>
      <w:r>
        <w:rPr>
          <w:i/>
        </w:rPr>
        <w:t xml:space="preserve">muy_complejo</w:t>
      </w:r>
      <w:r>
        <w:rPr>
          <w:i/>
        </w:rPr>
        <w:t xml:space="preserve">’</w:t>
      </w:r>
      <w:r>
        <w:rPr>
          <w:i/>
        </w:rPr>
        <w:t xml:space="preserve">). Resultado: para TODO paciente ≥65 años, esta función caía siempre en la rama por defecto (7.5%), sin importar qué tan sano o complejo fuera en realidad.</w:t>
      </w:r>
      <w:r>
        <w:rPr>
          <w:i/>
        </w:rPr>
        <w:t xml:space="preserve">”</w:t>
      </w:r>
    </w:p>
    <w:p>
      <w:pPr>
        <w:pStyle w:val="FirstParagraph"/>
      </w:pPr>
      <w:r>
        <w:t xml:space="preserve">Este es exactamente el tipo de hallazgo que este documento de gobernanza busca capturar: una regla que, durante un periodo no especificado antes del 8-ago-2026, produjo sistemáticamente el mismo resultado para todos los pacientes mayores independientemente de sus datos reales, sin que el sistema lo señalara como error.</w:t>
      </w:r>
    </w:p>
    <w:p>
      <w:pPr>
        <w:pStyle w:val="Heading3"/>
      </w:pPr>
      <w:bookmarkStart w:id="129" w:name="X0975b2718f1743fdb911431f77deb8edb8d2aa3"/>
      <w:r>
        <w:t xml:space="preserve">3.7 classifyA1cVsTarget — Zona de A1c vs. meta individualizada</w:t>
      </w:r>
      <w:bookmarkEnd w:id="129"/>
    </w:p>
    <w:p>
      <w:pPr>
        <w:numPr>
          <w:ilvl w:val="0"/>
          <w:numId w:val="1096"/>
        </w:numPr>
        <w:pStyle w:val="Compact"/>
      </w:pPr>
      <w:r>
        <w:rPr>
          <w:b/>
        </w:rPr>
        <w:t xml:space="preserve">Qué hace</w:t>
      </w:r>
      <w:r>
        <w:t xml:space="preserve">: Clasifica el valor actual de A1c contra la meta ya calculada (</w:t>
      </w:r>
      <w:r>
        <w:rPr>
          <w:rStyle w:val="VerbatimChar"/>
        </w:rPr>
        <w:t xml:space="preserve">getA1cTarget</w:t>
      </w:r>
      <w:r>
        <w:t xml:space="preserve">) en 4 zonas: En Meta (≤target), Levemente Sobre Meta (≤target+1), Sobre Meta (≤target+2), Muy Sobre Meta (&gt;target+2).</w:t>
      </w:r>
    </w:p>
    <w:p>
      <w:pPr>
        <w:numPr>
          <w:ilvl w:val="0"/>
          <w:numId w:val="1096"/>
        </w:numPr>
        <w:pStyle w:val="Compact"/>
      </w:pPr>
      <w:r>
        <w:rPr>
          <w:b/>
        </w:rPr>
        <w:t xml:space="preserve">Por qué</w:t>
      </w:r>
      <w:r>
        <w:t xml:space="preserve">: Mostrar qué tan lejos está el paciente de SU meta individualizada, no de un corte poblacional genérico.</w:t>
      </w:r>
    </w:p>
    <w:p>
      <w:pPr>
        <w:numPr>
          <w:ilvl w:val="0"/>
          <w:numId w:val="1096"/>
        </w:numPr>
        <w:pStyle w:val="Compact"/>
      </w:pPr>
      <w:r>
        <w:rPr>
          <w:b/>
        </w:rPr>
        <w:t xml:space="preserve">Fuente</w:t>
      </w:r>
      <w:r>
        <w:t xml:space="preserve">: Deriva directamente de la meta ADA 2026 calculada por</w:t>
      </w:r>
      <w:r>
        <w:t xml:space="preserve"> </w:t>
      </w:r>
      <w:r>
        <w:rPr>
          <w:rStyle w:val="VerbatimChar"/>
        </w:rPr>
        <w:t xml:space="preserve">getA1cTarget</w:t>
      </w:r>
      <w:r>
        <w:t xml:space="preserve"> </w:t>
      </w:r>
      <w:r>
        <w:t xml:space="preserve">(sección 3.6); los márgenes de +1/+2 puntos son un criterio de escalonamiento visual del propio proyecto, no una cifra citada de guía.</w:t>
      </w:r>
    </w:p>
    <w:p>
      <w:pPr>
        <w:numPr>
          <w:ilvl w:val="0"/>
          <w:numId w:val="1096"/>
        </w:numPr>
        <w:pStyle w:val="Compact"/>
      </w:pPr>
      <w:r>
        <w:rPr>
          <w:b/>
        </w:rPr>
        <w:t xml:space="preserve">Versión de la fuente</w:t>
      </w:r>
      <w:r>
        <w:t xml:space="preserve">: No especificada en el código para los márgenes de escalonamiento (+1/+2 puntos) — pendiente de documentar; la meta base sí es ADA 2026.</w:t>
      </w:r>
    </w:p>
    <w:p>
      <w:pPr>
        <w:numPr>
          <w:ilvl w:val="0"/>
          <w:numId w:val="1096"/>
        </w:numPr>
        <w:pStyle w:val="Compact"/>
      </w:pPr>
      <w:r>
        <w:rPr>
          <w:b/>
        </w:rPr>
        <w:t xml:space="preserve">Fecha de revisión</w:t>
      </w:r>
      <w:r>
        <w:t xml:space="preserve">: Sin fecha registrada específica para esta función.</w:t>
      </w:r>
    </w:p>
    <w:p>
      <w:pPr>
        <w:numPr>
          <w:ilvl w:val="0"/>
          <w:numId w:val="1096"/>
        </w:numPr>
        <w:pStyle w:val="Compact"/>
      </w:pPr>
      <w:r>
        <w:rPr>
          <w:b/>
        </w:rPr>
        <w:t xml:space="preserve">Quién revisó</w:t>
      </w:r>
      <w:r>
        <w:t xml:space="preserve">: No especificado para esta función en particular.</w:t>
      </w:r>
    </w:p>
    <w:p>
      <w:pPr>
        <w:numPr>
          <w:ilvl w:val="0"/>
          <w:numId w:val="1096"/>
        </w:numPr>
        <w:pStyle w:val="Compact"/>
      </w:pPr>
      <w:r>
        <w:rPr>
          <w:b/>
        </w:rPr>
        <w:t xml:space="preserve">Qué casos la validan</w:t>
      </w:r>
      <w:r>
        <w:t xml:space="preserve">: Sin caso de prueba identificado con el nombre</w:t>
      </w:r>
      <w:r>
        <w:t xml:space="preserve"> </w:t>
      </w:r>
      <w:r>
        <w:rPr>
          <w:rStyle w:val="VerbatimChar"/>
        </w:rPr>
        <w:t xml:space="preserve">classifyA1cVsTarget</w:t>
      </w:r>
      <w:r>
        <w:t xml:space="preserve"> </w:t>
      </w:r>
      <w:r>
        <w:t xml:space="preserve">en</w:t>
      </w:r>
      <w:r>
        <w:t xml:space="preserve"> </w:t>
      </w:r>
      <w:r>
        <w:rPr>
          <w:rStyle w:val="VerbatimChar"/>
        </w:rPr>
        <w:t xml:space="preserve">tests/*.test.mjs</w:t>
      </w:r>
      <w:r>
        <w:t xml:space="preserve">.</w:t>
      </w:r>
    </w:p>
    <w:p>
      <w:pPr>
        <w:numPr>
          <w:ilvl w:val="0"/>
          <w:numId w:val="1096"/>
        </w:numPr>
        <w:pStyle w:val="Compact"/>
      </w:pPr>
      <w:r>
        <w:rPr>
          <w:b/>
        </w:rPr>
        <w:t xml:space="preserve">Qué excepciones tiene</w:t>
      </w:r>
      <w:r>
        <w:t xml:space="preserve">: Ninguna documentada.</w:t>
      </w:r>
    </w:p>
    <w:p>
      <w:pPr>
        <w:numPr>
          <w:ilvl w:val="0"/>
          <w:numId w:val="1096"/>
        </w:numPr>
        <w:pStyle w:val="Compact"/>
      </w:pPr>
      <w:r>
        <w:rPr>
          <w:b/>
        </w:rPr>
        <w:t xml:space="preserve">Qué ocurre si faltan datos</w:t>
      </w:r>
      <w:r>
        <w:t xml:space="preserve">: Comportamiento visible, no silencioso — sin A1c, regresa explícitamente zona gris</w:t>
      </w:r>
      <w:r>
        <w:t xml:space="preserve"> </w:t>
      </w:r>
      <w:r>
        <w:t xml:space="preserve">“</w:t>
      </w:r>
      <w:r>
        <w:t xml:space="preserve">Sin dato</w:t>
      </w:r>
      <w:r>
        <w:t xml:space="preserve">”</w:t>
      </w:r>
      <w:r>
        <w:t xml:space="preserve">.</w:t>
      </w:r>
    </w:p>
    <w:p>
      <w:pPr>
        <w:numPr>
          <w:ilvl w:val="0"/>
          <w:numId w:val="1096"/>
        </w:numPr>
        <w:pStyle w:val="Compact"/>
      </w:pPr>
      <w:r>
        <w:rPr>
          <w:b/>
        </w:rPr>
        <w:t xml:space="preserve">Qué ocurre si dos guías discrepan</w:t>
      </w:r>
      <w:r>
        <w:t xml:space="preserve">: No aplica / sin discrepancia documentada para esta regla.</w:t>
      </w:r>
    </w:p>
    <w:p>
      <w:pPr>
        <w:pStyle w:val="Heading3"/>
      </w:pPr>
      <w:bookmarkStart w:id="130" w:name="Xf7da7162f161a97a1f299d409e030aca7a6b586"/>
      <w:r>
        <w:t xml:space="preserve">3.8 Clasificación de electrolitos por severidad (sodio, potasio, calcio, fósforo, magnesio) — 12-ago-2026</w:t>
      </w:r>
      <w:bookmarkEnd w:id="130"/>
    </w:p>
    <w:p>
      <w:pPr>
        <w:numPr>
          <w:ilvl w:val="0"/>
          <w:numId w:val="1097"/>
        </w:numPr>
        <w:pStyle w:val="Compact"/>
      </w:pPr>
      <w:r>
        <w:rPr>
          <w:b/>
        </w:rPr>
        <w:t xml:space="preserve">Qué hace</w:t>
      </w:r>
      <w:r>
        <w:t xml:space="preserve">: Clasifica 5 electrolitos séricos en 7 bandas cada uno (hipo severo/moderado/leve, normal, hiper leve/moderado/severo) con color y texto asociado.</w:t>
      </w:r>
    </w:p>
    <w:p>
      <w:pPr>
        <w:numPr>
          <w:ilvl w:val="0"/>
          <w:numId w:val="1097"/>
        </w:numPr>
        <w:pStyle w:val="Compact"/>
      </w:pPr>
      <w:r>
        <w:rPr>
          <w:b/>
        </w:rPr>
        <w:t xml:space="preserve">Por qué</w:t>
      </w:r>
      <w:r>
        <w:t xml:space="preserve">: Detectar y graduar desequilibrios electrolíticos clínicamente relevantes con umbrales específicos por analito.</w:t>
      </w:r>
    </w:p>
    <w:p>
      <w:pPr>
        <w:numPr>
          <w:ilvl w:val="0"/>
          <w:numId w:val="1097"/>
        </w:numPr>
        <w:pStyle w:val="Compact"/>
      </w:pPr>
      <w:r>
        <w:rPr>
          <w:b/>
        </w:rPr>
        <w:t xml:space="preserve">Fuente por analito</w:t>
      </w:r>
      <w:r>
        <w:t xml:space="preserve"> </w:t>
      </w:r>
      <w:r>
        <w:t xml:space="preserve">(citada explícitamente en el código, campo</w:t>
      </w:r>
      <w:r>
        <w:t xml:space="preserve"> </w:t>
      </w:r>
      <w:r>
        <w:rPr>
          <w:rStyle w:val="VerbatimChar"/>
        </w:rPr>
        <w:t xml:space="preserve">fuente</w:t>
      </w:r>
      <w:r>
        <w:t xml:space="preserve"> </w:t>
      </w:r>
      <w:r>
        <w:t xml:space="preserve">de cada rango):</w:t>
      </w:r>
    </w:p>
    <w:p>
      <w:pPr>
        <w:numPr>
          <w:ilvl w:val="1"/>
          <w:numId w:val="1098"/>
        </w:numPr>
        <w:pStyle w:val="Compact"/>
      </w:pPr>
      <w:r>
        <w:rPr>
          <w:b/>
        </w:rPr>
        <w:t xml:space="preserve">Sodio</w:t>
      </w:r>
      <w:r>
        <w:t xml:space="preserve">: Hiponatremia — AAFP 2023 (leve 130-134, moderada 125-129, severa &lt;125). Hipernatremia —</w:t>
      </w:r>
      <w:r>
        <w:t xml:space="preserve"> </w:t>
      </w:r>
      <w:r>
        <w:t xml:space="preserve">“</w:t>
      </w:r>
      <w:r>
        <w:t xml:space="preserve">sin un único corte universal en la literatura, síntesis de rangos citados</w:t>
      </w:r>
      <w:r>
        <w:t xml:space="preserve">”</w:t>
      </w:r>
      <w:r>
        <w:t xml:space="preserve">.</w:t>
      </w:r>
    </w:p>
    <w:p>
      <w:pPr>
        <w:numPr>
          <w:ilvl w:val="1"/>
          <w:numId w:val="1098"/>
        </w:numPr>
        <w:pStyle w:val="Compact"/>
      </w:pPr>
      <w:r>
        <w:rPr>
          <w:b/>
        </w:rPr>
        <w:t xml:space="preserve">Potasio</w:t>
      </w:r>
      <w:r>
        <w:t xml:space="preserve">: Hipokalemia — StatPearls (leve 3.0-3.5, moderada 2.5-3.0, severa &lt;2.5). Hiperkalemia — corte severo (&gt;6.5) alineado deliberadamente con el guardrail de</w:t>
      </w:r>
      <w:r>
        <w:t xml:space="preserve"> </w:t>
      </w:r>
      <w:r>
        <w:rPr>
          <w:rStyle w:val="VerbatimChar"/>
        </w:rPr>
        <w:t xml:space="preserve">redflags.js</w:t>
      </w:r>
      <w:r>
        <w:t xml:space="preserve">.</w:t>
      </w:r>
    </w:p>
    <w:p>
      <w:pPr>
        <w:numPr>
          <w:ilvl w:val="1"/>
          <w:numId w:val="1098"/>
        </w:numPr>
        <w:pStyle w:val="Compact"/>
      </w:pPr>
      <w:r>
        <w:rPr>
          <w:b/>
        </w:rPr>
        <w:t xml:space="preserve">Calcio</w:t>
      </w:r>
      <w:r>
        <w:t xml:space="preserve">: Merck Manual (hipocalcemia severa &lt;7.0-7.5 mg/dL) +</w:t>
      </w:r>
      <w:r>
        <w:t xml:space="preserve"> </w:t>
      </w:r>
      <w:r>
        <w:t xml:space="preserve">“</w:t>
      </w:r>
      <w:r>
        <w:t xml:space="preserve">convención clínica habitual</w:t>
      </w:r>
      <w:r>
        <w:t xml:space="preserve">”</w:t>
      </w:r>
      <w:r>
        <w:t xml:space="preserve"> </w:t>
      </w:r>
      <w:r>
        <w:t xml:space="preserve">para hipercalcemia.</w:t>
      </w:r>
    </w:p>
    <w:p>
      <w:pPr>
        <w:numPr>
          <w:ilvl w:val="1"/>
          <w:numId w:val="1098"/>
        </w:numPr>
        <w:pStyle w:val="Compact"/>
      </w:pPr>
      <w:r>
        <w:rPr>
          <w:b/>
        </w:rPr>
        <w:t xml:space="preserve">Fósforo</w:t>
      </w:r>
      <w:r>
        <w:t xml:space="preserve">: Hipofosfatemia con</w:t>
      </w:r>
      <w:r>
        <w:t xml:space="preserve"> </w:t>
      </w:r>
      <w:r>
        <w:t xml:space="preserve">“</w:t>
      </w:r>
      <w:r>
        <w:t xml:space="preserve">buen consenso</w:t>
      </w:r>
      <w:r>
        <w:t xml:space="preserve">”</w:t>
      </w:r>
      <w:r>
        <w:t xml:space="preserve"> </w:t>
      </w:r>
      <w:r>
        <w:t xml:space="preserve">(leve 2.0-2.5, moderada 1.0-2.0, severa &lt;1.0). Hiperfosfatemia:</w:t>
      </w:r>
      <w:r>
        <w:t xml:space="preserve"> </w:t>
      </w:r>
      <w:r>
        <w:rPr>
          <w:b/>
        </w:rPr>
        <w:t xml:space="preserve">“</w:t>
      </w:r>
      <w:r>
        <w:rPr>
          <w:b/>
        </w:rPr>
        <w:t xml:space="preserve">NO tiene una tabla estándar única en la literatura (la mayoría de fuentes son específicas de diálisis) — síntesis propia, la de menor consenso de las 10</w:t>
      </w:r>
      <w:r>
        <w:rPr>
          <w:b/>
        </w:rPr>
        <w:t xml:space="preserve">”</w:t>
      </w:r>
      <w:r>
        <w:t xml:space="preserve"> </w:t>
      </w:r>
      <w:r>
        <w:t xml:space="preserve">(cita literal del código).</w:t>
      </w:r>
    </w:p>
    <w:p>
      <w:pPr>
        <w:numPr>
          <w:ilvl w:val="1"/>
          <w:numId w:val="1098"/>
        </w:numPr>
        <w:pStyle w:val="Compact"/>
      </w:pPr>
      <w:r>
        <w:rPr>
          <w:b/>
        </w:rPr>
        <w:t xml:space="preserve">Magnesio</w:t>
      </w:r>
      <w:r>
        <w:t xml:space="preserve">: Hipomagnesemia con</w:t>
      </w:r>
      <w:r>
        <w:t xml:space="preserve"> </w:t>
      </w:r>
      <w:r>
        <w:t xml:space="preserve">“</w:t>
      </w:r>
      <w:r>
        <w:t xml:space="preserve">buen consenso</w:t>
      </w:r>
      <w:r>
        <w:t xml:space="preserve">”</w:t>
      </w:r>
      <w:r>
        <w:t xml:space="preserve"> </w:t>
      </w:r>
      <w:r>
        <w:t xml:space="preserve">(leve 1.4-1.7, moderada 1.0-1.4, severa &lt;1.0). Hipermagnesemia:</w:t>
      </w:r>
      <w:r>
        <w:t xml:space="preserve"> </w:t>
      </w:r>
      <w:r>
        <w:t xml:space="preserve">“</w:t>
      </w:r>
      <w:r>
        <w:t xml:space="preserve">menos estandarización en población general — síntesis propia</w:t>
      </w:r>
      <w:r>
        <w:t xml:space="preserve">”</w:t>
      </w:r>
      <w:r>
        <w:t xml:space="preserve">.</w:t>
      </w:r>
    </w:p>
    <w:p>
      <w:pPr>
        <w:numPr>
          <w:ilvl w:val="0"/>
          <w:numId w:val="1097"/>
        </w:numPr>
        <w:pStyle w:val="Compact"/>
      </w:pPr>
      <w:r>
        <w:rPr>
          <w:b/>
        </w:rPr>
        <w:t xml:space="preserve">Versión de la fuente</w:t>
      </w:r>
      <w:r>
        <w:t xml:space="preserve">: AAFP 2023 (sodio, lado hipo); StatPearls (potasio, lado hipo) — sin año específico citado; Merck Manual (calcio) — sin edición citada. Para los rangos</w:t>
      </w:r>
      <w:r>
        <w:t xml:space="preserve"> </w:t>
      </w:r>
      <w:r>
        <w:t xml:space="preserve">“</w:t>
      </w:r>
      <w:r>
        <w:t xml:space="preserve">síntesis propia</w:t>
      </w:r>
      <w:r>
        <w:t xml:space="preserve">”</w:t>
      </w:r>
      <w:r>
        <w:t xml:space="preserve"> </w:t>
      </w:r>
      <w:r>
        <w:t xml:space="preserve">(hipernatremia, hiperfosfatemia, hipermagnesemia, hipercalcemia), no hay fuente de guía única — el propio código lo declara.</w:t>
      </w:r>
    </w:p>
    <w:p>
      <w:pPr>
        <w:numPr>
          <w:ilvl w:val="0"/>
          <w:numId w:val="1097"/>
        </w:numPr>
        <w:pStyle w:val="Compact"/>
      </w:pPr>
      <w:r>
        <w:rPr>
          <w:b/>
        </w:rPr>
        <w:t xml:space="preserve">Fecha de revisión</w:t>
      </w:r>
      <w:r>
        <w:t xml:space="preserve">: 12-ago-2026.</w:t>
      </w:r>
    </w:p>
    <w:p>
      <w:pPr>
        <w:numPr>
          <w:ilvl w:val="0"/>
          <w:numId w:val="1097"/>
        </w:numPr>
        <w:pStyle w:val="Compact"/>
      </w:pPr>
      <w:r>
        <w:rPr>
          <w:b/>
        </w:rPr>
        <w:t xml:space="preserve">Quién revisó</w:t>
      </w:r>
      <w:r>
        <w:t xml:space="preserve">:</w:t>
      </w:r>
      <w:r>
        <w:t xml:space="preserve"> </w:t>
      </w:r>
      <w:r>
        <w:rPr>
          <w:b/>
        </w:rPr>
        <w:t xml:space="preserve">“</w:t>
      </w:r>
      <w:r>
        <w:rPr>
          <w:b/>
        </w:rPr>
        <w:t xml:space="preserve">Rangos confirmados con el Dr. Ortega tras revisión de literatura</w:t>
      </w:r>
      <w:r>
        <w:rPr>
          <w:b/>
        </w:rPr>
        <w:t xml:space="preserve">”</w:t>
      </w:r>
      <w:r>
        <w:t xml:space="preserve"> </w:t>
      </w:r>
      <w:r>
        <w:t xml:space="preserve">(cita del comentario de cabecera de esta sección).</w:t>
      </w:r>
    </w:p>
    <w:p>
      <w:pPr>
        <w:numPr>
          <w:ilvl w:val="0"/>
          <w:numId w:val="1097"/>
        </w:numPr>
        <w:pStyle w:val="Compact"/>
      </w:pPr>
      <w:r>
        <w:rPr>
          <w:b/>
        </w:rPr>
        <w:t xml:space="preserve">Qué casos la validan</w:t>
      </w:r>
      <w:r>
        <w:t xml:space="preserve">: Sin caso de prueba identificado — no se encontró ningún</w:t>
      </w:r>
      <w:r>
        <w:t xml:space="preserve"> </w:t>
      </w:r>
      <w:r>
        <w:rPr>
          <w:rStyle w:val="VerbatimChar"/>
        </w:rPr>
        <w:t xml:space="preserve">import</w:t>
      </w:r>
      <w:r>
        <w:t xml:space="preserve">/llamada a</w:t>
      </w:r>
      <w:r>
        <w:t xml:space="preserve"> </w:t>
      </w:r>
      <w:r>
        <w:rPr>
          <w:rStyle w:val="VerbatimChar"/>
        </w:rPr>
        <w:t xml:space="preserve">classifySodio</w:t>
      </w:r>
      <w:r>
        <w:t xml:space="preserve">,</w:t>
      </w:r>
      <w:r>
        <w:t xml:space="preserve"> </w:t>
      </w:r>
      <w:r>
        <w:rPr>
          <w:rStyle w:val="VerbatimChar"/>
        </w:rPr>
        <w:t xml:space="preserve">classifyPotasio</w:t>
      </w:r>
      <w:r>
        <w:t xml:space="preserve">,</w:t>
      </w:r>
      <w:r>
        <w:t xml:space="preserve"> </w:t>
      </w:r>
      <w:r>
        <w:rPr>
          <w:rStyle w:val="VerbatimChar"/>
        </w:rPr>
        <w:t xml:space="preserve">classifyCalcio</w:t>
      </w:r>
      <w:r>
        <w:t xml:space="preserve">,</w:t>
      </w:r>
      <w:r>
        <w:t xml:space="preserve"> </w:t>
      </w:r>
      <w:r>
        <w:rPr>
          <w:rStyle w:val="VerbatimChar"/>
        </w:rPr>
        <w:t xml:space="preserve">classifyFosforo</w:t>
      </w:r>
      <w:r>
        <w:t xml:space="preserve"> </w:t>
      </w:r>
      <w:r>
        <w:t xml:space="preserve">ni</w:t>
      </w:r>
      <w:r>
        <w:t xml:space="preserve"> </w:t>
      </w:r>
      <w:r>
        <w:rPr>
          <w:rStyle w:val="VerbatimChar"/>
        </w:rPr>
        <w:t xml:space="preserve">classifyMagnesio</w:t>
      </w:r>
      <w:r>
        <w:t xml:space="preserve"> </w:t>
      </w:r>
      <w:r>
        <w:t xml:space="preserve">en</w:t>
      </w:r>
      <w:r>
        <w:t xml:space="preserve"> </w:t>
      </w:r>
      <w:r>
        <w:rPr>
          <w:rStyle w:val="VerbatimChar"/>
        </w:rPr>
        <w:t xml:space="preserve">tests/*.test.mjs</w:t>
      </w:r>
      <w:r>
        <w:t xml:space="preserve">. Es un hueco de cobertura de pruebas real para las 5 funciones.</w:t>
      </w:r>
    </w:p>
    <w:p>
      <w:pPr>
        <w:numPr>
          <w:ilvl w:val="0"/>
          <w:numId w:val="1097"/>
        </w:numPr>
        <w:pStyle w:val="Compact"/>
      </w:pPr>
      <w:r>
        <w:rPr>
          <w:b/>
        </w:rPr>
        <w:t xml:space="preserve">Qué excepciones tiene</w:t>
      </w:r>
      <w:r>
        <w:t xml:space="preserve">: El corte severo de hiperkalemia (&gt;6.5) se fijó IDÉNTICO al del guardrail de</w:t>
      </w:r>
      <w:r>
        <w:t xml:space="preserve"> </w:t>
      </w:r>
      <w:r>
        <w:rPr>
          <w:rStyle w:val="VerbatimChar"/>
        </w:rPr>
        <w:t xml:space="preserve">redflags.js</w:t>
      </w:r>
      <w:r>
        <w:t xml:space="preserve"> </w:t>
      </w:r>
      <w:r>
        <w:t xml:space="preserve">de forma deliberada — a esa cifra, el caso</w:t>
      </w:r>
      <w:r>
        <w:t xml:space="preserve"> </w:t>
      </w:r>
      <w:r>
        <w:t xml:space="preserve">“</w:t>
      </w:r>
      <w:r>
        <w:t xml:space="preserve">ya deja de pasar por aquí y cae directo en el guardrail de derivación inmediata</w:t>
      </w:r>
      <w:r>
        <w:t xml:space="preserve">”</w:t>
      </w:r>
      <w:r>
        <w:t xml:space="preserve">, así que esta clasificación de electrolitos nunca llega a mostrar hiperkalemia severa en la práctica (el guardrail la intercepta antes).</w:t>
      </w:r>
    </w:p>
    <w:p>
      <w:pPr>
        <w:numPr>
          <w:ilvl w:val="0"/>
          <w:numId w:val="1097"/>
        </w:numPr>
        <w:pStyle w:val="Compact"/>
      </w:pPr>
      <w:r>
        <w:rPr>
          <w:b/>
        </w:rPr>
        <w:t xml:space="preserve">Qué ocurre si faltan datos</w:t>
      </w:r>
      <w:r>
        <w:t xml:space="preserve">: Comportamiento visible, no silencioso — sin dato, la función regresa explícitamente</w:t>
      </w:r>
      <w:r>
        <w:t xml:space="preserve"> </w:t>
      </w:r>
      <w:r>
        <w:rPr>
          <w:rStyle w:val="VerbatimChar"/>
        </w:rPr>
        <w:t xml:space="preserve">{ valor: null, zona: "gris", texto: "Sin dato", detalle: "Requiere [electrolito] sérico." }</w:t>
      </w:r>
      <w:r>
        <w:t xml:space="preserve"> </w:t>
      </w:r>
      <w:r>
        <w:t xml:space="preserve">para cada uno de los 5 electrolitos.</w:t>
      </w:r>
    </w:p>
    <w:p>
      <w:pPr>
        <w:numPr>
          <w:ilvl w:val="0"/>
          <w:numId w:val="1097"/>
        </w:numPr>
        <w:pStyle w:val="Compact"/>
      </w:pPr>
      <w:r>
        <w:rPr>
          <w:b/>
        </w:rPr>
        <w:t xml:space="preserve">Qué ocurre si dos guías discrepan</w:t>
      </w:r>
      <w:r>
        <w:t xml:space="preserve">:</w:t>
      </w:r>
      <w:r>
        <w:t xml:space="preserve"> </w:t>
      </w:r>
      <w:r>
        <w:rPr>
          <w:b/>
        </w:rPr>
        <w:t xml:space="preserve">El propio código documenta explícitamente, para fósforo y magnesio, que la literatura NO tiene consenso para el lado</w:t>
      </w:r>
      <w:r>
        <w:rPr>
          <w:b/>
        </w:rPr>
        <w:t xml:space="preserve"> </w:t>
      </w:r>
      <w:r>
        <w:rPr>
          <w:b/>
        </w:rPr>
        <w:t xml:space="preserve">“</w:t>
      </w:r>
      <w:r>
        <w:rPr>
          <w:b/>
        </w:rPr>
        <w:t xml:space="preserve">hiper</w:t>
      </w:r>
      <w:r>
        <w:rPr>
          <w:b/>
        </w:rPr>
        <w:t xml:space="preserve">”</w:t>
      </w:r>
      <w:r>
        <w:rPr>
          <w:b/>
        </w:rPr>
        <w:t xml:space="preserve"> </w:t>
      </w:r>
      <w:r>
        <w:rPr>
          <w:b/>
        </w:rPr>
        <w:t xml:space="preserve">en población general</w:t>
      </w:r>
      <w:r>
        <w:t xml:space="preserve"> </w:t>
      </w:r>
      <w:r>
        <w:t xml:space="preserve">y que se optó por una síntesis propia — el fósforo se señala textualmente como</w:t>
      </w:r>
      <w:r>
        <w:t xml:space="preserve"> </w:t>
      </w:r>
      <w:r>
        <w:t xml:space="preserve">“</w:t>
      </w:r>
      <w:r>
        <w:t xml:space="preserve">la de menor consenso de las 10</w:t>
      </w:r>
      <w:r>
        <w:t xml:space="preserve">”</w:t>
      </w:r>
      <w:r>
        <w:t xml:space="preserve"> </w:t>
      </w:r>
      <w:r>
        <w:t xml:space="preserve">bandas clasificadas en todo el módulo de electrolitos. Es una de las declaraciones de incertidumbre más explícitas de todo el proyecto y merece atención prioritaria en cualquier revisión de gobernanza.</w:t>
      </w:r>
    </w:p>
    <w:p>
      <w:pPr>
        <w:pStyle w:val="Heading3"/>
      </w:pPr>
      <w:bookmarkStart w:id="131" w:name="Xed5560d96ba19d228874c4d0a7605457a534c9c"/>
      <w:r>
        <w:t xml:space="preserve">3.9 classifyCKM — Síndrome cardiorrenometabólico (AHA/ACC/ADA/ASN 2026, Tabla 4) — solo EndoDiagnostics</w:t>
      </w:r>
      <w:bookmarkEnd w:id="131"/>
    </w:p>
    <w:p>
      <w:pPr>
        <w:numPr>
          <w:ilvl w:val="0"/>
          <w:numId w:val="1099"/>
        </w:numPr>
        <w:pStyle w:val="Compact"/>
      </w:pPr>
      <w:r>
        <w:rPr>
          <w:b/>
        </w:rPr>
        <w:t xml:space="preserve">Qué hace</w:t>
      </w:r>
      <w:r>
        <w:t xml:space="preserve">: Estadifica el síndrome CKM en 5 niveles (0-4, con subestadios 4a/4b) evaluando en cascada: Estadio 4 (ECV clínica: IC, enfermedad coronaria, EVC/AIT, EAP — con 4b si además eGFR&lt;15), Estadio 3 (ERC de muy alto riesgo o PREVENT ≥20%), Estadio 2 (HTA, hipertrigliceridemia, diabetes, síndrome metabólico ≥3/5 criterios AHA/NHLBI, o ERC riesgo moderado-alto), Estadio 1 (adiposidad excesiva o prediabetes sin otros factores), Estadio 0 (sin factores).</w:t>
      </w:r>
    </w:p>
    <w:p>
      <w:pPr>
        <w:numPr>
          <w:ilvl w:val="0"/>
          <w:numId w:val="1099"/>
        </w:numPr>
        <w:pStyle w:val="Compact"/>
      </w:pPr>
      <w:r>
        <w:rPr>
          <w:b/>
        </w:rPr>
        <w:t xml:space="preserve">Por qué</w:t>
      </w:r>
      <w:r>
        <w:t xml:space="preserve">: Estadificar el riesgo cardiorrenometabólico combinado según el marco de consenso más reciente (2026), construido únicamente con datos que ya existen en el expediente, a petición explícita del Dr. Ortega.</w:t>
      </w:r>
    </w:p>
    <w:p>
      <w:pPr>
        <w:numPr>
          <w:ilvl w:val="0"/>
          <w:numId w:val="1099"/>
        </w:numPr>
        <w:pStyle w:val="Compact"/>
      </w:pPr>
      <w:r>
        <w:rPr>
          <w:b/>
        </w:rPr>
        <w:t xml:space="preserve">Fuente</w:t>
      </w:r>
      <w:r>
        <w:t xml:space="preserve">: Guía 2026 AHA/ACC/ADA/ASN, Tabla 4 (</w:t>
      </w:r>
      <w:r>
        <w:t xml:space="preserve">“</w:t>
      </w:r>
      <w:r>
        <w:t xml:space="preserve">CKM Staging Definitions and Diagnostic Criteria for Adults</w:t>
      </w:r>
      <w:r>
        <w:t xml:space="preserve">”</w:t>
      </w:r>
      <w:r>
        <w:t xml:space="preserve">, página 191 del PDF).</w:t>
      </w:r>
    </w:p>
    <w:p>
      <w:pPr>
        <w:numPr>
          <w:ilvl w:val="0"/>
          <w:numId w:val="1099"/>
        </w:numPr>
        <w:pStyle w:val="Compact"/>
      </w:pPr>
      <w:r>
        <w:rPr>
          <w:b/>
        </w:rPr>
        <w:t xml:space="preserve">Versión de la fuente</w:t>
      </w:r>
      <w:r>
        <w:t xml:space="preserve">: PDF compartido directamente por el Dr. Ortega el 13-ago-2026 (fuente primaria verificada, no una referencia genérica).</w:t>
      </w:r>
    </w:p>
    <w:p>
      <w:pPr>
        <w:numPr>
          <w:ilvl w:val="0"/>
          <w:numId w:val="1099"/>
        </w:numPr>
        <w:pStyle w:val="Compact"/>
      </w:pPr>
      <w:r>
        <w:rPr>
          <w:b/>
        </w:rPr>
        <w:t xml:space="preserve">Fecha de revisión</w:t>
      </w:r>
      <w:r>
        <w:t xml:space="preserve">: 13-ago-2026 (fecha en que el Dr. Ortega compartió el PDF fuente).</w:t>
      </w:r>
    </w:p>
    <w:p>
      <w:pPr>
        <w:numPr>
          <w:ilvl w:val="0"/>
          <w:numId w:val="1099"/>
        </w:numPr>
        <w:pStyle w:val="Compact"/>
      </w:pPr>
      <w:r>
        <w:rPr>
          <w:b/>
        </w:rPr>
        <w:t xml:space="preserve">Quién revisó</w:t>
      </w:r>
      <w:r>
        <w:t xml:space="preserve">: Dr. Ortega (</w:t>
      </w:r>
      <w:r>
        <w:t xml:space="preserve">“</w:t>
      </w:r>
      <w:r>
        <w:t xml:space="preserve">a petición explícita del Dr. Ortega, NO se agregó ningún campo nuevo —</w:t>
      </w:r>
      <w:r>
        <w:t xml:space="preserve"> </w:t>
      </w:r>
      <w:r>
        <w:t xml:space="preserve">‘</w:t>
      </w:r>
      <w:r>
        <w:t xml:space="preserve">lo demás no es típico de consulta… lo dejaremos fuera por ahora</w:t>
      </w:r>
      <w:r>
        <w:t xml:space="preserve">’</w:t>
      </w:r>
      <w:r>
        <w:t xml:space="preserve">”</w:t>
      </w:r>
      <w:r>
        <w:t xml:space="preserve">).</w:t>
      </w:r>
    </w:p>
    <w:p>
      <w:pPr>
        <w:numPr>
          <w:ilvl w:val="0"/>
          <w:numId w:val="1099"/>
        </w:numPr>
        <w:pStyle w:val="Compact"/>
      </w:pPr>
      <w:r>
        <w:rPr>
          <w:b/>
        </w:rPr>
        <w:t xml:space="preserve">Qué casos la validan</w:t>
      </w:r>
      <w:r>
        <w:t xml:space="preserve">: Sin caso de prueba identificado — no se encontró ningún</w:t>
      </w:r>
      <w:r>
        <w:t xml:space="preserve"> </w:t>
      </w:r>
      <w:r>
        <w:rPr>
          <w:rStyle w:val="VerbatimChar"/>
        </w:rPr>
        <w:t xml:space="preserve">import</w:t>
      </w:r>
      <w:r>
        <w:t xml:space="preserve">/llamada a</w:t>
      </w:r>
      <w:r>
        <w:t xml:space="preserve"> </w:t>
      </w:r>
      <w:r>
        <w:rPr>
          <w:rStyle w:val="VerbatimChar"/>
        </w:rPr>
        <w:t xml:space="preserve">classifyCKM</w:t>
      </w:r>
      <w:r>
        <w:t xml:space="preserve"> </w:t>
      </w:r>
      <w:r>
        <w:t xml:space="preserve">en</w:t>
      </w:r>
      <w:r>
        <w:t xml:space="preserve"> </w:t>
      </w:r>
      <w:r>
        <w:rPr>
          <w:rStyle w:val="VerbatimChar"/>
        </w:rPr>
        <w:t xml:space="preserve">tests/*.test.mjs</w:t>
      </w:r>
      <w:r>
        <w:t xml:space="preserve">. Dado que es una función de estadificación de 5 niveles con lógica en cascada relativamente compleja, esta ausencia de cobertura de pruebas es uno de los huecos más notables de todo el catálogo.</w:t>
      </w:r>
    </w:p>
    <w:p>
      <w:pPr>
        <w:numPr>
          <w:ilvl w:val="0"/>
          <w:numId w:val="1099"/>
        </w:numPr>
        <w:pStyle w:val="Compact"/>
      </w:pPr>
      <w:r>
        <w:rPr>
          <w:b/>
        </w:rPr>
        <w:t xml:space="preserve">Qué excepciones tiene</w:t>
      </w:r>
      <w:r>
        <w:t xml:space="preserve">: Documentadas explícitamente varias exclusiones deliberadas de alcance respecto a la Tabla 4 completa:</w:t>
      </w:r>
    </w:p>
    <w:p>
      <w:pPr>
        <w:numPr>
          <w:ilvl w:val="1"/>
          <w:numId w:val="1100"/>
        </w:numPr>
        <w:pStyle w:val="Compact"/>
      </w:pPr>
      <w:r>
        <w:t xml:space="preserve">No incluye fibrilación auricular como componente de ECV clínica del Estadio 4.</w:t>
      </w:r>
    </w:p>
    <w:p>
      <w:pPr>
        <w:numPr>
          <w:ilvl w:val="1"/>
          <w:numId w:val="1100"/>
        </w:numPr>
        <w:pStyle w:val="Compact"/>
      </w:pPr>
      <w:r>
        <w:t xml:space="preserve">No captura estado explícito de diálisis/terapia de reemplazo renal — el 4b solo se detecta vía eGFR &lt;15.</w:t>
      </w:r>
    </w:p>
    <w:p>
      <w:pPr>
        <w:numPr>
          <w:ilvl w:val="1"/>
          <w:numId w:val="1100"/>
        </w:numPr>
        <w:pStyle w:val="Compact"/>
      </w:pPr>
      <w:r>
        <w:t xml:space="preserve">El Estadio 3 solo se alcanza por sus 2</w:t>
      </w:r>
      <w:r>
        <w:t xml:space="preserve"> </w:t>
      </w:r>
      <w:r>
        <w:t xml:space="preserve">“</w:t>
      </w:r>
      <w:r>
        <w:t xml:space="preserve">risk equivalents</w:t>
      </w:r>
      <w:r>
        <w:t xml:space="preserve">”</w:t>
      </w:r>
      <w:r>
        <w:t xml:space="preserve"> </w:t>
      </w:r>
      <w:r>
        <w:t xml:space="preserve">(ERC muy alto riesgo o PREVENT ≥20%), no por hallazgo subclínico directo (calcio coronario, NT-proBNP/troponinas, ecocardiograma) — no evaluados en esta consulta.</w:t>
      </w:r>
    </w:p>
    <w:p>
      <w:pPr>
        <w:numPr>
          <w:ilvl w:val="1"/>
          <w:numId w:val="1100"/>
        </w:numPr>
        <w:pStyle w:val="Compact"/>
      </w:pPr>
      <w:r>
        <w:t xml:space="preserve">Acepta diabetes Tipo I o Tipo II por igual para el criterio de diabetes del Estadio 2, aunque la Tabla 4 dice</w:t>
      </w:r>
      <w:r>
        <w:t xml:space="preserve"> </w:t>
      </w:r>
      <w:r>
        <w:t xml:space="preserve">“</w:t>
      </w:r>
      <w:r>
        <w:t xml:space="preserve">T2D</w:t>
      </w:r>
      <w:r>
        <w:t xml:space="preserve">”</w:t>
      </w:r>
      <w:r>
        <w:t xml:space="preserve"> </w:t>
      </w:r>
      <w:r>
        <w:t xml:space="preserve">— decisión documentada explícitamente:</w:t>
      </w:r>
      <w:r>
        <w:t xml:space="preserve"> </w:t>
      </w:r>
      <w:r>
        <w:t xml:space="preserve">“</w:t>
      </w:r>
      <w:r>
        <w:t xml:space="preserve">el riesgo cardiorrenal de la hiperglucemia crónica sostenida no es exclusivo de la diabetes tipo 2</w:t>
      </w:r>
      <w:r>
        <w:t xml:space="preserve">”</w:t>
      </w:r>
      <w:r>
        <w:t xml:space="preserve">.</w:t>
      </w:r>
    </w:p>
    <w:p>
      <w:pPr>
        <w:numPr>
          <w:ilvl w:val="0"/>
          <w:numId w:val="1099"/>
        </w:numPr>
        <w:pStyle w:val="Compact"/>
      </w:pPr>
      <w:r>
        <w:rPr>
          <w:b/>
        </w:rPr>
        <w:t xml:space="preserve">Qué ocurre si faltan datos</w:t>
      </w:r>
      <w:r>
        <w:t xml:space="preserve">: Si no hay datos básicos mínimos (IMC, glucosa/A1c, ni presión arterial), regresa explícitamente zona gris</w:t>
      </w:r>
      <w:r>
        <w:t xml:space="preserve"> </w:t>
      </w:r>
      <w:r>
        <w:t xml:space="preserve">“</w:t>
      </w:r>
      <w:r>
        <w:t xml:space="preserve">Sin datos suficientes</w:t>
      </w:r>
      <w:r>
        <w:t xml:space="preserve">”</w:t>
      </w:r>
      <w:r>
        <w:t xml:space="preserve"> </w:t>
      </w:r>
      <w:r>
        <w:t xml:space="preserve">— comportamiento visible, no silencioso, para el caso de ausencia total de datos. Para datos parciales dentro de cada estadio, cada factor faltante simplemente no se agrega a la lista</w:t>
      </w:r>
      <w:r>
        <w:t xml:space="preserve"> </w:t>
      </w:r>
      <w:r>
        <w:rPr>
          <w:rStyle w:val="VerbatimChar"/>
        </w:rPr>
        <w:t xml:space="preserve">factores</w:t>
      </w:r>
      <w:r>
        <w:t xml:space="preserve"> </w:t>
      </w:r>
      <w:r>
        <w:t xml:space="preserve">(por ejemplo, si no hay uACR, el factor de ERC se describe sin ese dato) — degradación parcial y silenciosa dato por dato, sin aviso explícito de</w:t>
      </w:r>
      <w:r>
        <w:t xml:space="preserve"> </w:t>
      </w:r>
      <w:r>
        <w:t xml:space="preserve">“</w:t>
      </w:r>
      <w:r>
        <w:t xml:space="preserve">faltan estos campos específicos</w:t>
      </w:r>
      <w:r>
        <w:t xml:space="preserve">”</w:t>
      </w:r>
      <w:r>
        <w:t xml:space="preserve">.</w:t>
      </w:r>
    </w:p>
    <w:p>
      <w:pPr>
        <w:numPr>
          <w:ilvl w:val="0"/>
          <w:numId w:val="1099"/>
        </w:numPr>
        <w:pStyle w:val="Compact"/>
      </w:pPr>
      <w:r>
        <w:rPr>
          <w:b/>
        </w:rPr>
        <w:t xml:space="preserve">Qué ocurre si dos guías discrepan</w:t>
      </w:r>
      <w:r>
        <w:t xml:space="preserve">: No aplica directamente, pero hay una</w:t>
      </w:r>
      <w:r>
        <w:t xml:space="preserve"> </w:t>
      </w:r>
      <w:r>
        <w:rPr>
          <w:b/>
        </w:rPr>
        <w:t xml:space="preserve">LIMITACIÓN CONOCIDA declarada textualmente en el código</w:t>
      </w:r>
      <w:r>
        <w:t xml:space="preserve">:</w:t>
      </w:r>
      <w:r>
        <w:t xml:space="preserve"> </w:t>
      </w:r>
      <w:r>
        <w:rPr>
          <w:i/>
        </w:rPr>
        <w:t xml:space="preserve">“</w:t>
      </w:r>
      <w:r>
        <w:rPr>
          <w:i/>
        </w:rPr>
        <w:t xml:space="preserve">el corte de IMC/cintura de la Tabla 4 tiene un ajuste para ascendencia asiática (IMC ≥23, cintura ≥80/90 cm) — el expediente no captura ascendencia, así que aquí siempre se usa el corte estándar (IMC ≥25, cintura ≥88/102 cm).</w:t>
      </w:r>
      <w:r>
        <w:rPr>
          <w:i/>
        </w:rPr>
        <w:t xml:space="preserve">”</w:t>
      </w:r>
      <w:r>
        <w:t xml:space="preserve"> </w:t>
      </w:r>
      <w:r>
        <w:t xml:space="preserve">Esto significa que pacientes de ascendencia asiática con adiposidad clínicamente relevante bajo el corte ajustado pero por debajo del corte estándar podrían no clasificarse en el Estadio 1 cuando la guía original sí los incluiría — riesgo de subestadificación no compensado por el sistema.</w:t>
      </w:r>
    </w:p>
    <w:p>
      <w:pPr>
        <w:pStyle w:val="Heading3"/>
      </w:pPr>
      <w:bookmarkStart w:id="132" w:name="X5d87f7eab84094cba74e6df35b5324cf6e8ea41"/>
      <w:r>
        <w:t xml:space="preserve">3.10 getGlycemicAndBPGoals / TG_GOAL — Metas consolidadas (EndoGoals)</w:t>
      </w:r>
      <w:bookmarkEnd w:id="132"/>
    </w:p>
    <w:p>
      <w:pPr>
        <w:numPr>
          <w:ilvl w:val="0"/>
          <w:numId w:val="1101"/>
        </w:numPr>
        <w:pStyle w:val="Compact"/>
      </w:pPr>
      <w:r>
        <w:rPr>
          <w:b/>
        </w:rPr>
        <w:t xml:space="preserve">Qué hace</w:t>
      </w:r>
      <w:r>
        <w:t xml:space="preserve">: Centraliza las metas de glucosa en ayuno/preprandial y presión arterial según la Tabla 13.2 (ADA 2026) + Recomendación 6.3a, para que EndoGoals, EndoLypids y EndoPressure muestren siempre el mismo número.</w:t>
      </w:r>
      <w:r>
        <w:t xml:space="preserve"> </w:t>
      </w:r>
      <w:r>
        <w:rPr>
          <w:rStyle w:val="VerbatimChar"/>
        </w:rPr>
        <w:t xml:space="preserve">TG_GOAL</w:t>
      </w:r>
      <w:r>
        <w:t xml:space="preserve"> </w:t>
      </w:r>
      <w:r>
        <w:t xml:space="preserve">fija la meta de triglicéridos en &lt;150 mg/dL.</w:t>
      </w:r>
    </w:p>
    <w:p>
      <w:pPr>
        <w:numPr>
          <w:ilvl w:val="0"/>
          <w:numId w:val="1101"/>
        </w:numPr>
        <w:pStyle w:val="Compact"/>
      </w:pPr>
      <w:r>
        <w:rPr>
          <w:b/>
        </w:rPr>
        <w:t xml:space="preserve">Por qué</w:t>
      </w:r>
      <w:r>
        <w:t xml:space="preserve">: Evitar que el mismo paciente vea metas distintas en dos pantallas diferentes del dashboard.</w:t>
      </w:r>
    </w:p>
    <w:p>
      <w:pPr>
        <w:numPr>
          <w:ilvl w:val="0"/>
          <w:numId w:val="1101"/>
        </w:numPr>
        <w:pStyle w:val="Compact"/>
      </w:pPr>
      <w:r>
        <w:rPr>
          <w:b/>
        </w:rPr>
        <w:t xml:space="preserve">Fuente</w:t>
      </w:r>
      <w:r>
        <w:t xml:space="preserve">: Tabla 13.2 (ADA 2026, adultos mayores) + Recomendación 6.3a (ADA 2026, &lt;65 años); meta de TG por convención ATP III/ACC-AHA.</w:t>
      </w:r>
    </w:p>
    <w:p>
      <w:pPr>
        <w:numPr>
          <w:ilvl w:val="0"/>
          <w:numId w:val="1101"/>
        </w:numPr>
        <w:pStyle w:val="Compact"/>
      </w:pPr>
      <w:r>
        <w:rPr>
          <w:b/>
        </w:rPr>
        <w:t xml:space="preserve">Versión de la fuente</w:t>
      </w:r>
      <w:r>
        <w:t xml:space="preserve">: ADA 2026 (glucosa/PA); ATP III/ACC-AHA sin año específico citado para TG (convención, no cifra oficial de una sola guía).</w:t>
      </w:r>
    </w:p>
    <w:p>
      <w:pPr>
        <w:numPr>
          <w:ilvl w:val="0"/>
          <w:numId w:val="1101"/>
        </w:numPr>
        <w:pStyle w:val="Compact"/>
      </w:pPr>
      <w:r>
        <w:rPr>
          <w:b/>
        </w:rPr>
        <w:t xml:space="preserve">Fecha de revisión</w:t>
      </w:r>
      <w:r>
        <w:t xml:space="preserve">:</w:t>
      </w:r>
      <w:r>
        <w:t xml:space="preserve"> </w:t>
      </w:r>
      <w:r>
        <w:rPr>
          <w:b/>
        </w:rPr>
        <w:t xml:space="preserve">Corrección de auditoría documentada el 8-ago-2026.</w:t>
      </w:r>
    </w:p>
    <w:p>
      <w:pPr>
        <w:numPr>
          <w:ilvl w:val="0"/>
          <w:numId w:val="1101"/>
        </w:numPr>
        <w:pStyle w:val="Compact"/>
      </w:pPr>
      <w:r>
        <w:rPr>
          <w:b/>
        </w:rPr>
        <w:t xml:space="preserve">Quién revisó</w:t>
      </w:r>
      <w:r>
        <w:t xml:space="preserve">:</w:t>
      </w:r>
      <w:r>
        <w:t xml:space="preserve"> </w:t>
      </w:r>
      <w:r>
        <w:rPr>
          <w:b/>
        </w:rPr>
        <w:t xml:space="preserve">“</w:t>
      </w:r>
      <w:r>
        <w:rPr>
          <w:b/>
        </w:rPr>
        <w:t xml:space="preserve">Detectada por el Dr. Ortega al revisar la integración</w:t>
      </w:r>
      <w:r>
        <w:rPr>
          <w:b/>
        </w:rPr>
        <w:t xml:space="preserve">”</w:t>
      </w:r>
      <w:r>
        <w:t xml:space="preserve"> </w:t>
      </w:r>
      <w:r>
        <w:t xml:space="preserve">(atribución explícita en el código, a diferencia de</w:t>
      </w:r>
      <w:r>
        <w:t xml:space="preserve"> </w:t>
      </w:r>
      <w:r>
        <w:rPr>
          <w:rStyle w:val="VerbatimChar"/>
        </w:rPr>
        <w:t xml:space="preserve">getA1cTarget</w:t>
      </w:r>
      <w:r>
        <w:t xml:space="preserve"> </w:t>
      </w:r>
      <w:r>
        <w:t xml:space="preserve">donde el revisor no se nombra explícitamente).</w:t>
      </w:r>
    </w:p>
    <w:p>
      <w:pPr>
        <w:numPr>
          <w:ilvl w:val="0"/>
          <w:numId w:val="1101"/>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 líneas 257, 266 (casos directos con</w:t>
      </w:r>
      <w:r>
        <w:t xml:space="preserve"> </w:t>
      </w:r>
      <w:r>
        <w:rPr>
          <w:rStyle w:val="VerbatimChar"/>
        </w:rPr>
        <w:t xml:space="preserve">age</w:t>
      </w:r>
      <w:r>
        <w:t xml:space="preserve">/</w:t>
      </w:r>
      <w:r>
        <w:rPr>
          <w:rStyle w:val="VerbatimChar"/>
        </w:rPr>
        <w:t xml:space="preserve">healthStatus</w:t>
      </w:r>
      <w:r>
        <w:t xml:space="preserve">/</w:t>
      </w:r>
      <w:r>
        <w:rPr>
          <w:rStyle w:val="VerbatimChar"/>
        </w:rPr>
        <w:t xml:space="preserve">lowTreatmentBurden</w:t>
      </w:r>
      <w:r>
        <w:t xml:space="preserve">); integrado también en los casos B1-B8 (líneas 586-714).</w:t>
      </w:r>
    </w:p>
    <w:p>
      <w:pPr>
        <w:numPr>
          <w:ilvl w:val="0"/>
          <w:numId w:val="1101"/>
        </w:numPr>
        <w:pStyle w:val="Compact"/>
      </w:pPr>
      <w:r>
        <w:rPr>
          <w:b/>
        </w:rPr>
        <w:t xml:space="preserve">Qué excepciones tiene</w:t>
      </w:r>
      <w:r>
        <w:t xml:space="preserve">: Para</w:t>
      </w:r>
      <w:r>
        <w:t xml:space="preserve"> </w:t>
      </w:r>
      <w:r>
        <w:t xml:space="preserve">“</w:t>
      </w:r>
      <w:r>
        <w:t xml:space="preserve">muy complejo</w:t>
      </w:r>
      <w:r>
        <w:t xml:space="preserve">”</w:t>
      </w:r>
      <w:r>
        <w:t xml:space="preserve">, la meta de A1c se documenta como</w:t>
      </w:r>
      <w:r>
        <w:t xml:space="preserve"> </w:t>
      </w:r>
      <w:r>
        <w:t xml:space="preserve">“</w:t>
      </w:r>
      <w:r>
        <w:t xml:space="preserve">Evitar depender de la A1c</w:t>
      </w:r>
      <w:r>
        <w:t xml:space="preserve">”</w:t>
      </w:r>
      <w:r>
        <w:t xml:space="preserve"> </w:t>
      </w:r>
      <w:r>
        <w:t xml:space="preserve">(texto, no número) — consistente con la limitación ya declarada en</w:t>
      </w:r>
      <w:r>
        <w:t xml:space="preserve"> </w:t>
      </w:r>
      <w:r>
        <w:rPr>
          <w:rStyle w:val="VerbatimChar"/>
        </w:rPr>
        <w:t xml:space="preserve">getA1cTarget</w:t>
      </w:r>
      <w:r>
        <w:t xml:space="preserve">.</w:t>
      </w:r>
    </w:p>
    <w:p>
      <w:pPr>
        <w:numPr>
          <w:ilvl w:val="0"/>
          <w:numId w:val="1101"/>
        </w:numPr>
        <w:pStyle w:val="Compact"/>
      </w:pPr>
      <w:r>
        <w:rPr>
          <w:b/>
        </w:rPr>
        <w:t xml:space="preserve">Qué ocurre si faltan datos</w:t>
      </w:r>
      <w:r>
        <w:t xml:space="preserve">: Si</w:t>
      </w:r>
      <w:r>
        <w:t xml:space="preserve"> </w:t>
      </w:r>
      <w:r>
        <w:rPr>
          <w:rStyle w:val="VerbatimChar"/>
        </w:rPr>
        <w:t xml:space="preserve">healthStatus</w:t>
      </w:r>
      <w:r>
        <w:t xml:space="preserve"> </w:t>
      </w:r>
      <w:r>
        <w:t xml:space="preserve">no se especifica, cae por defecto a</w:t>
      </w:r>
      <w:r>
        <w:t xml:space="preserve"> </w:t>
      </w:r>
      <w:r>
        <w:rPr>
          <w:rStyle w:val="VerbatimChar"/>
        </w:rPr>
        <w:t xml:space="preserve">GOALS_TABLE.sano</w:t>
      </w:r>
      <w:r>
        <w:t xml:space="preserve"> </w:t>
      </w:r>
      <w:r>
        <w:t xml:space="preserve">— fallback silencioso análogo al de</w:t>
      </w:r>
      <w:r>
        <w:t xml:space="preserve"> </w:t>
      </w:r>
      <w:r>
        <w:rPr>
          <w:rStyle w:val="VerbatimChar"/>
        </w:rPr>
        <w:t xml:space="preserve">getA1cTarget</w:t>
      </w:r>
      <w:r>
        <w:t xml:space="preserve">.</w:t>
      </w:r>
    </w:p>
    <w:p>
      <w:pPr>
        <w:numPr>
          <w:ilvl w:val="0"/>
          <w:numId w:val="1101"/>
        </w:numPr>
        <w:pStyle w:val="Compact"/>
      </w:pPr>
      <w:r>
        <w:rPr>
          <w:b/>
        </w:rPr>
        <w:t xml:space="preserve">Qué ocurre si dos guías discrepan</w:t>
      </w:r>
      <w:r>
        <w:t xml:space="preserve">: Hallazgo de gobernanza documentado</w:t>
      </w:r>
      <w:r>
        <w:t xml:space="preserve"> </w:t>
      </w:r>
      <w:r>
        <w:rPr>
          <w:b/>
        </w:rPr>
        <w:t xml:space="preserve">textualmente en el código</w:t>
      </w:r>
      <w:r>
        <w:t xml:space="preserve">, se transcribe íntegro:</w:t>
      </w:r>
    </w:p>
    <w:p>
      <w:pPr>
        <w:pStyle w:val="BlockText"/>
      </w:pPr>
      <w:r>
        <w:rPr>
          <w:i/>
        </w:rPr>
        <w:t xml:space="preserve">“</w:t>
      </w:r>
      <w:r>
        <w:rPr>
          <w:i/>
        </w:rPr>
        <w:t xml:space="preserve">CORRECCIÓN (8-ago-2026, detectada por el Dr. Ortega al revisar la integración): esta función NO recibía</w:t>
      </w:r>
      <w:r>
        <w:rPr>
          <w:i/>
        </w:rPr>
        <w:t xml:space="preserve"> </w:t>
      </w:r>
      <w:r>
        <w:rPr>
          <w:rStyle w:val="VerbatimChar"/>
          <w:i/>
        </w:rPr>
        <w:t xml:space="preserve">lowTreatmentBurden</w:t>
      </w:r>
      <w:r>
        <w:rPr>
          <w:i/>
        </w:rPr>
        <w:t xml:space="preserve">, por lo que un paciente &lt;65 años con la casilla</w:t>
      </w:r>
      <w:r>
        <w:rPr>
          <w:i/>
        </w:rPr>
        <w:t xml:space="preserve"> </w:t>
      </w:r>
      <w:r>
        <w:rPr>
          <w:i/>
        </w:rPr>
        <w:t xml:space="preserve">‘</w:t>
      </w:r>
      <w:r>
        <w:rPr>
          <w:i/>
        </w:rPr>
        <w:t xml:space="preserve">bajo riesgo/carga de tratamiento</w:t>
      </w:r>
      <w:r>
        <w:rPr>
          <w:i/>
        </w:rPr>
        <w:t xml:space="preserve">’</w:t>
      </w:r>
      <w:r>
        <w:rPr>
          <w:i/>
        </w:rPr>
        <w:t xml:space="preserve"> </w:t>
      </w:r>
      <w:r>
        <w:rPr>
          <w:i/>
        </w:rPr>
        <w:t xml:space="preserve">marcada veía meta de A1c &lt;6.5% en Individualización pero &lt;7.0% en EndoGoals — mismo paciente, dos metas distintas, el mismo tipo de inconsistencia que ya se había corregido para presión arterial en la auditoría anterior.</w:t>
      </w:r>
      <w:r>
        <w:rPr>
          <w:i/>
        </w:rPr>
        <w:t xml:space="preserve">”</w:t>
      </w:r>
    </w:p>
    <w:p>
      <w:pPr>
        <w:pStyle w:val="FirstParagraph"/>
      </w:pPr>
      <w:r>
        <w:t xml:space="preserve">Este es el segundo caso (junto con 3.6) de un bug de inconsistencia entre pantallas para el mismo paciente detectado y corregido el mismo día (8-ago-2026), lo que sugiere que la auditoría de esa fecha fue sistemática sobre todo el flujo de metas individualizadas, no un hallazgo aislado.</w:t>
      </w:r>
    </w:p>
    <w:p>
      <w:pPr>
        <w:pStyle w:val="Heading3"/>
      </w:pPr>
      <w:bookmarkStart w:id="133" w:name="X8a7ae6d6539be5ebdceb97facad2e28eefbf0aa"/>
      <w:r>
        <w:t xml:space="preserve">3.11 classifyValueVsTarget / classifyBPVsGoal / ayunoEstadoToZona — Heurísticos visuales del anillo de progreso (EndoGoals)</w:t>
      </w:r>
      <w:bookmarkEnd w:id="133"/>
    </w:p>
    <w:p>
      <w:pPr>
        <w:numPr>
          <w:ilvl w:val="0"/>
          <w:numId w:val="1102"/>
        </w:numPr>
        <w:pStyle w:val="Compact"/>
      </w:pPr>
      <w:r>
        <w:rPr>
          <w:b/>
        </w:rPr>
        <w:t xml:space="preserve">Qué hace</w:t>
      </w:r>
      <w:r>
        <w:t xml:space="preserve">: Calculan qué tan lleno se ve el anillo de progreso visual hacia la meta (glucosa, LDL, TG, PA) y de qué color, y mapean el estado de</w:t>
      </w:r>
      <w:r>
        <w:t xml:space="preserve"> </w:t>
      </w:r>
      <w:r>
        <w:rPr>
          <w:rStyle w:val="VerbatimChar"/>
        </w:rPr>
        <w:t xml:space="preserve">computeMonitoreo</w:t>
      </w:r>
      <w:r>
        <w:t xml:space="preserve"> </w:t>
      </w:r>
      <w:r>
        <w:t xml:space="preserve">(de</w:t>
      </w:r>
      <w:r>
        <w:t xml:space="preserve"> </w:t>
      </w:r>
      <w:r>
        <w:rPr>
          <w:rStyle w:val="VerbatimChar"/>
        </w:rPr>
        <w:t xml:space="preserve">insulin.js</w:t>
      </w:r>
      <w:r>
        <w:t xml:space="preserve">) a la misma paleta de colores del resto del sistema.</w:t>
      </w:r>
    </w:p>
    <w:p>
      <w:pPr>
        <w:numPr>
          <w:ilvl w:val="0"/>
          <w:numId w:val="1102"/>
        </w:numPr>
        <w:pStyle w:val="Compact"/>
      </w:pPr>
      <w:r>
        <w:rPr>
          <w:b/>
        </w:rPr>
        <w:t xml:space="preserve">Por qué</w:t>
      </w:r>
      <w:r>
        <w:t xml:space="preserve">: Dar una lectura visual rápida de</w:t>
      </w:r>
      <w:r>
        <w:t xml:space="preserve"> </w:t>
      </w:r>
      <w:r>
        <w:t xml:space="preserve">“</w:t>
      </w:r>
      <w:r>
        <w:t xml:space="preserve">qué tan cerca está</w:t>
      </w:r>
      <w:r>
        <w:t xml:space="preserve">”</w:t>
      </w:r>
      <w:r>
        <w:t xml:space="preserve"> </w:t>
      </w:r>
      <w:r>
        <w:t xml:space="preserve">el paciente de su meta, reutilizando la paleta ZONES ya establecida.</w:t>
      </w:r>
    </w:p>
    <w:p>
      <w:pPr>
        <w:numPr>
          <w:ilvl w:val="0"/>
          <w:numId w:val="1102"/>
        </w:numPr>
        <w:pStyle w:val="Compact"/>
      </w:pPr>
      <w:r>
        <w:rPr>
          <w:b/>
        </w:rPr>
        <w:t xml:space="preserve">Fuente</w:t>
      </w:r>
      <w:r>
        <w:t xml:space="preserve">:</w:t>
      </w:r>
      <w:r>
        <w:t xml:space="preserve"> </w:t>
      </w:r>
      <w:r>
        <w:rPr>
          <w:b/>
        </w:rPr>
        <w:t xml:space="preserve">Ninguna</w:t>
      </w:r>
      <w:r>
        <w:t xml:space="preserve"> </w:t>
      </w:r>
      <w:r>
        <w:t xml:space="preserve">— el propio comentario de cabecera de esta sección lo declara explícitamente:</w:t>
      </w:r>
      <w:r>
        <w:t xml:space="preserve"> </w:t>
      </w:r>
      <w:r>
        <w:rPr>
          <w:i/>
        </w:rPr>
        <w:t xml:space="preserve">“</w:t>
      </w:r>
      <w:r>
        <w:rPr>
          <w:i/>
        </w:rPr>
        <w:t xml:space="preserve">Estas funciones NO clasifican riesgo clínico […] Son puramente un heurístico VISUAL […] Los cortes (meta / +15% / +40%) son un criterio de diseño, no una guía — documentado explícitamente para no confundirse con un umbral clínico real.</w:t>
      </w:r>
      <w:r>
        <w:rPr>
          <w:i/>
        </w:rPr>
        <w:t xml:space="preserve">”</w:t>
      </w:r>
    </w:p>
    <w:p>
      <w:pPr>
        <w:numPr>
          <w:ilvl w:val="0"/>
          <w:numId w:val="1102"/>
        </w:numPr>
        <w:pStyle w:val="Compact"/>
      </w:pPr>
      <w:r>
        <w:rPr>
          <w:b/>
        </w:rPr>
        <w:t xml:space="preserve">Versión de la fuente</w:t>
      </w:r>
      <w:r>
        <w:t xml:space="preserve">: No aplica — no hay fuente clínica, es diseño de interfaz.</w:t>
      </w:r>
    </w:p>
    <w:p>
      <w:pPr>
        <w:numPr>
          <w:ilvl w:val="0"/>
          <w:numId w:val="1102"/>
        </w:numPr>
        <w:pStyle w:val="Compact"/>
      </w:pPr>
      <w:r>
        <w:rPr>
          <w:b/>
        </w:rPr>
        <w:t xml:space="preserve">Fecha de revisión</w:t>
      </w:r>
      <w:r>
        <w:t xml:space="preserve">: 16-ago-2026 (fecha de agregado,</w:t>
      </w:r>
      <w:r>
        <w:t xml:space="preserve"> </w:t>
      </w:r>
      <w:r>
        <w:t xml:space="preserve">“</w:t>
      </w:r>
      <w:r>
        <w:t xml:space="preserve">rediseño visual de EndoGoals, a petición del Dr. Ortega</w:t>
      </w:r>
      <w:r>
        <w:t xml:space="preserve">”</w:t>
      </w:r>
      <w:r>
        <w:t xml:space="preserve">).</w:t>
      </w:r>
    </w:p>
    <w:p>
      <w:pPr>
        <w:numPr>
          <w:ilvl w:val="0"/>
          <w:numId w:val="1102"/>
        </w:numPr>
        <w:pStyle w:val="Compact"/>
      </w:pPr>
      <w:r>
        <w:rPr>
          <w:b/>
        </w:rPr>
        <w:t xml:space="preserve">Quién revisó</w:t>
      </w:r>
      <w:r>
        <w:t xml:space="preserve">: Dr. Ortega (a petición de quien se agregó esta capa visual).</w:t>
      </w:r>
    </w:p>
    <w:p>
      <w:pPr>
        <w:numPr>
          <w:ilvl w:val="0"/>
          <w:numId w:val="1102"/>
        </w:numPr>
        <w:pStyle w:val="Compact"/>
      </w:pPr>
      <w:r>
        <w:rPr>
          <w:b/>
        </w:rPr>
        <w:t xml:space="preserve">Qué casos la validan</w:t>
      </w:r>
      <w:r>
        <w:t xml:space="preserve">: Sin caso de prueba identificado — no se encontró</w:t>
      </w:r>
      <w:r>
        <w:t xml:space="preserve"> </w:t>
      </w:r>
      <w:r>
        <w:rPr>
          <w:rStyle w:val="VerbatimChar"/>
        </w:rPr>
        <w:t xml:space="preserve">import</w:t>
      </w:r>
      <w:r>
        <w:t xml:space="preserve">/llamada a</w:t>
      </w:r>
      <w:r>
        <w:t xml:space="preserve"> </w:t>
      </w:r>
      <w:r>
        <w:rPr>
          <w:rStyle w:val="VerbatimChar"/>
        </w:rPr>
        <w:t xml:space="preserve">classifyValueVsTarget</w:t>
      </w:r>
      <w:r>
        <w:t xml:space="preserve">,</w:t>
      </w:r>
      <w:r>
        <w:t xml:space="preserve"> </w:t>
      </w:r>
      <w:r>
        <w:rPr>
          <w:rStyle w:val="VerbatimChar"/>
        </w:rPr>
        <w:t xml:space="preserve">classifyBPVsGoal</w:t>
      </w:r>
      <w:r>
        <w:t xml:space="preserve"> </w:t>
      </w:r>
      <w:r>
        <w:t xml:space="preserve">ni</w:t>
      </w:r>
      <w:r>
        <w:t xml:space="preserve"> </w:t>
      </w:r>
      <w:r>
        <w:rPr>
          <w:rStyle w:val="VerbatimChar"/>
        </w:rPr>
        <w:t xml:space="preserve">ayunoEstadoToZona</w:t>
      </w:r>
      <w:r>
        <w:t xml:space="preserve"> </w:t>
      </w:r>
      <w:r>
        <w:t xml:space="preserve">en</w:t>
      </w:r>
      <w:r>
        <w:t xml:space="preserve"> </w:t>
      </w:r>
      <w:r>
        <w:rPr>
          <w:rStyle w:val="VerbatimChar"/>
        </w:rPr>
        <w:t xml:space="preserve">tests/*.test.mjs</w:t>
      </w:r>
      <w:r>
        <w:t xml:space="preserve">. Dado que el propio código aclara que no son reglas clínicas sino heurísticos de UI, la ausencia de test es de menor severidad clínica que en otras funciones de esta sección, pero se documenta igual por transparencia.</w:t>
      </w:r>
    </w:p>
    <w:p>
      <w:pPr>
        <w:numPr>
          <w:ilvl w:val="0"/>
          <w:numId w:val="1102"/>
        </w:numPr>
        <w:pStyle w:val="Compact"/>
      </w:pPr>
      <w:r>
        <w:rPr>
          <w:b/>
        </w:rPr>
        <w:t xml:space="preserve">Qué excepciones tiene</w:t>
      </w:r>
      <w:r>
        <w:t xml:space="preserve">:</w:t>
      </w:r>
      <w:r>
        <w:t xml:space="preserve"> </w:t>
      </w:r>
      <w:r>
        <w:rPr>
          <w:rStyle w:val="VerbatimChar"/>
        </w:rPr>
        <w:t xml:space="preserve">ayunoEstadoToZona</w:t>
      </w:r>
      <w:r>
        <w:t xml:space="preserve"> </w:t>
      </w:r>
      <w:r>
        <w:t xml:space="preserve">reutiliza deliberadamente el estado ya calculado por</w:t>
      </w:r>
      <w:r>
        <w:t xml:space="preserve"> </w:t>
      </w:r>
      <w:r>
        <w:rPr>
          <w:rStyle w:val="VerbatimChar"/>
        </w:rPr>
        <w:t xml:space="preserve">computeMonitoreo</w:t>
      </w:r>
      <w:r>
        <w:t xml:space="preserve"> </w:t>
      </w:r>
      <w:r>
        <w:t xml:space="preserve">(fuente única de verdad de</w:t>
      </w:r>
      <w:r>
        <w:t xml:space="preserve"> </w:t>
      </w:r>
      <w:r>
        <w:t xml:space="preserve">“</w:t>
      </w:r>
      <w:r>
        <w:t xml:space="preserve">¿la glucosa en ayuno está en meta?</w:t>
      </w:r>
      <w:r>
        <w:t xml:space="preserve">”</w:t>
      </w:r>
      <w:r>
        <w:t xml:space="preserve">)</w:t>
      </w:r>
      <w:r>
        <w:t xml:space="preserve"> </w:t>
      </w:r>
      <w:r>
        <w:t xml:space="preserve">“</w:t>
      </w:r>
      <w:r>
        <w:t xml:space="preserve">para que el anillo de EndoGoals nunca contradiga lo que dice EndoInsulin del mismo dato</w:t>
      </w:r>
      <w:r>
        <w:t xml:space="preserve">”</w:t>
      </w:r>
      <w:r>
        <w:t xml:space="preserve"> </w:t>
      </w:r>
      <w:r>
        <w:t xml:space="preserve">— es una salvaguarda de consistencia entre pantallas, en línea con las correcciones de 3.6 y 3.10.</w:t>
      </w:r>
    </w:p>
    <w:p>
      <w:pPr>
        <w:numPr>
          <w:ilvl w:val="0"/>
          <w:numId w:val="1102"/>
        </w:numPr>
        <w:pStyle w:val="Compact"/>
      </w:pPr>
      <w:r>
        <w:rPr>
          <w:b/>
        </w:rPr>
        <w:t xml:space="preserve">Qué ocurre si faltan datos</w:t>
      </w:r>
      <w:r>
        <w:t xml:space="preserve">: Comportamiento visible, no silencioso — sin valor o meta inválida, regresa explícitamente</w:t>
      </w:r>
      <w:r>
        <w:t xml:space="preserve"> </w:t>
      </w:r>
      <w:r>
        <w:rPr>
          <w:rStyle w:val="VerbatimChar"/>
        </w:rPr>
        <w:t xml:space="preserve">{ zona: "gris", percent: 0 }</w:t>
      </w:r>
      <w:r>
        <w:t xml:space="preserve">.</w:t>
      </w:r>
    </w:p>
    <w:p>
      <w:pPr>
        <w:numPr>
          <w:ilvl w:val="0"/>
          <w:numId w:val="1102"/>
        </w:numPr>
        <w:pStyle w:val="Compact"/>
      </w:pPr>
      <w:r>
        <w:rPr>
          <w:b/>
        </w:rPr>
        <w:t xml:space="preserve">Qué ocurre si dos guías discrepan</w:t>
      </w:r>
      <w:r>
        <w:t xml:space="preserve">: No aplica / sin discrepancia documentada para esta regla (no hay guía clínica involucrada).</w:t>
      </w:r>
    </w:p>
    <w:p>
      <w:r>
        <w:pict>
          <v:rect style="width:0;height:1.5pt" o:hralign="center" o:hrstd="t" o:hr="t"/>
        </w:pict>
      </w:r>
    </w:p>
    <w:p>
      <w:pPr>
        <w:pStyle w:val="Heading2"/>
      </w:pPr>
      <w:bookmarkStart w:id="134" w:name="X3b29a5ac230ba09e086be579e09fc8187d7ce39"/>
      <w:r>
        <w:t xml:space="preserve">4. Interacciones fármaco-fármaco cruzadas —</w:t>
      </w:r>
      <w:r>
        <w:t xml:space="preserve"> </w:t>
      </w:r>
      <w:r>
        <w:rPr>
          <w:rStyle w:val="VerbatimChar"/>
        </w:rPr>
        <w:t xml:space="preserve">js/interactions.js</w:t>
      </w:r>
      <w:bookmarkEnd w:id="134"/>
    </w:p>
    <w:p>
      <w:pPr>
        <w:pStyle w:val="FirstParagraph"/>
      </w:pPr>
      <w:r>
        <w:t xml:space="preserve">Set curado (no exhaustivo) de interacciones mayores, decisión explícita del Dr. Ortega. Nace de un hallazgo de auditoría: el motor revisaba contraindicaciones por comorbilidad/función renal y duplicación de subgrupo, pero nunca evaluó interacciones CRUZADAS entre categorías.</w:t>
      </w:r>
    </w:p>
    <w:p>
      <w:pPr>
        <w:pStyle w:val="Heading3"/>
      </w:pPr>
      <w:bookmarkStart w:id="135" w:name="gemfi_statin-gemfibrozilo-estatina"/>
      <w:r>
        <w:t xml:space="preserve">4.1 GEMFI_STATIN — Gemfibrozilo + estatina</w:t>
      </w:r>
      <w:bookmarkEnd w:id="135"/>
    </w:p>
    <w:p>
      <w:pPr>
        <w:numPr>
          <w:ilvl w:val="0"/>
          <w:numId w:val="1103"/>
        </w:numPr>
        <w:pStyle w:val="Compact"/>
      </w:pPr>
      <w:r>
        <w:rPr>
          <w:b/>
        </w:rPr>
        <w:t xml:space="preserve">Qué hace</w:t>
      </w:r>
      <w:r>
        <w:t xml:space="preserve">: Si el plan consolidado incluye Gemfibrozilo junto con cualquier estatina (Atorvastatina, Rosuvastatina, Pravastatina, Simvastatina, Pitavastatina), emite advertencia de severidad</w:t>
      </w:r>
      <w:r>
        <w:t xml:space="preserve"> </w:t>
      </w:r>
      <w:r>
        <w:t xml:space="preserve">“</w:t>
      </w:r>
      <w:r>
        <w:t xml:space="preserve">mayor</w:t>
      </w:r>
      <w:r>
        <w:t xml:space="preserve">”</w:t>
      </w:r>
      <w:r>
        <w:t xml:space="preserve">.</w:t>
      </w:r>
    </w:p>
    <w:p>
      <w:pPr>
        <w:numPr>
          <w:ilvl w:val="0"/>
          <w:numId w:val="1103"/>
        </w:numPr>
        <w:pStyle w:val="Compact"/>
      </w:pPr>
      <w:r>
        <w:rPr>
          <w:b/>
        </w:rPr>
        <w:t xml:space="preserve">Por qué</w:t>
      </w:r>
      <w:r>
        <w:t xml:space="preserve">: Gemfibrozilo inhibe OATP1B1 y la glucuronidación de las estatinas, aumentando marcadamente su concentración plasmática.</w:t>
      </w:r>
    </w:p>
    <w:p>
      <w:pPr>
        <w:numPr>
          <w:ilvl w:val="0"/>
          <w:numId w:val="1103"/>
        </w:numPr>
        <w:pStyle w:val="Compact"/>
      </w:pPr>
      <w:r>
        <w:rPr>
          <w:b/>
        </w:rPr>
        <w:t xml:space="preserve">Fuente</w:t>
      </w:r>
      <w:r>
        <w:t xml:space="preserve">: Ficha técnica FDA de Gemfibrozilo.</w:t>
      </w:r>
    </w:p>
    <w:p>
      <w:pPr>
        <w:numPr>
          <w:ilvl w:val="0"/>
          <w:numId w:val="1103"/>
        </w:numPr>
        <w:pStyle w:val="Compact"/>
      </w:pPr>
      <w:r>
        <w:rPr>
          <w:b/>
        </w:rPr>
        <w:t xml:space="preserve">Versión de la fuente</w:t>
      </w:r>
      <w:r>
        <w:t xml:space="preserve">: No se especifica año/edición de la ficha técnica FDA — pendiente de documentar.</w:t>
      </w:r>
    </w:p>
    <w:p>
      <w:pPr>
        <w:numPr>
          <w:ilvl w:val="0"/>
          <w:numId w:val="1103"/>
        </w:numPr>
        <w:pStyle w:val="Compact"/>
      </w:pPr>
      <w:r>
        <w:rPr>
          <w:b/>
        </w:rPr>
        <w:t xml:space="preserve">Fecha de revisión</w:t>
      </w:r>
      <w:r>
        <w:t xml:space="preserve">: Sin fecha registrada específica (módulo general sin fecha de cabecera propia, a diferencia de otros archivos de la ronda 38-57).</w:t>
      </w:r>
    </w:p>
    <w:p>
      <w:pPr>
        <w:numPr>
          <w:ilvl w:val="0"/>
          <w:numId w:val="1103"/>
        </w:numPr>
        <w:pStyle w:val="Compact"/>
      </w:pPr>
      <w:r>
        <w:rPr>
          <w:b/>
        </w:rPr>
        <w:t xml:space="preserve">Quién revisó</w:t>
      </w:r>
      <w:r>
        <w:t xml:space="preserve">: No especificado explícitamente para esta regla puntual (el archivo atribuye el</w:t>
      </w:r>
      <w:r>
        <w:t xml:space="preserve"> </w:t>
      </w:r>
      <w:r>
        <w:t xml:space="preserve">“</w:t>
      </w:r>
      <w:r>
        <w:t xml:space="preserve">alcance deliberado</w:t>
      </w:r>
      <w:r>
        <w:t xml:space="preserve">”</w:t>
      </w:r>
      <w:r>
        <w:t xml:space="preserve"> </w:t>
      </w:r>
      <w:r>
        <w:t xml:space="preserve">a decisión del Dr. Ortega, pero no firma cada entrada individual de la tabla</w:t>
      </w:r>
      <w:r>
        <w:t xml:space="preserve"> </w:t>
      </w:r>
      <w:r>
        <w:rPr>
          <w:rStyle w:val="VerbatimChar"/>
        </w:rPr>
        <w:t xml:space="preserve">DRUG_INTERACTIONS</w:t>
      </w:r>
      <w:r>
        <w:t xml:space="preserve">).</w:t>
      </w:r>
    </w:p>
    <w:p>
      <w:pPr>
        <w:numPr>
          <w:ilvl w:val="0"/>
          <w:numId w:val="1103"/>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 Q1 (línea 906-915, Gemfibrozilo+Atorvastatina activos) y Q6 (línea 963-974, interacción detectada también cuando UNA de las dos es una recomendación NUEVA del motor, no solo entre fármacos ya activos).</w:t>
      </w:r>
    </w:p>
    <w:p>
      <w:pPr>
        <w:numPr>
          <w:ilvl w:val="0"/>
          <w:numId w:val="1103"/>
        </w:numPr>
        <w:pStyle w:val="Compact"/>
      </w:pPr>
      <w:r>
        <w:rPr>
          <w:b/>
        </w:rPr>
        <w:t xml:space="preserve">Qué excepciones tiene</w:t>
      </w:r>
      <w:r>
        <w:t xml:space="preserve">: La acción sugerida explícitamente excluye Fenofibrato como alternativa segura (</w:t>
      </w:r>
      <w:r>
        <w:t xml:space="preserve">“</w:t>
      </w:r>
      <w:r>
        <w:t xml:space="preserve">no comparte este mecanismo de interacción con Gemfibrozilo</w:t>
      </w:r>
      <w:r>
        <w:t xml:space="preserve">”</w:t>
      </w:r>
      <w:r>
        <w:t xml:space="preserve">).</w:t>
      </w:r>
    </w:p>
    <w:p>
      <w:pPr>
        <w:numPr>
          <w:ilvl w:val="0"/>
          <w:numId w:val="1103"/>
        </w:numPr>
        <w:pStyle w:val="Compact"/>
      </w:pPr>
      <w:r>
        <w:rPr>
          <w:b/>
        </w:rPr>
        <w:t xml:space="preserve">Qué ocurre si faltan datos</w:t>
      </w:r>
      <w:r>
        <w:t xml:space="preserve">:</w:t>
      </w:r>
      <w:r>
        <w:t xml:space="preserve"> </w:t>
      </w:r>
      <w:r>
        <w:rPr>
          <w:rStyle w:val="VerbatimChar"/>
        </w:rPr>
        <w:t xml:space="preserve">checkInteractions</w:t>
      </w:r>
      <w:r>
        <w:t xml:space="preserve"> </w:t>
      </w:r>
      <w:r>
        <w:t xml:space="preserve">opera sobre el conjunto de IDs de fármacos presentes en el plan consolidado (</w:t>
      </w:r>
      <w:r>
        <w:rPr>
          <w:rStyle w:val="VerbatimChar"/>
        </w:rPr>
        <w:t xml:space="preserve">planEntries</w:t>
      </w:r>
      <w:r>
        <w:t xml:space="preserve">) — si el paciente no tiene ninguno de los dos fármacos capturados/prescritos, simplemente no hay coincidencia en el set y no se genera advertencia; no hay</w:t>
      </w:r>
      <w:r>
        <w:t xml:space="preserve"> </w:t>
      </w:r>
      <w:r>
        <w:t xml:space="preserve">“</w:t>
      </w:r>
      <w:r>
        <w:t xml:space="preserve">dato faltante</w:t>
      </w:r>
      <w:r>
        <w:t xml:space="preserve">”</w:t>
      </w:r>
      <w:r>
        <w:t xml:space="preserve"> </w:t>
      </w:r>
      <w:r>
        <w:t xml:space="preserve">per se en esta regla (depende de qué fármacos estén activos, no de valores numéricos de laboratorio), pero si un fármaco relevante no se capturó en</w:t>
      </w:r>
      <w:r>
        <w:t xml:space="preserve"> </w:t>
      </w:r>
      <w:r>
        <w:t xml:space="preserve">“</w:t>
      </w:r>
      <w:r>
        <w:t xml:space="preserve">Medicación Actual</w:t>
      </w:r>
      <w:r>
        <w:t xml:space="preserve">”</w:t>
      </w:r>
      <w:r>
        <w:t xml:space="preserve">, la interacción real puede existir en el paciente sin que el sistema la vea — riesgo de falso negativo por dependencia de captura manual, no declarado como limitación en el comentario.</w:t>
      </w:r>
    </w:p>
    <w:p>
      <w:pPr>
        <w:numPr>
          <w:ilvl w:val="0"/>
          <w:numId w:val="1103"/>
        </w:numPr>
        <w:pStyle w:val="Compact"/>
      </w:pPr>
      <w:r>
        <w:rPr>
          <w:b/>
        </w:rPr>
        <w:t xml:space="preserve">Qué ocurre si dos guías discrepan</w:t>
      </w:r>
      <w:r>
        <w:t xml:space="preserve">: No aplica / sin discrepancia documentada para esta regla.</w:t>
      </w:r>
    </w:p>
    <w:p>
      <w:pPr>
        <w:pStyle w:val="Heading3"/>
      </w:pPr>
      <w:bookmarkStart w:id="136" w:name="X7d2e29fa015adb08428d43853051bbb31ed9dbe"/>
      <w:r>
        <w:t xml:space="preserve">4.2 NONDHP_CCB_STATIN_CYP3A4 — Verapamilo/Diltiazem + Simvastatina/Atorvastatina</w:t>
      </w:r>
      <w:bookmarkEnd w:id="136"/>
    </w:p>
    <w:p>
      <w:pPr>
        <w:numPr>
          <w:ilvl w:val="0"/>
          <w:numId w:val="1104"/>
        </w:numPr>
        <w:pStyle w:val="Compact"/>
      </w:pPr>
      <w:r>
        <w:rPr>
          <w:b/>
        </w:rPr>
        <w:t xml:space="preserve">Qué hace</w:t>
      </w:r>
      <w:r>
        <w:t xml:space="preserve">: Advertencia de severidad</w:t>
      </w:r>
      <w:r>
        <w:t xml:space="preserve"> </w:t>
      </w:r>
      <w:r>
        <w:t xml:space="preserve">“</w:t>
      </w:r>
      <w:r>
        <w:t xml:space="preserve">mayor</w:t>
      </w:r>
      <w:r>
        <w:t xml:space="preserve">”</w:t>
      </w:r>
      <w:r>
        <w:t xml:space="preserve"> </w:t>
      </w:r>
      <w:r>
        <w:t xml:space="preserve">si el plan incluye Verapamilo o Diltiazem junto con Simvastatina o Atorvastatina.</w:t>
      </w:r>
    </w:p>
    <w:p>
      <w:pPr>
        <w:numPr>
          <w:ilvl w:val="0"/>
          <w:numId w:val="1104"/>
        </w:numPr>
        <w:pStyle w:val="Compact"/>
      </w:pPr>
      <w:r>
        <w:rPr>
          <w:b/>
        </w:rPr>
        <w:t xml:space="preserve">Por qué</w:t>
      </w:r>
      <w:r>
        <w:t xml:space="preserve">: Verapamilo/Diltiazem inhiben CYP3A4, vía principal de metabolismo de Simvastatina y (en menor grado) Atorvastatina.</w:t>
      </w:r>
    </w:p>
    <w:p>
      <w:pPr>
        <w:numPr>
          <w:ilvl w:val="0"/>
          <w:numId w:val="1104"/>
        </w:numPr>
        <w:pStyle w:val="Compact"/>
      </w:pPr>
      <w:r>
        <w:rPr>
          <w:b/>
        </w:rPr>
        <w:t xml:space="preserve">Fuente</w:t>
      </w:r>
      <w:r>
        <w:t xml:space="preserve">: Ficha técnica FDA de Simvastatina (límite de dosis explícito con diltiazem/verapamilo).</w:t>
      </w:r>
    </w:p>
    <w:p>
      <w:pPr>
        <w:numPr>
          <w:ilvl w:val="0"/>
          <w:numId w:val="1104"/>
        </w:numPr>
        <w:pStyle w:val="Compact"/>
      </w:pPr>
      <w:r>
        <w:rPr>
          <w:b/>
        </w:rPr>
        <w:t xml:space="preserve">Versión de la fuente</w:t>
      </w:r>
      <w:r>
        <w:t xml:space="preserve">: No se especifica año/edición — pendiente de documentar.</w:t>
      </w:r>
    </w:p>
    <w:p>
      <w:pPr>
        <w:numPr>
          <w:ilvl w:val="0"/>
          <w:numId w:val="1104"/>
        </w:numPr>
        <w:pStyle w:val="Compact"/>
      </w:pPr>
      <w:r>
        <w:rPr>
          <w:b/>
        </w:rPr>
        <w:t xml:space="preserve">Fecha de revisión</w:t>
      </w:r>
      <w:r>
        <w:t xml:space="preserve">: Sin fecha registrada específica.</w:t>
      </w:r>
    </w:p>
    <w:p>
      <w:pPr>
        <w:numPr>
          <w:ilvl w:val="0"/>
          <w:numId w:val="1104"/>
        </w:numPr>
        <w:pStyle w:val="Compact"/>
      </w:pPr>
      <w:r>
        <w:rPr>
          <w:b/>
        </w:rPr>
        <w:t xml:space="preserve">Quién revisó</w:t>
      </w:r>
      <w:r>
        <w:t xml:space="preserve">: No especificado explícitamente para esta regla puntual.</w:t>
      </w:r>
    </w:p>
    <w:p>
      <w:pPr>
        <w:numPr>
          <w:ilvl w:val="0"/>
          <w:numId w:val="1104"/>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 Q2 (línea 917-926, Verapamilo+Simvastatina activos).</w:t>
      </w:r>
    </w:p>
    <w:p>
      <w:pPr>
        <w:numPr>
          <w:ilvl w:val="0"/>
          <w:numId w:val="1104"/>
        </w:numPr>
        <w:pStyle w:val="Compact"/>
      </w:pPr>
      <w:r>
        <w:rPr>
          <w:b/>
        </w:rPr>
        <w:t xml:space="preserve">Qué excepciones tiene</w:t>
      </w:r>
      <w:r>
        <w:t xml:space="preserve">: La acción sugerida incluye una excepción condicional explícita: si se mantiene Simvastatina pese a la interacción,</w:t>
      </w:r>
      <w:r>
        <w:t xml:space="preserve"> </w:t>
      </w:r>
      <w:r>
        <w:t xml:space="preserve">“</w:t>
      </w:r>
      <w:r>
        <w:t xml:space="preserve">limitar la dosis a 10 mg/día (FDA)</w:t>
      </w:r>
      <w:r>
        <w:t xml:space="preserve">”</w:t>
      </w:r>
      <w:r>
        <w:t xml:space="preserve"> </w:t>
      </w:r>
      <w:r>
        <w:t xml:space="preserve">en vez de bloquear la combinación por completo.</w:t>
      </w:r>
    </w:p>
    <w:p>
      <w:pPr>
        <w:numPr>
          <w:ilvl w:val="0"/>
          <w:numId w:val="1104"/>
        </w:numPr>
        <w:pStyle w:val="Compact"/>
      </w:pPr>
      <w:r>
        <w:rPr>
          <w:b/>
        </w:rPr>
        <w:t xml:space="preserve">Qué ocurre si faltan datos</w:t>
      </w:r>
      <w:r>
        <w:t xml:space="preserve">: Igual que 4.1 — depende de la presencia de IDs en el plan, no de datos de laboratorio.</w:t>
      </w:r>
    </w:p>
    <w:p>
      <w:pPr>
        <w:numPr>
          <w:ilvl w:val="0"/>
          <w:numId w:val="1104"/>
        </w:numPr>
        <w:pStyle w:val="Compact"/>
      </w:pPr>
      <w:r>
        <w:rPr>
          <w:b/>
        </w:rPr>
        <w:t xml:space="preserve">Qué ocurre si dos guías discrepan</w:t>
      </w:r>
      <w:r>
        <w:t xml:space="preserve">: No aplica / sin discrepancia documentada para esta regla.</w:t>
      </w:r>
    </w:p>
    <w:p>
      <w:pPr>
        <w:pStyle w:val="Heading3"/>
      </w:pPr>
      <w:bookmarkStart w:id="137" w:name="Xe238f4e99d0e1cc2ed2bbf08a3ad34fd7693961"/>
      <w:r>
        <w:t xml:space="preserve">4.3 RAAS_MRA_HIPERK — IECA/ARA-II + MRA (Espironolactona/Finerenona/Eplerenona)</w:t>
      </w:r>
      <w:bookmarkEnd w:id="137"/>
    </w:p>
    <w:p>
      <w:pPr>
        <w:numPr>
          <w:ilvl w:val="0"/>
          <w:numId w:val="1105"/>
        </w:numPr>
        <w:pStyle w:val="Compact"/>
      </w:pPr>
      <w:r>
        <w:rPr>
          <w:b/>
        </w:rPr>
        <w:t xml:space="preserve">Qué hace</w:t>
      </w:r>
      <w:r>
        <w:t xml:space="preserve">: Advertencia de severidad</w:t>
      </w:r>
      <w:r>
        <w:t xml:space="preserve"> </w:t>
      </w:r>
      <w:r>
        <w:t xml:space="preserve">“</w:t>
      </w:r>
      <w:r>
        <w:t xml:space="preserve">monitorizar</w:t>
      </w:r>
      <w:r>
        <w:t xml:space="preserve">”</w:t>
      </w:r>
      <w:r>
        <w:t xml:space="preserve"> </w:t>
      </w:r>
      <w:r>
        <w:t xml:space="preserve">(NO</w:t>
      </w:r>
      <w:r>
        <w:t xml:space="preserve"> </w:t>
      </w:r>
      <w:r>
        <w:t xml:space="preserve">“</w:t>
      </w:r>
      <w:r>
        <w:t xml:space="preserve">mayor</w:t>
      </w:r>
      <w:r>
        <w:t xml:space="preserve">”</w:t>
      </w:r>
      <w:r>
        <w:t xml:space="preserve">) si el plan incluye un IECA/ARA-II junto con un MRA.</w:t>
      </w:r>
    </w:p>
    <w:p>
      <w:pPr>
        <w:numPr>
          <w:ilvl w:val="0"/>
          <w:numId w:val="1105"/>
        </w:numPr>
        <w:pStyle w:val="Compact"/>
      </w:pPr>
      <w:r>
        <w:rPr>
          <w:b/>
        </w:rPr>
        <w:t xml:space="preserve">Por qué</w:t>
      </w:r>
      <w:r>
        <w:t xml:space="preserve">: Ambas clases reducen la excreción renal de potasio por vías complementarias — riesgo de hiperkalemia — pero es una combinación frecuentemente INTENCIONAL y respaldada por guía, que el propio motor recomienda en ciertos escenarios (ERC con albuminuria, IC).</w:t>
      </w:r>
    </w:p>
    <w:p>
      <w:pPr>
        <w:numPr>
          <w:ilvl w:val="0"/>
          <w:numId w:val="1105"/>
        </w:numPr>
        <w:pStyle w:val="Compact"/>
      </w:pPr>
      <w:r>
        <w:rPr>
          <w:b/>
        </w:rPr>
        <w:t xml:space="preserve">Fuente</w:t>
      </w:r>
      <w:r>
        <w:t xml:space="preserve">: FIDELIO-DKD / FIGARO-DKD (ensayos); guía AHA/ACC/HFSA 2022 de insuficiencia cardíaca.</w:t>
      </w:r>
    </w:p>
    <w:p>
      <w:pPr>
        <w:numPr>
          <w:ilvl w:val="0"/>
          <w:numId w:val="1105"/>
        </w:numPr>
        <w:pStyle w:val="Compact"/>
      </w:pPr>
      <w:r>
        <w:rPr>
          <w:b/>
        </w:rPr>
        <w:t xml:space="preserve">Versión de la fuente</w:t>
      </w:r>
      <w:r>
        <w:t xml:space="preserve">: AHA/ACC/HFSA 2022 (año especificado para la guía de IC); FIDELIO-DKD/FIGARO-DKD sin año de publicación citado en el código.</w:t>
      </w:r>
    </w:p>
    <w:p>
      <w:pPr>
        <w:numPr>
          <w:ilvl w:val="0"/>
          <w:numId w:val="1105"/>
        </w:numPr>
        <w:pStyle w:val="Compact"/>
      </w:pPr>
      <w:r>
        <w:rPr>
          <w:b/>
        </w:rPr>
        <w:t xml:space="preserve">Fecha de revisión</w:t>
      </w:r>
      <w:r>
        <w:t xml:space="preserve">: Sin fecha registrada específica.</w:t>
      </w:r>
    </w:p>
    <w:p>
      <w:pPr>
        <w:numPr>
          <w:ilvl w:val="0"/>
          <w:numId w:val="1105"/>
        </w:numPr>
        <w:pStyle w:val="Compact"/>
      </w:pPr>
      <w:r>
        <w:rPr>
          <w:b/>
        </w:rPr>
        <w:t xml:space="preserve">Quién revisó</w:t>
      </w:r>
      <w:r>
        <w:t xml:space="preserve">: No especificado explícitamente para esta regla puntual.</w:t>
      </w:r>
    </w:p>
    <w:p>
      <w:pPr>
        <w:numPr>
          <w:ilvl w:val="0"/>
          <w:numId w:val="1105"/>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 Q3 (línea 928-939, Losartan+Espironolactona activos, verifica explícitamente que la severidad es</w:t>
      </w:r>
      <w:r>
        <w:t xml:space="preserve"> </w:t>
      </w:r>
      <w:r>
        <w:t xml:space="preserve">“</w:t>
      </w:r>
      <w:r>
        <w:t xml:space="preserve">monitorizar</w:t>
      </w:r>
      <w:r>
        <w:t xml:space="preserve">”</w:t>
      </w:r>
      <w:r>
        <w:t xml:space="preserve"> </w:t>
      </w:r>
      <w:r>
        <w:t xml:space="preserve">y NO</w:t>
      </w:r>
      <w:r>
        <w:t xml:space="preserve"> </w:t>
      </w:r>
      <w:r>
        <w:t xml:space="preserve">“</w:t>
      </w:r>
      <w:r>
        <w:t xml:space="preserve">mayor</w:t>
      </w:r>
      <w:r>
        <w:t xml:space="preserve">”</w:t>
      </w:r>
      <w:r>
        <w:t xml:space="preserve">).</w:t>
      </w:r>
    </w:p>
    <w:p>
      <w:pPr>
        <w:numPr>
          <w:ilvl w:val="0"/>
          <w:numId w:val="1105"/>
        </w:numPr>
        <w:pStyle w:val="Compact"/>
      </w:pPr>
      <w:r>
        <w:rPr>
          <w:b/>
        </w:rPr>
        <w:t xml:space="preserve">Qué excepciones tiene</w:t>
      </w:r>
      <w:r>
        <w:t xml:space="preserve">: Esta es en sí misma la excepción del set — está clasificada deliberadamente como</w:t>
      </w:r>
      <w:r>
        <w:t xml:space="preserve"> </w:t>
      </w:r>
      <w:r>
        <w:t xml:space="preserve">“</w:t>
      </w:r>
      <w:r>
        <w:t xml:space="preserve">monitorizar</w:t>
      </w:r>
      <w:r>
        <w:t xml:space="preserve">”</w:t>
      </w:r>
      <w:r>
        <w:t xml:space="preserve"> </w:t>
      </w:r>
      <w:r>
        <w:t xml:space="preserve">en vez de</w:t>
      </w:r>
      <w:r>
        <w:t xml:space="preserve"> </w:t>
      </w:r>
      <w:r>
        <w:t xml:space="preserve">“</w:t>
      </w:r>
      <w:r>
        <w:t xml:space="preserve">evitar</w:t>
      </w:r>
      <w:r>
        <w:t xml:space="preserve">”</w:t>
      </w:r>
      <w:r>
        <w:t xml:space="preserve"> </w:t>
      </w:r>
      <w:r>
        <w:t xml:space="preserve">porque el propio motor recomienda esta combinación en ERC+albuminuria e IC.</w:t>
      </w:r>
    </w:p>
    <w:p>
      <w:pPr>
        <w:numPr>
          <w:ilvl w:val="0"/>
          <w:numId w:val="1105"/>
        </w:numPr>
        <w:pStyle w:val="Compact"/>
      </w:pPr>
      <w:r>
        <w:rPr>
          <w:b/>
        </w:rPr>
        <w:t xml:space="preserve">Qué ocurre si faltan datos</w:t>
      </w:r>
      <w:r>
        <w:t xml:space="preserve">: Igual que 4.1 — depende de presencia de IDs en el plan.</w:t>
      </w:r>
    </w:p>
    <w:p>
      <w:pPr>
        <w:numPr>
          <w:ilvl w:val="0"/>
          <w:numId w:val="1105"/>
        </w:numPr>
        <w:pStyle w:val="Compact"/>
      </w:pPr>
      <w:r>
        <w:rPr>
          <w:b/>
        </w:rPr>
        <w:t xml:space="preserve">Qué ocurre si dos guías discrepan</w:t>
      </w:r>
      <w:r>
        <w:t xml:space="preserve">: No aplica directamente, pero el diseño de esta regla es en sí una resolución documentada de un conflicto potencial:</w:t>
      </w:r>
      <w:r>
        <w:t xml:space="preserve"> </w:t>
      </w:r>
      <w:r>
        <w:t xml:space="preserve">“</w:t>
      </w:r>
      <w:r>
        <w:t xml:space="preserve">combinación frecuentemente INTENCIONAL y respaldada por guía […] este mismo motor la recomienda en esos escenarios. No evitar la combinación; vigilar K+ sérico y eGFR periódicamente.</w:t>
      </w:r>
      <w:r>
        <w:t xml:space="preserve">”</w:t>
      </w:r>
    </w:p>
    <w:p>
      <w:pPr>
        <w:pStyle w:val="Heading3"/>
      </w:pPr>
      <w:bookmarkStart w:id="138" w:name="X4575c90491923d95f1da4cb60a39be4e3e83862"/>
      <w:r>
        <w:t xml:space="preserve">4.4 HIPOGLU_BETABLOQ — Secretagogo/Insulina + betabloqueador no cardioselectivo</w:t>
      </w:r>
      <w:bookmarkEnd w:id="138"/>
    </w:p>
    <w:p>
      <w:pPr>
        <w:numPr>
          <w:ilvl w:val="0"/>
          <w:numId w:val="1106"/>
        </w:numPr>
        <w:pStyle w:val="Compact"/>
      </w:pPr>
      <w:r>
        <w:rPr>
          <w:b/>
        </w:rPr>
        <w:t xml:space="preserve">Qué hace</w:t>
      </w:r>
      <w:r>
        <w:t xml:space="preserve">: Advertencia de severidad</w:t>
      </w:r>
      <w:r>
        <w:t xml:space="preserve"> </w:t>
      </w:r>
      <w:r>
        <w:t xml:space="preserve">“</w:t>
      </w:r>
      <w:r>
        <w:t xml:space="preserve">monitorizar</w:t>
      </w:r>
      <w:r>
        <w:t xml:space="preserve">”</w:t>
      </w:r>
      <w:r>
        <w:t xml:space="preserve"> </w:t>
      </w:r>
      <w:r>
        <w:t xml:space="preserve">si el plan incluye un secretagogo/insulina (sulfonilurea, meglitinida, insulina basal/prandial) junto con un betabloqueador (con foco especial en los no cardioselectivos: Carvedilol/Labetalol).</w:t>
      </w:r>
    </w:p>
    <w:p>
      <w:pPr>
        <w:numPr>
          <w:ilvl w:val="0"/>
          <w:numId w:val="1106"/>
        </w:numPr>
        <w:pStyle w:val="Compact"/>
      </w:pPr>
      <w:r>
        <w:rPr>
          <w:b/>
        </w:rPr>
        <w:t xml:space="preserve">Por qué</w:t>
      </w:r>
      <w:r>
        <w:t xml:space="preserve">: Los betabloqueadores no cardioselectivos enmascaran los síntomas adrenérgicos de hipoglucemia (taquicardia, temblor) sin bloquear la sudoración, con riesgo de hipoglucemia no reconocida o prolongada.</w:t>
      </w:r>
    </w:p>
    <w:p>
      <w:pPr>
        <w:numPr>
          <w:ilvl w:val="0"/>
          <w:numId w:val="1106"/>
        </w:numPr>
        <w:pStyle w:val="Compact"/>
      </w:pPr>
      <w:r>
        <w:rPr>
          <w:b/>
        </w:rPr>
        <w:t xml:space="preserve">Fuente</w:t>
      </w:r>
      <w:r>
        <w:t xml:space="preserve">:</w:t>
      </w:r>
      <w:r>
        <w:t xml:space="preserve"> </w:t>
      </w:r>
      <w:r>
        <w:t xml:space="preserve">“</w:t>
      </w:r>
      <w:r>
        <w:t xml:space="preserve">Farmacología clínica establecida; ficha técnica de betabloqueadores</w:t>
      </w:r>
      <w:r>
        <w:t xml:space="preserve">”</w:t>
      </w:r>
      <w:r>
        <w:t xml:space="preserve"> </w:t>
      </w:r>
      <w:r>
        <w:t xml:space="preserve">— sin cita de guía o estudio específico.</w:t>
      </w:r>
    </w:p>
    <w:p>
      <w:pPr>
        <w:numPr>
          <w:ilvl w:val="0"/>
          <w:numId w:val="1106"/>
        </w:numPr>
        <w:pStyle w:val="Compact"/>
      </w:pPr>
      <w:r>
        <w:rPr>
          <w:b/>
        </w:rPr>
        <w:t xml:space="preserve">Versión de la fuente</w:t>
      </w:r>
      <w:r>
        <w:t xml:space="preserve">: No especificada en el código — pendiente de documentar.</w:t>
      </w:r>
    </w:p>
    <w:p>
      <w:pPr>
        <w:numPr>
          <w:ilvl w:val="0"/>
          <w:numId w:val="1106"/>
        </w:numPr>
        <w:pStyle w:val="Compact"/>
      </w:pPr>
      <w:r>
        <w:rPr>
          <w:b/>
        </w:rPr>
        <w:t xml:space="preserve">Fecha de revisión</w:t>
      </w:r>
      <w:r>
        <w:t xml:space="preserve">: Sin fecha registrada específica.</w:t>
      </w:r>
    </w:p>
    <w:p>
      <w:pPr>
        <w:numPr>
          <w:ilvl w:val="0"/>
          <w:numId w:val="1106"/>
        </w:numPr>
        <w:pStyle w:val="Compact"/>
      </w:pPr>
      <w:r>
        <w:rPr>
          <w:b/>
        </w:rPr>
        <w:t xml:space="preserve">Quién revisó</w:t>
      </w:r>
      <w:r>
        <w:t xml:space="preserve">: No especificado explícitamente para esta regla puntual.</w:t>
      </w:r>
    </w:p>
    <w:p>
      <w:pPr>
        <w:numPr>
          <w:ilvl w:val="0"/>
          <w:numId w:val="1106"/>
        </w:numPr>
        <w:pStyle w:val="Compact"/>
      </w:pPr>
      <w:r>
        <w:rPr>
          <w:b/>
        </w:rPr>
        <w:t xml:space="preserve">Qué casos la validan</w:t>
      </w:r>
      <w:r>
        <w:t xml:space="preserve">:</w:t>
      </w:r>
      <w:r>
        <w:t xml:space="preserve"> </w:t>
      </w:r>
      <w:r>
        <w:rPr>
          <w:rStyle w:val="VerbatimChar"/>
        </w:rPr>
        <w:t xml:space="preserve">tests/clinical-cases.test.mjs</w:t>
      </w:r>
      <w:r>
        <w:t xml:space="preserve"> </w:t>
      </w:r>
      <w:r>
        <w:t xml:space="preserve">— Q4 (línea 941-951, Glimepirida+Carvedilol activos).</w:t>
      </w:r>
    </w:p>
    <w:p>
      <w:pPr>
        <w:numPr>
          <w:ilvl w:val="0"/>
          <w:numId w:val="1106"/>
        </w:numPr>
        <w:pStyle w:val="Compact"/>
      </w:pPr>
      <w:r>
        <w:rPr>
          <w:b/>
        </w:rPr>
        <w:t xml:space="preserve">Qué excepciones tiene</w:t>
      </w:r>
      <w:r>
        <w:t xml:space="preserve">: La lista de fármacos B incluye todos los betabloqueadores del catálogo (Carvedilol, Labetalol, Bisoprolol, Metoprolol), no solo los no cardioselectivos, aunque el mecanismo de riesgo real es más marcado en los no cardioselectivos — el</w:t>
      </w:r>
      <w:r>
        <w:t xml:space="preserve"> </w:t>
      </w:r>
      <w:r>
        <w:rPr>
          <w:rStyle w:val="VerbatimChar"/>
        </w:rPr>
        <w:t xml:space="preserve">idsB</w:t>
      </w:r>
      <w:r>
        <w:t xml:space="preserve"> </w:t>
      </w:r>
      <w:r>
        <w:t xml:space="preserve">no distingue esa diferencia de riesgo dentro de la misma advertencia (simplificación no declarada explícitamente en el comentario del archivo, identificada en esta auditoría al leer el arreglo</w:t>
      </w:r>
      <w:r>
        <w:t xml:space="preserve"> </w:t>
      </w:r>
      <w:r>
        <w:rPr>
          <w:rStyle w:val="VerbatimChar"/>
        </w:rPr>
        <w:t xml:space="preserve">idsB</w:t>
      </w:r>
      <w:r>
        <w:t xml:space="preserve"> </w:t>
      </w:r>
      <w:r>
        <w:t xml:space="preserve">directamente).</w:t>
      </w:r>
    </w:p>
    <w:p>
      <w:pPr>
        <w:numPr>
          <w:ilvl w:val="0"/>
          <w:numId w:val="1106"/>
        </w:numPr>
        <w:pStyle w:val="Compact"/>
      </w:pPr>
      <w:r>
        <w:rPr>
          <w:b/>
        </w:rPr>
        <w:t xml:space="preserve">Qué ocurre si faltan datos</w:t>
      </w:r>
      <w:r>
        <w:t xml:space="preserve">: Igual que 4.1 — depende de presencia de IDs en el plan.</w:t>
      </w:r>
    </w:p>
    <w:p>
      <w:pPr>
        <w:numPr>
          <w:ilvl w:val="0"/>
          <w:numId w:val="1106"/>
        </w:numPr>
        <w:pStyle w:val="Compact"/>
      </w:pPr>
      <w:r>
        <w:rPr>
          <w:b/>
        </w:rPr>
        <w:t xml:space="preserve">Qué ocurre si dos guías discrepan</w:t>
      </w:r>
      <w:r>
        <w:t xml:space="preserve">: No aplica / sin discrepancia documentada para esta regla.</w:t>
      </w:r>
    </w:p>
    <w:p>
      <w:pPr>
        <w:pStyle w:val="FirstParagraph"/>
      </w:pPr>
      <w:r>
        <w:rPr>
          <w:b/>
        </w:rPr>
        <w:t xml:space="preserve">Nota de gobernanza transversal a</w:t>
      </w:r>
      <w:r>
        <w:rPr>
          <w:b/>
        </w:rPr>
        <w:t xml:space="preserve"> </w:t>
      </w:r>
      <w:r>
        <w:rPr>
          <w:rStyle w:val="VerbatimChar"/>
          <w:b/>
        </w:rPr>
        <w:t xml:space="preserve">interactions.js</w:t>
      </w:r>
      <w:r>
        <w:t xml:space="preserve">:</w:t>
      </w:r>
      <w:r>
        <w:t xml:space="preserve"> </w:t>
      </w:r>
      <w:r>
        <w:rPr>
          <w:rStyle w:val="VerbatimChar"/>
        </w:rPr>
        <w:t xml:space="preserve">tests/clinical-cases.test.mjs</w:t>
      </w:r>
      <w:r>
        <w:t xml:space="preserve"> </w:t>
      </w:r>
      <w:r>
        <w:t xml:space="preserve">(línea 899-904) confirma en su propio comentario que este set es curado y no exhaustivo, citando explícitamente el hallazgo de auditoría original:</w:t>
      </w:r>
      <w:r>
        <w:t xml:space="preserve"> </w:t>
      </w:r>
      <w:r>
        <w:rPr>
          <w:i/>
        </w:rPr>
        <w:t xml:space="preserve">“</w:t>
      </w:r>
      <w:r>
        <w:rPr>
          <w:i/>
        </w:rPr>
        <w:t xml:space="preserve">limitación documentada en el expediente técnico (</w:t>
      </w:r>
      <w:r>
        <w:rPr>
          <w:i/>
        </w:rPr>
        <w:t xml:space="preserve">‘</w:t>
      </w:r>
      <w:r>
        <w:rPr>
          <w:i/>
        </w:rPr>
        <w:t xml:space="preserve">sin verificación de interacciones</w:t>
      </w:r>
      <w:r>
        <w:rPr>
          <w:i/>
        </w:rPr>
        <w:t xml:space="preserve">’</w:t>
      </w:r>
      <w:r>
        <w:rPr>
          <w:i/>
        </w:rPr>
        <w:t xml:space="preserve">). Set curado, no exhaustivo (decisión explícita del Dr. Ortega).</w:t>
      </w:r>
      <w:r>
        <w:rPr>
          <w:i/>
        </w:rPr>
        <w:t xml:space="preserve">”</w:t>
      </w:r>
      <w:r>
        <w:t xml:space="preserve"> </w:t>
      </w:r>
      <w:r>
        <w:t xml:space="preserve">Con solo 4 pares/clases documentados frente a un catálogo de 81 fichas de fármacos, la cobertura real de interacciones cruzadas del sistema es deliberadamente parcial — riesgo residual real para cualquier par no incluido en</w:t>
      </w:r>
      <w:r>
        <w:t xml:space="preserve"> </w:t>
      </w:r>
      <w:r>
        <w:rPr>
          <w:rStyle w:val="VerbatimChar"/>
        </w:rPr>
        <w:t xml:space="preserve">DRUG_INTERACTIONS</w:t>
      </w:r>
      <w:r>
        <w:t xml:space="preserve">.</w:t>
      </w:r>
    </w:p>
    <w:p>
      <w:r>
        <w:pict>
          <v:rect style="width:0;height:1.5pt" o:hralign="center" o:hrstd="t" o:hr="t"/>
        </w:pict>
      </w:r>
    </w:p>
    <w:p>
      <w:pPr>
        <w:pStyle w:val="Heading2"/>
      </w:pPr>
      <w:bookmarkStart w:id="139" w:name="X210a24aa5435d95a044d8d076ed73b8994265d0"/>
      <w:r>
        <w:t xml:space="preserve">5. Corticoides y AINE renal — Dominio 1 (</w:t>
      </w:r>
      <w:r>
        <w:rPr>
          <w:rStyle w:val="VerbatimChar"/>
        </w:rPr>
        <w:t xml:space="preserve">js/corticosteroids.js</w:t>
      </w:r>
      <w:r>
        <w:t xml:space="preserve"> </w:t>
      </w:r>
      <w:r>
        <w:t xml:space="preserve">+ Caso 47 de</w:t>
      </w:r>
      <w:r>
        <w:t xml:space="preserve"> </w:t>
      </w:r>
      <w:r>
        <w:rPr>
          <w:rStyle w:val="VerbatimChar"/>
        </w:rPr>
        <w:t xml:space="preserve">js/polypharmacy.js</w:t>
      </w:r>
      <w:r>
        <w:t xml:space="preserve">)</w:t>
      </w:r>
      <w:bookmarkEnd w:id="139"/>
    </w:p>
    <w:p>
      <w:pPr>
        <w:pStyle w:val="Heading3"/>
      </w:pPr>
      <w:bookmarkStart w:id="140" w:name="X182d4f9a19f1ed1e72ade36c76b13080860c1cc"/>
      <w:r>
        <w:t xml:space="preserve">5.1 CORTICOSTEROIDE_HIPERGLUCEMIA — Hiperglucemia/HTA inducida por corticoide (Caso 46)</w:t>
      </w:r>
      <w:bookmarkEnd w:id="140"/>
    </w:p>
    <w:p>
      <w:pPr>
        <w:numPr>
          <w:ilvl w:val="0"/>
          <w:numId w:val="1107"/>
        </w:numPr>
        <w:pStyle w:val="Compact"/>
      </w:pPr>
      <w:r>
        <w:rPr>
          <w:b/>
        </w:rPr>
        <w:t xml:space="preserve">Qué hace</w:t>
      </w:r>
      <w:r>
        <w:t xml:space="preserve">: Si</w:t>
      </w:r>
      <w:r>
        <w:t xml:space="preserve"> </w:t>
      </w:r>
      <w:r>
        <w:rPr>
          <w:rStyle w:val="VerbatimChar"/>
        </w:rPr>
        <w:t xml:space="preserve">p.corticoideDosis</w:t>
      </w:r>
      <w:r>
        <w:t xml:space="preserve"> </w:t>
      </w:r>
      <w:r>
        <w:t xml:space="preserve">&gt; 0, genera un aviso; si la dosis es ≥20 mg/día equivalente de prednisona, marca el riesgo como</w:t>
      </w:r>
      <w:r>
        <w:t xml:space="preserve"> </w:t>
      </w:r>
      <w:r>
        <w:t xml:space="preserve">“</w:t>
      </w:r>
      <w:r>
        <w:t xml:space="preserve">alto</w:t>
      </w:r>
      <w:r>
        <w:t xml:space="preserve">”</w:t>
      </w:r>
      <w:r>
        <w:t xml:space="preserve"> </w:t>
      </w:r>
      <w:r>
        <w:t xml:space="preserve">(color</w:t>
      </w:r>
      <w:r>
        <w:t xml:space="preserve"> </w:t>
      </w:r>
      <w:r>
        <w:t xml:space="preserve">“</w:t>
      </w:r>
      <w:r>
        <w:t xml:space="preserve">rose</w:t>
      </w:r>
      <w:r>
        <w:t xml:space="preserve">”</w:t>
      </w:r>
      <w:r>
        <w:t xml:space="preserve">); por debajo,</w:t>
      </w:r>
      <w:r>
        <w:t xml:space="preserve"> </w:t>
      </w:r>
      <w:r>
        <w:t xml:space="preserve">“</w:t>
      </w:r>
      <w:r>
        <w:t xml:space="preserve">bajo-moderado</w:t>
      </w:r>
      <w:r>
        <w:t xml:space="preserve">”</w:t>
      </w:r>
      <w:r>
        <w:t xml:space="preserve"> </w:t>
      </w:r>
      <w:r>
        <w:t xml:space="preserve">(color</w:t>
      </w:r>
      <w:r>
        <w:t xml:space="preserve"> </w:t>
      </w:r>
      <w:r>
        <w:t xml:space="preserve">“</w:t>
      </w:r>
      <w:r>
        <w:t xml:space="preserve">amber</w:t>
      </w:r>
      <w:r>
        <w:t xml:space="preserve">”</w:t>
      </w:r>
      <w:r>
        <w:t xml:space="preserve">).</w:t>
      </w:r>
    </w:p>
    <w:p>
      <w:pPr>
        <w:numPr>
          <w:ilvl w:val="0"/>
          <w:numId w:val="1107"/>
        </w:numPr>
        <w:pStyle w:val="Compact"/>
      </w:pPr>
      <w:r>
        <w:rPr>
          <w:b/>
        </w:rPr>
        <w:t xml:space="preserve">Por qué</w:t>
      </w:r>
      <w:r>
        <w:t xml:space="preserve">: Los glucocorticoides sistémicos inducen resistencia a la insulina y retención de sodio/líquidos de forma dosis-dependiente. El patrón típico (</w:t>
      </w:r>
      <w:r>
        <w:t xml:space="preserve">“</w:t>
      </w:r>
      <w:r>
        <w:t xml:space="preserve">hiperglucemia esteroidea</w:t>
      </w:r>
      <w:r>
        <w:t xml:space="preserve">”</w:t>
      </w:r>
      <w:r>
        <w:t xml:space="preserve">) predomina en la glucosa posprandial/vespertina, por lo que la A1c/glucosa en ayuno puede verse engañosamente normal.</w:t>
      </w:r>
    </w:p>
    <w:p>
      <w:pPr>
        <w:numPr>
          <w:ilvl w:val="0"/>
          <w:numId w:val="1107"/>
        </w:numPr>
        <w:pStyle w:val="Compact"/>
      </w:pPr>
      <w:r>
        <w:rPr>
          <w:b/>
        </w:rPr>
        <w:t xml:space="preserve">Fuente</w:t>
      </w:r>
      <w:r>
        <w:t xml:space="preserve">:</w:t>
      </w:r>
      <w:r>
        <w:t xml:space="preserve"> </w:t>
      </w:r>
      <w:r>
        <w:t xml:space="preserve">“</w:t>
      </w:r>
      <w:r>
        <w:t xml:space="preserve">Fisiología de mecanismo de acción bien establecida, no un hallazgo de un ensayo específico</w:t>
      </w:r>
      <w:r>
        <w:t xml:space="preserve">”</w:t>
      </w:r>
      <w:r>
        <w:t xml:space="preserve"> </w:t>
      </w:r>
      <w:r>
        <w:t xml:space="preserve">— el umbral de 20 mg/día es</w:t>
      </w:r>
      <w:r>
        <w:t xml:space="preserve"> </w:t>
      </w:r>
      <w:r>
        <w:t xml:space="preserve">“</w:t>
      </w:r>
      <w:r>
        <w:t xml:space="preserve">convención clínica ampliamente citada</w:t>
      </w:r>
      <w:r>
        <w:t xml:space="preserve">”</w:t>
      </w:r>
      <w:r>
        <w:t xml:space="preserve">, explícitamente NO un corte oficial único de una sola guía.</w:t>
      </w:r>
    </w:p>
    <w:p>
      <w:pPr>
        <w:numPr>
          <w:ilvl w:val="0"/>
          <w:numId w:val="1107"/>
        </w:numPr>
        <w:pStyle w:val="Compact"/>
      </w:pPr>
      <w:r>
        <w:rPr>
          <w:b/>
        </w:rPr>
        <w:t xml:space="preserve">Versión de la fuente</w:t>
      </w:r>
      <w:r>
        <w:t xml:space="preserve">: No especificada en el código — pendiente de documentar (se declara explícitamente como convención, no como cifra de guía con año/edición).</w:t>
      </w:r>
    </w:p>
    <w:p>
      <w:pPr>
        <w:numPr>
          <w:ilvl w:val="0"/>
          <w:numId w:val="1107"/>
        </w:numPr>
        <w:pStyle w:val="Compact"/>
      </w:pPr>
      <w:r>
        <w:rPr>
          <w:b/>
        </w:rPr>
        <w:t xml:space="preserve">Fecha de revisión</w:t>
      </w:r>
      <w:r>
        <w:t xml:space="preserve">: 10-ago-2026 (ronda de casos 38-57).</w:t>
      </w:r>
    </w:p>
    <w:p>
      <w:pPr>
        <w:numPr>
          <w:ilvl w:val="0"/>
          <w:numId w:val="1107"/>
        </w:numPr>
        <w:pStyle w:val="Compact"/>
      </w:pPr>
      <w:r>
        <w:rPr>
          <w:b/>
        </w:rPr>
        <w:t xml:space="preserve">Quién revisó</w:t>
      </w:r>
      <w:r>
        <w:t xml:space="preserve">: Dr. Ortega.</w:t>
      </w:r>
    </w:p>
    <w:p>
      <w:pPr>
        <w:numPr>
          <w:ilvl w:val="0"/>
          <w:numId w:val="1107"/>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46, líneas 130 y 132 (dosis ≥20mg → color</w:t>
      </w:r>
      <w:r>
        <w:t xml:space="preserve"> </w:t>
      </w:r>
      <w:r>
        <w:t xml:space="preserve">“</w:t>
      </w:r>
      <w:r>
        <w:t xml:space="preserve">rose</w:t>
      </w:r>
      <w:r>
        <w:t xml:space="preserve">”</w:t>
      </w:r>
      <w:r>
        <w:t xml:space="preserve">; dosis baja → color</w:t>
      </w:r>
      <w:r>
        <w:t xml:space="preserve"> </w:t>
      </w:r>
      <w:r>
        <w:t xml:space="preserve">“</w:t>
      </w:r>
      <w:r>
        <w:t xml:space="preserve">amber</w:t>
      </w:r>
      <w:r>
        <w:t xml:space="preserve">”</w:t>
      </w:r>
      <w:r>
        <w:t xml:space="preserve">).</w:t>
      </w:r>
    </w:p>
    <w:p>
      <w:pPr>
        <w:numPr>
          <w:ilvl w:val="0"/>
          <w:numId w:val="1107"/>
        </w:numPr>
        <w:pStyle w:val="Compact"/>
      </w:pPr>
      <w:r>
        <w:rPr>
          <w:b/>
        </w:rPr>
        <w:t xml:space="preserve">Qué excepciones tiene</w:t>
      </w:r>
      <w:r>
        <w:t xml:space="preserve">: Ninguna adicional a la bifurcación de dosis.</w:t>
      </w:r>
    </w:p>
    <w:p>
      <w:pPr>
        <w:numPr>
          <w:ilvl w:val="0"/>
          <w:numId w:val="1107"/>
        </w:numPr>
        <w:pStyle w:val="Compact"/>
      </w:pPr>
      <w:r>
        <w:rPr>
          <w:b/>
        </w:rPr>
        <w:t xml:space="preserve">Qué ocurre si faltan datos</w:t>
      </w:r>
      <w:r>
        <w:t xml:space="preserve">:</w:t>
      </w:r>
      <w:r>
        <w:t xml:space="preserve"> </w:t>
      </w:r>
      <w:r>
        <w:rPr>
          <w:rStyle w:val="VerbatimChar"/>
        </w:rPr>
        <w:t xml:space="preserve">Number(p?.corticoideDosis)</w:t>
      </w:r>
      <w:r>
        <w:t xml:space="preserve"> </w:t>
      </w:r>
      <w:r>
        <w:t xml:space="preserve">sin dato es</w:t>
      </w:r>
      <w:r>
        <w:t xml:space="preserve"> </w:t>
      </w:r>
      <w:r>
        <w:rPr>
          <w:rStyle w:val="VerbatimChar"/>
        </w:rPr>
        <w:t xml:space="preserve">NaN</w:t>
      </w:r>
      <w:r>
        <w:t xml:space="preserve">;</w:t>
      </w:r>
      <w:r>
        <w:t xml:space="preserve"> </w:t>
      </w:r>
      <w:r>
        <w:rPr>
          <w:rStyle w:val="VerbatimChar"/>
        </w:rPr>
        <w:t xml:space="preserve">!(NaN &gt; 0)</w:t>
      </w:r>
      <w:r>
        <w:t xml:space="preserve"> </w:t>
      </w:r>
      <w:r>
        <w:t xml:space="preserve">es</w:t>
      </w:r>
      <w:r>
        <w:t xml:space="preserve"> </w:t>
      </w:r>
      <w:r>
        <w:rPr>
          <w:rStyle w:val="VerbatimChar"/>
        </w:rPr>
        <w:t xml:space="preserve">true</w:t>
      </w:r>
      <w:r>
        <w:t xml:space="preserve"> </w:t>
      </w:r>
      <w:r>
        <w:t xml:space="preserve">→ la función regresa</w:t>
      </w:r>
      <w:r>
        <w:t xml:space="preserve"> </w:t>
      </w:r>
      <w:r>
        <w:rPr>
          <w:rStyle w:val="VerbatimChar"/>
        </w:rPr>
        <w:t xml:space="preserve">null</w:t>
      </w:r>
      <w:r>
        <w:t xml:space="preserve"> </w:t>
      </w:r>
      <w:r>
        <w:t xml:space="preserve">explícitamente.</w:t>
      </w:r>
      <w:r>
        <w:t xml:space="preserve"> </w:t>
      </w:r>
      <w:r>
        <w:rPr>
          <w:b/>
        </w:rPr>
        <w:t xml:space="preserve">Se omite en silencio si no se capturó dosis de corticoide</w:t>
      </w:r>
      <w:r>
        <w:t xml:space="preserve"> </w:t>
      </w:r>
      <w:r>
        <w:t xml:space="preserve">— no hay aviso de</w:t>
      </w:r>
      <w:r>
        <w:t xml:space="preserve"> </w:t>
      </w:r>
      <w:r>
        <w:t xml:space="preserve">“</w:t>
      </w:r>
      <w:r>
        <w:t xml:space="preserve">revisar si el paciente usa corticoides</w:t>
      </w:r>
      <w:r>
        <w:t xml:space="preserve">”</w:t>
      </w:r>
      <w:r>
        <w:t xml:space="preserve">.</w:t>
      </w:r>
    </w:p>
    <w:p>
      <w:pPr>
        <w:numPr>
          <w:ilvl w:val="0"/>
          <w:numId w:val="1107"/>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DELIBERADO declarado explícitamente en el comentario de cabecera</w:t>
      </w:r>
      <w:r>
        <w:t xml:space="preserve">:</w:t>
      </w:r>
      <w:r>
        <w:t xml:space="preserve"> </w:t>
      </w:r>
      <w:r>
        <w:rPr>
          <w:i/>
        </w:rPr>
        <w:t xml:space="preserve">“</w:t>
      </w:r>
      <w:r>
        <w:rPr>
          <w:i/>
        </w:rPr>
        <w:t xml:space="preserve">NO se implementa una fórmula de conversión de dosis (prednisona-equivalente a partir de otros corticoides) ni un algoritmo de ajuste de insulina/antidiabético basado en la dosis exacta […] el motor asume que</w:t>
      </w:r>
      <w:r>
        <w:rPr>
          <w:i/>
        </w:rPr>
        <w:t xml:space="preserve"> </w:t>
      </w:r>
      <w:r>
        <w:rPr>
          <w:rStyle w:val="VerbatimChar"/>
          <w:i/>
        </w:rPr>
        <w:t xml:space="preserve">p.corticoideDosis</w:t>
      </w:r>
      <w:r>
        <w:rPr>
          <w:i/>
        </w:rPr>
        <w:t xml:space="preserve"> </w:t>
      </w:r>
      <w:r>
        <w:rPr>
          <w:i/>
        </w:rPr>
        <w:t xml:space="preserve">YA está en equivalente de prednisona (así lo indica la etiqueta del campo en el formulario) y solo da orientación DIRECCIONAL, no un plan de dosis.</w:t>
      </w:r>
      <w:r>
        <w:rPr>
          <w:i/>
        </w:rPr>
        <w:t xml:space="preserve">”</w:t>
      </w:r>
      <w:r>
        <w:t xml:space="preserve"> </w:t>
      </w:r>
      <w:r>
        <w:t xml:space="preserve">Esto implica una dependencia crítica no verificada por el sistema: si el médico ingresa la dosis de un corticoide distinto a prednisona sin convertirla mentalmente al equivalente, el umbral de 20 mg se aplica igual, sin advertencia de que el valor podría no estar en la unidad esperada.</w:t>
      </w:r>
    </w:p>
    <w:p>
      <w:pPr>
        <w:pStyle w:val="Heading3"/>
      </w:pPr>
      <w:bookmarkStart w:id="141" w:name="Xd64b9e8fed0b3e7d9c2c884fe9f707fa5e74eb9"/>
      <w:r>
        <w:t xml:space="preserve">5.2 AINE_ERC_NEFROTOXICIDAD — Nefrotoxicidad por AINE en paciente con ERC de base (Caso 47)</w:t>
      </w:r>
      <w:bookmarkEnd w:id="141"/>
    </w:p>
    <w:p>
      <w:pPr>
        <w:numPr>
          <w:ilvl w:val="0"/>
          <w:numId w:val="1108"/>
        </w:numPr>
        <w:pStyle w:val="Compact"/>
      </w:pPr>
      <w:r>
        <w:rPr>
          <w:b/>
        </w:rPr>
        <w:t xml:space="preserve">Qué hace</w:t>
      </w:r>
      <w:r>
        <w:t xml:space="preserve">: Si hay uso reciente de AINE (</w:t>
      </w:r>
      <w:r>
        <w:rPr>
          <w:rStyle w:val="VerbatimChar"/>
        </w:rPr>
        <w:t xml:space="preserve">flags.aineReciente</w:t>
      </w:r>
      <w:r>
        <w:t xml:space="preserve">) Y el paciente tiene ERC (</w:t>
      </w:r>
      <w:r>
        <w:rPr>
          <w:rStyle w:val="VerbatimChar"/>
        </w:rPr>
        <w:t xml:space="preserve">flags.erc</w:t>
      </w:r>
      <w:r>
        <w:t xml:space="preserve">), independientemente de si toma RAAS/diurético, emite advertencia de nefrotoxicidad.</w:t>
      </w:r>
    </w:p>
    <w:p>
      <w:pPr>
        <w:numPr>
          <w:ilvl w:val="0"/>
          <w:numId w:val="1108"/>
        </w:numPr>
        <w:pStyle w:val="Compact"/>
      </w:pPr>
      <w:r>
        <w:rPr>
          <w:b/>
        </w:rPr>
        <w:t xml:space="preserve">Por qué</w:t>
      </w:r>
      <w:r>
        <w:t xml:space="preserve">: Un AINE por sí solo ya reduce la perfusión renal (vasoconstricción de la arteriola aferente); en un riñón con reserva funcional ya disminuida, esa reducción tolerable en un riñón sano puede precipitar lesión aguda sobre crónica.</w:t>
      </w:r>
    </w:p>
    <w:p>
      <w:pPr>
        <w:numPr>
          <w:ilvl w:val="0"/>
          <w:numId w:val="1108"/>
        </w:numPr>
        <w:pStyle w:val="Compact"/>
      </w:pPr>
      <w:r>
        <w:rPr>
          <w:b/>
        </w:rPr>
        <w:t xml:space="preserve">Fuente</w:t>
      </w:r>
      <w:r>
        <w:t xml:space="preserve">: Mecanismo fisiopatológico general (inhibición de prostaglandinas), sin cita de un estudio o guía puntual distinta a la ya citada para la</w:t>
      </w:r>
      <w:r>
        <w:t xml:space="preserve"> </w:t>
      </w:r>
      <w:r>
        <w:t xml:space="preserve">“</w:t>
      </w:r>
      <w:r>
        <w:t xml:space="preserve">Tríada Mortal</w:t>
      </w:r>
      <w:r>
        <w:t xml:space="preserve">”</w:t>
      </w:r>
      <w:r>
        <w:t xml:space="preserve"> </w:t>
      </w:r>
      <w:r>
        <w:t xml:space="preserve">(ver 9.2).</w:t>
      </w:r>
    </w:p>
    <w:p>
      <w:pPr>
        <w:numPr>
          <w:ilvl w:val="0"/>
          <w:numId w:val="1108"/>
        </w:numPr>
        <w:pStyle w:val="Compact"/>
      </w:pPr>
      <w:r>
        <w:rPr>
          <w:b/>
        </w:rPr>
        <w:t xml:space="preserve">Versión de la fuente</w:t>
      </w:r>
      <w:r>
        <w:t xml:space="preserve">: No especificada en el código — pendiente de documentar.</w:t>
      </w:r>
    </w:p>
    <w:p>
      <w:pPr>
        <w:numPr>
          <w:ilvl w:val="0"/>
          <w:numId w:val="1108"/>
        </w:numPr>
        <w:pStyle w:val="Compact"/>
      </w:pPr>
      <w:r>
        <w:rPr>
          <w:b/>
        </w:rPr>
        <w:t xml:space="preserve">Fecha de revisión</w:t>
      </w:r>
      <w:r>
        <w:t xml:space="preserve">: 10-ago-2026.</w:t>
      </w:r>
    </w:p>
    <w:p>
      <w:pPr>
        <w:numPr>
          <w:ilvl w:val="0"/>
          <w:numId w:val="1108"/>
        </w:numPr>
        <w:pStyle w:val="Compact"/>
      </w:pPr>
      <w:r>
        <w:rPr>
          <w:b/>
        </w:rPr>
        <w:t xml:space="preserve">Quién revisó</w:t>
      </w:r>
      <w:r>
        <w:t xml:space="preserve">: Dr. Ortega.</w:t>
      </w:r>
    </w:p>
    <w:p>
      <w:pPr>
        <w:numPr>
          <w:ilvl w:val="0"/>
          <w:numId w:val="1108"/>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47, línea 136 (AINE+ERC sin RAAS/diurético → advierte) y línea 139 (Caso 47+45 combinados:</w:t>
      </w:r>
      <w:r>
        <w:t xml:space="preserve"> </w:t>
      </w:r>
      <w:r>
        <w:t xml:space="preserve">“</w:t>
      </w:r>
      <w:r>
        <w:t xml:space="preserve">no duplica -&gt; solo la tarjeta más específica (Caso 45)</w:t>
      </w:r>
      <w:r>
        <w:t xml:space="preserve">”</w:t>
      </w:r>
      <w:r>
        <w:t xml:space="preserve">).</w:t>
      </w:r>
    </w:p>
    <w:p>
      <w:pPr>
        <w:numPr>
          <w:ilvl w:val="0"/>
          <w:numId w:val="1108"/>
        </w:numPr>
        <w:pStyle w:val="Compact"/>
      </w:pPr>
      <w:r>
        <w:rPr>
          <w:b/>
        </w:rPr>
        <w:t xml:space="preserve">Qué excepciones tiene</w:t>
      </w:r>
      <w:r>
        <w:t xml:space="preserve">: Diseñada explícitamente para NO duplicarse con</w:t>
      </w:r>
      <w:r>
        <w:t xml:space="preserve"> </w:t>
      </w:r>
      <w:r>
        <w:rPr>
          <w:rStyle w:val="VerbatimChar"/>
        </w:rPr>
        <w:t xml:space="preserve">checkTripleWhammy</w:t>
      </w:r>
      <w:r>
        <w:t xml:space="preserve">/</w:t>
      </w:r>
      <w:r>
        <w:rPr>
          <w:rStyle w:val="VerbatimChar"/>
        </w:rPr>
        <w:t xml:space="preserve">AINE_RAAS_RENAL_RISK</w:t>
      </w:r>
      <w:r>
        <w:t xml:space="preserve"> </w:t>
      </w:r>
      <w:r>
        <w:t xml:space="preserve">(sección 9.2) cuando ambas condiciones aplican — el motor prioriza la tarjeta más específica (Triple Whammy) y suprime esta más genérica, verificado por test.</w:t>
      </w:r>
    </w:p>
    <w:p>
      <w:pPr>
        <w:numPr>
          <w:ilvl w:val="0"/>
          <w:numId w:val="1108"/>
        </w:numPr>
        <w:pStyle w:val="Compact"/>
      </w:pPr>
      <w:r>
        <w:rPr>
          <w:b/>
        </w:rPr>
        <w:t xml:space="preserve">Qué ocurre si faltan datos</w:t>
      </w:r>
      <w:r>
        <w:t xml:space="preserve">: Depende de</w:t>
      </w:r>
      <w:r>
        <w:t xml:space="preserve"> </w:t>
      </w:r>
      <w:r>
        <w:rPr>
          <w:rStyle w:val="VerbatimChar"/>
        </w:rPr>
        <w:t xml:space="preserve">flags.aineReciente</w:t>
      </w:r>
      <w:r>
        <w:t xml:space="preserve"> </w:t>
      </w:r>
      <w:r>
        <w:t xml:space="preserve">y</w:t>
      </w:r>
      <w:r>
        <w:t xml:space="preserve"> </w:t>
      </w:r>
      <w:r>
        <w:rPr>
          <w:rStyle w:val="VerbatimChar"/>
        </w:rPr>
        <w:t xml:space="preserve">flags.erc</w:t>
      </w:r>
      <w:r>
        <w:t xml:space="preserve">, ambos booleanos derivados — si cualquiera de las dos banderas no se deriva (por ejemplo, AINE reciente no capturado en</w:t>
      </w:r>
      <w:r>
        <w:t xml:space="preserve"> </w:t>
      </w:r>
      <w:r>
        <w:t xml:space="preserve">“</w:t>
      </w:r>
      <w:r>
        <w:t xml:space="preserve">Medicación Actual/otros</w:t>
      </w:r>
      <w:r>
        <w:t xml:space="preserve">”</w:t>
      </w:r>
      <w:r>
        <w:t xml:space="preserve">), la función regresa</w:t>
      </w:r>
      <w:r>
        <w:t xml:space="preserve"> </w:t>
      </w:r>
      <w:r>
        <w:rPr>
          <w:rStyle w:val="VerbatimChar"/>
        </w:rPr>
        <w:t xml:space="preserve">null</w:t>
      </w:r>
      <w:r>
        <w:t xml:space="preserve"> </w:t>
      </w:r>
      <w:r>
        <w:t xml:space="preserve">de forma silenciosa, sin aviso.</w:t>
      </w:r>
    </w:p>
    <w:p>
      <w:pPr>
        <w:numPr>
          <w:ilvl w:val="0"/>
          <w:numId w:val="1108"/>
        </w:numPr>
        <w:pStyle w:val="Compact"/>
      </w:pPr>
      <w:r>
        <w:rPr>
          <w:b/>
        </w:rPr>
        <w:t xml:space="preserve">Qué ocurre si dos guías discrepan</w:t>
      </w:r>
      <w:r>
        <w:t xml:space="preserve">: No aplica / sin discrepancia documentada para esta regla.</w:t>
      </w:r>
    </w:p>
    <w:p>
      <w:r>
        <w:pict>
          <v:rect style="width:0;height:1.5pt" o:hralign="center" o:hrstd="t" o:hr="t"/>
        </w:pict>
      </w:r>
    </w:p>
    <w:p>
      <w:pPr>
        <w:pStyle w:val="Heading2"/>
      </w:pPr>
      <w:bookmarkStart w:id="142" w:name="Xf8c20dc95612148020dd1234236f7aff92b3cd1"/>
      <w:r>
        <w:t xml:space="preserve">6. Deprescripción geriátrica —</w:t>
      </w:r>
      <w:r>
        <w:t xml:space="preserve"> </w:t>
      </w:r>
      <w:r>
        <w:rPr>
          <w:rStyle w:val="VerbatimChar"/>
        </w:rPr>
        <w:t xml:space="preserve">js/geriatric.js</w:t>
      </w:r>
      <w:r>
        <w:t xml:space="preserve"> </w:t>
      </w:r>
      <w:r>
        <w:t xml:space="preserve">(Casos 38-39)</w:t>
      </w:r>
      <w:bookmarkEnd w:id="142"/>
    </w:p>
    <w:p>
      <w:pPr>
        <w:pStyle w:val="FirstParagraph"/>
      </w:pPr>
      <w:r>
        <w:t xml:space="preserve">Único par de reglas del proyecto que reconoce cuándo agregar/titular MÁS es lo clínicamente incorrecto, en vez de solo escalar.</w:t>
      </w:r>
    </w:p>
    <w:p>
      <w:pPr>
        <w:pStyle w:val="Heading3"/>
      </w:pPr>
      <w:bookmarkStart w:id="143" w:name="X27dc088692cacf4e58cbfa71a7eabae5ec04d99"/>
      <w:r>
        <w:t xml:space="preserve">6.1 OVERTREATMENT_DM_GERIATRIC — Sobretratamiento glucémico en adulto mayor (Caso 38)</w:t>
      </w:r>
      <w:bookmarkEnd w:id="143"/>
    </w:p>
    <w:p>
      <w:pPr>
        <w:numPr>
          <w:ilvl w:val="0"/>
          <w:numId w:val="1109"/>
        </w:numPr>
        <w:pStyle w:val="Compact"/>
      </w:pPr>
      <w:r>
        <w:rPr>
          <w:b/>
        </w:rPr>
        <w:t xml:space="preserve">Qué hace</w:t>
      </w:r>
      <w:r>
        <w:t xml:space="preserve">: En pacientes ≥65 años con A1c ya en o por debajo de la meta individualizada Y con un agente de alto riesgo de hipoglucemia activo (sulfonilurea, meglitinida, insulina basal o prandial), sugiere desescalar (sulfonilurea primero, luego insulina).</w:t>
      </w:r>
    </w:p>
    <w:p>
      <w:pPr>
        <w:numPr>
          <w:ilvl w:val="0"/>
          <w:numId w:val="1109"/>
        </w:numPr>
        <w:pStyle w:val="Compact"/>
      </w:pPr>
      <w:r>
        <w:rPr>
          <w:b/>
        </w:rPr>
        <w:t xml:space="preserve">Por qué</w:t>
      </w:r>
      <w:r>
        <w:t xml:space="preserve">: Bajar la A1c más allá de la meta relajada de un adulto mayor complejo no aporta beneficio adicional y sí aumenta el riesgo de hipoglucemia severa.</w:t>
      </w:r>
    </w:p>
    <w:p>
      <w:pPr>
        <w:numPr>
          <w:ilvl w:val="0"/>
          <w:numId w:val="1109"/>
        </w:numPr>
        <w:pStyle w:val="Compact"/>
      </w:pPr>
      <w:r>
        <w:rPr>
          <w:b/>
        </w:rPr>
        <w:t xml:space="preserve">Fuente</w:t>
      </w:r>
      <w:r>
        <w:t xml:space="preserve">: ACCORD, VADT (ensayos clínicos citados explícitamente como evidencia de que sobre-tratar no reduce complicaciones en este contexto).</w:t>
      </w:r>
    </w:p>
    <w:p>
      <w:pPr>
        <w:numPr>
          <w:ilvl w:val="0"/>
          <w:numId w:val="1109"/>
        </w:numPr>
        <w:pStyle w:val="Compact"/>
      </w:pPr>
      <w:r>
        <w:rPr>
          <w:b/>
        </w:rPr>
        <w:t xml:space="preserve">Versión de la fuente</w:t>
      </w:r>
      <w:r>
        <w:t xml:space="preserve">: No se especifica año de publicación de ACCORD/VADT en el código — pendiente de documentar.</w:t>
      </w:r>
    </w:p>
    <w:p>
      <w:pPr>
        <w:numPr>
          <w:ilvl w:val="0"/>
          <w:numId w:val="1109"/>
        </w:numPr>
        <w:pStyle w:val="Compact"/>
      </w:pPr>
      <w:r>
        <w:rPr>
          <w:b/>
        </w:rPr>
        <w:t xml:space="preserve">Fecha de revisión</w:t>
      </w:r>
      <w:r>
        <w:t xml:space="preserve">: 10-ago-2026.</w:t>
      </w:r>
    </w:p>
    <w:p>
      <w:pPr>
        <w:numPr>
          <w:ilvl w:val="0"/>
          <w:numId w:val="1109"/>
        </w:numPr>
        <w:pStyle w:val="Compact"/>
      </w:pPr>
      <w:r>
        <w:rPr>
          <w:b/>
        </w:rPr>
        <w:t xml:space="preserve">Quién revisó</w:t>
      </w:r>
      <w:r>
        <w:t xml:space="preserve">: Dr. Ortega.</w:t>
      </w:r>
    </w:p>
    <w:p>
      <w:pPr>
        <w:numPr>
          <w:ilvl w:val="0"/>
          <w:numId w:val="1109"/>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línea 56 (</w:t>
      </w:r>
      <w:r>
        <w:t xml:space="preserve">“</w:t>
      </w:r>
      <w:r>
        <w:t xml:space="preserve">adulto mayor + A1c en meta + SU -&gt; sugiere desescalar</w:t>
      </w:r>
      <w:r>
        <w:t xml:space="preserve">”</w:t>
      </w:r>
      <w:r>
        <w:t xml:space="preserve">) y línea 58, control negativo explícito (</w:t>
      </w:r>
      <w:r>
        <w:t xml:space="preserve">“</w:t>
      </w:r>
      <w:r>
        <w:t xml:space="preserve">&lt;65 años -&gt; NO se activa, criterio exclusivo Tabla 13.2</w:t>
      </w:r>
      <w:r>
        <w:t xml:space="preserve">”</w:t>
      </w:r>
      <w:r>
        <w:t xml:space="preserve">).</w:t>
      </w:r>
    </w:p>
    <w:p>
      <w:pPr>
        <w:numPr>
          <w:ilvl w:val="0"/>
          <w:numId w:val="1109"/>
        </w:numPr>
        <w:pStyle w:val="Compact"/>
      </w:pPr>
      <w:r>
        <w:rPr>
          <w:b/>
        </w:rPr>
        <w:t xml:space="preserve">Qué excepciones tiene</w:t>
      </w:r>
      <w:r>
        <w:t xml:space="preserve">: Solo aplica a ≥65 años — el criterio de</w:t>
      </w:r>
      <w:r>
        <w:t xml:space="preserve"> </w:t>
      </w:r>
      <w:r>
        <w:t xml:space="preserve">“</w:t>
      </w:r>
      <w:r>
        <w:t xml:space="preserve">meta relajada</w:t>
      </w:r>
      <w:r>
        <w:t xml:space="preserve">”</w:t>
      </w:r>
      <w:r>
        <w:t xml:space="preserve"> </w:t>
      </w:r>
      <w:r>
        <w:t xml:space="preserve">es exclusivo de la Tabla 13.2. Prioriza sulfonilurea antes que insulina en el orden sugerido de desescalamiento, pero sin especificar cuál exactamente.</w:t>
      </w:r>
    </w:p>
    <w:p>
      <w:pPr>
        <w:numPr>
          <w:ilvl w:val="0"/>
          <w:numId w:val="1109"/>
        </w:numPr>
        <w:pStyle w:val="Compact"/>
      </w:pPr>
      <w:r>
        <w:rPr>
          <w:b/>
        </w:rPr>
        <w:t xml:space="preserve">Qué ocurre si faltan datos</w:t>
      </w:r>
      <w:r>
        <w:t xml:space="preserve">: La función regresa explícitamente</w:t>
      </w:r>
      <w:r>
        <w:t xml:space="preserve"> </w:t>
      </w:r>
      <w:r>
        <w:rPr>
          <w:rStyle w:val="VerbatimChar"/>
        </w:rPr>
        <w:t xml:space="preserve">null</w:t>
      </w:r>
      <w:r>
        <w:t xml:space="preserve"> </w:t>
      </w:r>
      <w:r>
        <w:t xml:space="preserve">en tres puntos de guardia secuenciales: si</w:t>
      </w:r>
      <w:r>
        <w:t xml:space="preserve"> </w:t>
      </w:r>
      <w:r>
        <w:rPr>
          <w:rStyle w:val="VerbatimChar"/>
        </w:rPr>
        <w:t xml:space="preserve">age &lt; 65</w:t>
      </w:r>
      <w:r>
        <w:t xml:space="preserve">, si no hay A1c capturada (</w:t>
      </w:r>
      <w:r>
        <w:rPr>
          <w:rStyle w:val="VerbatimChar"/>
        </w:rPr>
        <w:t xml:space="preserve">!(a1cValue &gt; 0)</w:t>
      </w:r>
      <w:r>
        <w:t xml:space="preserve">), o si no hay agentes de riesgo activos — comportamiento de</w:t>
      </w:r>
      <w:r>
        <w:t xml:space="preserve"> </w:t>
      </w:r>
      <w:r>
        <w:t xml:space="preserve">“</w:t>
      </w:r>
      <w:r>
        <w:t xml:space="preserve">omisión silenciosa</w:t>
      </w:r>
      <w:r>
        <w:t xml:space="preserve">”</w:t>
      </w:r>
      <w:r>
        <w:t xml:space="preserve"> </w:t>
      </w:r>
      <w:r>
        <w:t xml:space="preserve">en los tres casos, sin distinguir entre</w:t>
      </w:r>
      <w:r>
        <w:t xml:space="preserve"> </w:t>
      </w:r>
      <w:r>
        <w:t xml:space="preserve">“</w:t>
      </w:r>
      <w:r>
        <w:t xml:space="preserve">no aplica por diseño</w:t>
      </w:r>
      <w:r>
        <w:t xml:space="preserve">”</w:t>
      </w:r>
      <w:r>
        <w:t xml:space="preserve"> </w:t>
      </w:r>
      <w:r>
        <w:t xml:space="preserve">(edad) y</w:t>
      </w:r>
      <w:r>
        <w:t xml:space="preserve"> </w:t>
      </w:r>
      <w:r>
        <w:t xml:space="preserve">“</w:t>
      </w:r>
      <w:r>
        <w:t xml:space="preserve">no se puede evaluar por falta de dato</w:t>
      </w:r>
      <w:r>
        <w:t xml:space="preserve">”</w:t>
      </w:r>
      <w:r>
        <w:t xml:space="preserve"> </w:t>
      </w:r>
      <w:r>
        <w:t xml:space="preserve">(A1c faltante) en la salida que ve el médico.</w:t>
      </w:r>
    </w:p>
    <w:p>
      <w:pPr>
        <w:numPr>
          <w:ilvl w:val="0"/>
          <w:numId w:val="1109"/>
        </w:numPr>
        <w:pStyle w:val="Compact"/>
      </w:pPr>
      <w:r>
        <w:rPr>
          <w:b/>
        </w:rPr>
        <w:t xml:space="preserve">Qué ocurre si dos guías discrepan</w:t>
      </w:r>
      <w:r>
        <w:t xml:space="preserve">: No aplica / sin discrepancia documentada para esta regla.</w:t>
      </w:r>
    </w:p>
    <w:p>
      <w:pPr>
        <w:pStyle w:val="FirstParagraph"/>
      </w:pPr>
      <w:r>
        <w:rPr>
          <w:b/>
        </w:rPr>
        <w:t xml:space="preserve">Nota de priorización documentada explícitamente</w:t>
      </w:r>
      <w:r>
        <w:t xml:space="preserve">: cuando este caso (38) y el Caso 44/57 (sección 9.1,</w:t>
      </w:r>
      <w:r>
        <w:t xml:space="preserve"> </w:t>
      </w:r>
      <w:r>
        <w:rPr>
          <w:rStyle w:val="VerbatimChar"/>
        </w:rPr>
        <w:t xml:space="preserve">SEVERE_OVERTREATMENT_DM</w:t>
      </w:r>
      <w:r>
        <w:t xml:space="preserve">) aplicarían al mismo paciente,</w:t>
      </w:r>
      <w:r>
        <w:t xml:space="preserve"> </w:t>
      </w:r>
      <w:r>
        <w:rPr>
          <w:rStyle w:val="VerbatimChar"/>
        </w:rPr>
        <w:t xml:space="preserve">calculations.js</w:t>
      </w:r>
      <w:r>
        <w:t xml:space="preserve"> </w:t>
      </w:r>
      <w:r>
        <w:t xml:space="preserve">prioriza la tarjeta del Caso 44/57 por ser</w:t>
      </w:r>
      <w:r>
        <w:t xml:space="preserve"> </w:t>
      </w:r>
      <w:r>
        <w:t xml:space="preserve">“</w:t>
      </w:r>
      <w:r>
        <w:t xml:space="preserve">más urgente (hipoglucemia inminente, no solo ausencia de beneficio adicional)</w:t>
      </w:r>
      <w:r>
        <w:t xml:space="preserve">”</w:t>
      </w:r>
      <w:r>
        <w:t xml:space="preserve"> </w:t>
      </w:r>
      <w:r>
        <w:t xml:space="preserve">— documentado en el comentario de cabecera de</w:t>
      </w:r>
      <w:r>
        <w:t xml:space="preserve"> </w:t>
      </w:r>
      <w:r>
        <w:rPr>
          <w:rStyle w:val="VerbatimChar"/>
        </w:rPr>
        <w:t xml:space="preserve">polypharmacy.js</w:t>
      </w:r>
      <w:r>
        <w:t xml:space="preserve">.</w:t>
      </w:r>
    </w:p>
    <w:p>
      <w:pPr>
        <w:pStyle w:val="Heading3"/>
      </w:pPr>
      <w:bookmarkStart w:id="144" w:name="Xf3656cd2a3fc02cda2a4f3933fa1030b6be9821"/>
      <w:r>
        <w:t xml:space="preserve">6.2 ORTHOSTATIC_SIMPLIFY — Sobretratamiento de PA con riesgo de caídas (Caso 39)</w:t>
      </w:r>
      <w:bookmarkEnd w:id="144"/>
    </w:p>
    <w:p>
      <w:pPr>
        <w:numPr>
          <w:ilvl w:val="0"/>
          <w:numId w:val="1110"/>
        </w:numPr>
        <w:pStyle w:val="Compact"/>
      </w:pPr>
      <w:r>
        <w:rPr>
          <w:b/>
        </w:rPr>
        <w:t xml:space="preserve">Qué hace</w:t>
      </w:r>
      <w:r>
        <w:t xml:space="preserve">: Si hay síntomas ortostáticos Y la PA ya está en meta individualizada Y hay ≥2 antihipertensivos activos, bloquea la titulación adicional y sugiere simplificar/reducir dosis.</w:t>
      </w:r>
    </w:p>
    <w:p>
      <w:pPr>
        <w:numPr>
          <w:ilvl w:val="0"/>
          <w:numId w:val="1110"/>
        </w:numPr>
        <w:pStyle w:val="Compact"/>
      </w:pPr>
      <w:r>
        <w:rPr>
          <w:b/>
        </w:rPr>
        <w:t xml:space="preserve">Por qué</w:t>
      </w:r>
      <w:r>
        <w:t xml:space="preserve">: Seguir titulando un fármaco sin mirar este contexto empeora el riesgo de hipotensión ortostática/caídas.</w:t>
      </w:r>
    </w:p>
    <w:p>
      <w:pPr>
        <w:numPr>
          <w:ilvl w:val="0"/>
          <w:numId w:val="1110"/>
        </w:numPr>
        <w:pStyle w:val="Compact"/>
      </w:pPr>
      <w:r>
        <w:rPr>
          <w:b/>
        </w:rPr>
        <w:t xml:space="preserve">Fuente</w:t>
      </w:r>
      <w:r>
        <w:t xml:space="preserve">: Beers Criteria / STOPP-START.</w:t>
      </w:r>
    </w:p>
    <w:p>
      <w:pPr>
        <w:numPr>
          <w:ilvl w:val="0"/>
          <w:numId w:val="1110"/>
        </w:numPr>
        <w:pStyle w:val="Compact"/>
      </w:pPr>
      <w:r>
        <w:rPr>
          <w:b/>
        </w:rPr>
        <w:t xml:space="preserve">Versión de la fuente</w:t>
      </w:r>
      <w:r>
        <w:t xml:space="preserve">: No se especifica edición/año de Beers Criteria ni de STOPP-START — pendiente de documentar.</w:t>
      </w:r>
    </w:p>
    <w:p>
      <w:pPr>
        <w:numPr>
          <w:ilvl w:val="0"/>
          <w:numId w:val="1110"/>
        </w:numPr>
        <w:pStyle w:val="Compact"/>
      </w:pPr>
      <w:r>
        <w:rPr>
          <w:b/>
        </w:rPr>
        <w:t xml:space="preserve">Fecha de revisión</w:t>
      </w:r>
      <w:r>
        <w:t xml:space="preserve">: 10-ago-2026.</w:t>
      </w:r>
    </w:p>
    <w:p>
      <w:pPr>
        <w:numPr>
          <w:ilvl w:val="0"/>
          <w:numId w:val="1110"/>
        </w:numPr>
        <w:pStyle w:val="Compact"/>
      </w:pPr>
      <w:r>
        <w:rPr>
          <w:b/>
        </w:rPr>
        <w:t xml:space="preserve">Quién revisó</w:t>
      </w:r>
      <w:r>
        <w:t xml:space="preserve">: Dr. Ortega.</w:t>
      </w:r>
    </w:p>
    <w:p>
      <w:pPr>
        <w:numPr>
          <w:ilvl w:val="0"/>
          <w:numId w:val="1110"/>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línea 63 (</w:t>
      </w:r>
      <w:r>
        <w:t xml:space="preserve">“</w:t>
      </w:r>
      <w:r>
        <w:t xml:space="preserve">ortostatismo + PA en meta + 2 antihipertensivos -&gt; bloquea titulación, sugiere simplificar</w:t>
      </w:r>
      <w:r>
        <w:t xml:space="preserve">”</w:t>
      </w:r>
      <w:r>
        <w:t xml:space="preserve">).</w:t>
      </w:r>
    </w:p>
    <w:p>
      <w:pPr>
        <w:numPr>
          <w:ilvl w:val="0"/>
          <w:numId w:val="1110"/>
        </w:numPr>
        <w:pStyle w:val="Compact"/>
      </w:pPr>
      <w:r>
        <w:rPr>
          <w:b/>
        </w:rPr>
        <w:t xml:space="preserve">Qué excepciones tiene</w:t>
      </w:r>
      <w:r>
        <w:t xml:space="preserve">: Si la PA NO está controlada (</w:t>
      </w:r>
      <w:r>
        <w:rPr>
          <w:rStyle w:val="VerbatimChar"/>
        </w:rPr>
        <w:t xml:space="preserve">!atGoal</w:t>
      </w:r>
      <w:r>
        <w:t xml:space="preserve">), los síntomas ortostáticos explícitamente NO eximen de tratar la HTA — la función regresa</w:t>
      </w:r>
      <w:r>
        <w:t xml:space="preserve"> </w:t>
      </w:r>
      <w:r>
        <w:rPr>
          <w:rStyle w:val="VerbatimChar"/>
        </w:rPr>
        <w:t xml:space="preserve">null</w:t>
      </w:r>
      <w:r>
        <w:t xml:space="preserve"> </w:t>
      </w:r>
      <w:r>
        <w:t xml:space="preserve">en ese caso (documentado en el comentario en línea:</w:t>
      </w:r>
      <w:r>
        <w:t xml:space="preserve"> </w:t>
      </w:r>
      <w:r>
        <w:t xml:space="preserve">“</w:t>
      </w:r>
      <w:r>
        <w:t xml:space="preserve">PA no controlada -&gt; los síntomas ortostáticos no eximen de tratar la HTA</w:t>
      </w:r>
      <w:r>
        <w:t xml:space="preserve">”</w:t>
      </w:r>
      <w:r>
        <w:t xml:space="preserve">).</w:t>
      </w:r>
    </w:p>
    <w:p>
      <w:pPr>
        <w:numPr>
          <w:ilvl w:val="0"/>
          <w:numId w:val="1110"/>
        </w:numPr>
        <w:pStyle w:val="Compact"/>
      </w:pPr>
      <w:r>
        <w:rPr>
          <w:b/>
        </w:rPr>
        <w:t xml:space="preserve">Qué ocurre si faltan datos</w:t>
      </w:r>
      <w:r>
        <w:t xml:space="preserve">: Tres guardas secuenciales devuelven</w:t>
      </w:r>
      <w:r>
        <w:t xml:space="preserve"> </w:t>
      </w:r>
      <w:r>
        <w:rPr>
          <w:rStyle w:val="VerbatimChar"/>
        </w:rPr>
        <w:t xml:space="preserve">null</w:t>
      </w:r>
      <w:r>
        <w:t xml:space="preserve"> </w:t>
      </w:r>
      <w:r>
        <w:t xml:space="preserve">silenciosamente: sin bandera de síntomas ortostáticos, sin PA en meta, o con menos de 2 antihipertensivos activos (la simplificación</w:t>
      </w:r>
      <w:r>
        <w:t xml:space="preserve"> </w:t>
      </w:r>
      <w:r>
        <w:t xml:space="preserve">“</w:t>
      </w:r>
      <w:r>
        <w:t xml:space="preserve">solo tiene sentido con polifarmacia antihipertensiva</w:t>
      </w:r>
      <w:r>
        <w:t xml:space="preserve">”</w:t>
      </w:r>
      <w:r>
        <w:t xml:space="preserve">).</w:t>
      </w:r>
    </w:p>
    <w:p>
      <w:pPr>
        <w:numPr>
          <w:ilvl w:val="0"/>
          <w:numId w:val="1110"/>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documentado explícitamente para ambas reglas de este archivo (mismo espíritu que</w:t>
      </w:r>
      <w:r>
        <w:rPr>
          <w:b/>
        </w:rPr>
        <w:t xml:space="preserve"> </w:t>
      </w:r>
      <w:r>
        <w:rPr>
          <w:rStyle w:val="VerbatimChar"/>
          <w:b/>
        </w:rPr>
        <w:t xml:space="preserve">redflags.js</w:t>
      </w:r>
      <w:r>
        <w:rPr>
          <w:b/>
        </w:rPr>
        <w:t xml:space="preserve">)</w:t>
      </w:r>
      <w:r>
        <w:t xml:space="preserve">:</w:t>
      </w:r>
      <w:r>
        <w:t xml:space="preserve"> </w:t>
      </w:r>
      <w:r>
        <w:rPr>
          <w:i/>
        </w:rPr>
        <w:t xml:space="preserve">“</w:t>
      </w:r>
      <w:r>
        <w:rPr>
          <w:i/>
        </w:rPr>
        <w:t xml:space="preserve">estas funciones solo generan una ADVERTENCIA/SUGERENCIA de desescalamiento — nunca especifican qué dosis exacta reducir primero ni un cronograma de retiro. La secuencia real de</w:t>
      </w:r>
      <w:r>
        <w:rPr>
          <w:i/>
        </w:rPr>
        <w:t xml:space="preserve"> </w:t>
      </w:r>
      <w:r>
        <w:rPr>
          <w:i/>
        </w:rPr>
        <w:t xml:space="preserve">‘</w:t>
      </w:r>
      <w:r>
        <w:rPr>
          <w:i/>
        </w:rPr>
        <w:t xml:space="preserve">qué quitar primero</w:t>
      </w:r>
      <w:r>
        <w:rPr>
          <w:i/>
        </w:rPr>
        <w:t xml:space="preserve">’</w:t>
      </w:r>
      <w:r>
        <w:rPr>
          <w:i/>
        </w:rPr>
        <w:t xml:space="preserve"> </w:t>
      </w:r>
      <w:r>
        <w:rPr>
          <w:i/>
        </w:rPr>
        <w:t xml:space="preserve">[…] requiere valoración presencial del patrón glucémico del paciente.</w:t>
      </w:r>
      <w:r>
        <w:rPr>
          <w:i/>
        </w:rPr>
        <w:t xml:space="preserve">”</w:t>
      </w:r>
    </w:p>
    <w:p>
      <w:r>
        <w:pict>
          <v:rect style="width:0;height:1.5pt" o:hralign="center" o:hrstd="t" o:hr="t"/>
        </w:pict>
      </w:r>
    </w:p>
    <w:p>
      <w:pPr>
        <w:pStyle w:val="Heading2"/>
      </w:pPr>
      <w:bookmarkStart w:id="145" w:name="tarvvih-jshiv-art.js-caso-54"/>
      <w:r>
        <w:t xml:space="preserve">7. TARV/VIH —</w:t>
      </w:r>
      <w:r>
        <w:t xml:space="preserve"> </w:t>
      </w:r>
      <w:r>
        <w:rPr>
          <w:rStyle w:val="VerbatimChar"/>
        </w:rPr>
        <w:t xml:space="preserve">js/hiv-art.js</w:t>
      </w:r>
      <w:r>
        <w:t xml:space="preserve"> </w:t>
      </w:r>
      <w:r>
        <w:t xml:space="preserve">(Caso 54)</w:t>
      </w:r>
      <w:bookmarkEnd w:id="145"/>
    </w:p>
    <w:p>
      <w:pPr>
        <w:pStyle w:val="Heading3"/>
      </w:pPr>
      <w:bookmarkStart w:id="146" w:name="X8972f64bfeabce348bab7377bac84e9d2f16393"/>
      <w:r>
        <w:t xml:space="preserve">7.1 Bloqueo absoluto de Simvastatina con inhibidor de proteasa/cobicistat potenciado</w:t>
      </w:r>
      <w:bookmarkEnd w:id="146"/>
    </w:p>
    <w:p>
      <w:pPr>
        <w:numPr>
          <w:ilvl w:val="0"/>
          <w:numId w:val="1111"/>
        </w:numPr>
        <w:pStyle w:val="Compact"/>
      </w:pPr>
      <w:r>
        <w:rPr>
          <w:b/>
        </w:rPr>
        <w:t xml:space="preserve">Qué hace</w:t>
      </w:r>
      <w:r>
        <w:t xml:space="preserve">: Si</w:t>
      </w:r>
      <w:r>
        <w:t xml:space="preserve"> </w:t>
      </w:r>
      <w:r>
        <w:rPr>
          <w:rStyle w:val="VerbatimChar"/>
        </w:rPr>
        <w:t xml:space="preserve">flags.tarvInhibidorProteasa</w:t>
      </w:r>
      <w:r>
        <w:t xml:space="preserve"> </w:t>
      </w:r>
      <w:r>
        <w:t xml:space="preserve">es verdadero y el fármaco evaluado es Simvastatina (id</w:t>
      </w:r>
      <w:r>
        <w:t xml:space="preserve"> </w:t>
      </w:r>
      <w:r>
        <w:rPr>
          <w:rStyle w:val="VerbatimChar"/>
        </w:rPr>
        <w:t xml:space="preserve">SIMVA</w:t>
      </w:r>
      <w:r>
        <w:t xml:space="preserve">), bloquea la selección (mismo mecanismo</w:t>
      </w:r>
      <w:r>
        <w:t xml:space="preserve"> </w:t>
      </w:r>
      <w:r>
        <w:rPr>
          <w:rStyle w:val="VerbatimChar"/>
        </w:rPr>
        <w:t xml:space="preserve">currentDrugIssue</w:t>
      </w:r>
      <w:r>
        <w:t xml:space="preserve">/</w:t>
      </w:r>
      <w:r>
        <w:rPr>
          <w:rStyle w:val="VerbatimChar"/>
        </w:rPr>
        <w:t xml:space="preserve">filterSafe</w:t>
      </w:r>
      <w:r>
        <w:t xml:space="preserve"> </w:t>
      </w:r>
      <w:r>
        <w:t xml:space="preserve">que otros bloqueos absolutos del motor); si Simvastatina ya estaba prescrita, la marca</w:t>
      </w:r>
      <w:r>
        <w:t xml:space="preserve"> </w:t>
      </w:r>
      <w:r>
        <w:t xml:space="preserve">“</w:t>
      </w:r>
      <w:r>
        <w:t xml:space="preserve">REVALORAR / SUSPENDER</w:t>
      </w:r>
      <w:r>
        <w:t xml:space="preserve">”</w:t>
      </w:r>
      <w:r>
        <w:t xml:space="preserve">.</w:t>
      </w:r>
    </w:p>
    <w:p>
      <w:pPr>
        <w:numPr>
          <w:ilvl w:val="0"/>
          <w:numId w:val="1111"/>
        </w:numPr>
        <w:pStyle w:val="Compact"/>
      </w:pPr>
      <w:r>
        <w:rPr>
          <w:b/>
        </w:rPr>
        <w:t xml:space="preserve">Por qué</w:t>
      </w:r>
      <w:r>
        <w:t xml:space="preserve">: Ritonavir/cobicistat son inhibidores potentes de CYP3A4, vía casi exclusiva de metabolismo de Simvastatina — la interacción puede multiplicar la exposición varias veces, con riesgo de miopatía/rabdomiólisis.</w:t>
      </w:r>
    </w:p>
    <w:p>
      <w:pPr>
        <w:numPr>
          <w:ilvl w:val="0"/>
          <w:numId w:val="1111"/>
        </w:numPr>
        <w:pStyle w:val="Compact"/>
      </w:pPr>
      <w:r>
        <w:rPr>
          <w:b/>
        </w:rPr>
        <w:t xml:space="preserve">Fuente</w:t>
      </w:r>
      <w:r>
        <w:t xml:space="preserve">: Consenso DHHS (Guidelines for the Use of Antiretroviral Agents) / Liverpool HIV Drug Interactions.</w:t>
      </w:r>
    </w:p>
    <w:p>
      <w:pPr>
        <w:numPr>
          <w:ilvl w:val="0"/>
          <w:numId w:val="1111"/>
        </w:numPr>
        <w:pStyle w:val="Compact"/>
      </w:pPr>
      <w:r>
        <w:rPr>
          <w:b/>
        </w:rPr>
        <w:t xml:space="preserve">Versión de la fuente</w:t>
      </w:r>
      <w:r>
        <w:t xml:space="preserve">: No se especifica año/edición de la guía DHHS ni fecha de consulta de Liverpool HIV Drug Interactions — pendiente de documentar.</w:t>
      </w:r>
    </w:p>
    <w:p>
      <w:pPr>
        <w:numPr>
          <w:ilvl w:val="0"/>
          <w:numId w:val="1111"/>
        </w:numPr>
        <w:pStyle w:val="Compact"/>
      </w:pPr>
      <w:r>
        <w:rPr>
          <w:b/>
        </w:rPr>
        <w:t xml:space="preserve">Fecha de revisión</w:t>
      </w:r>
      <w:r>
        <w:t xml:space="preserve">: 10-ago-2026.</w:t>
      </w:r>
    </w:p>
    <w:p>
      <w:pPr>
        <w:numPr>
          <w:ilvl w:val="0"/>
          <w:numId w:val="1111"/>
        </w:numPr>
        <w:pStyle w:val="Compact"/>
      </w:pPr>
      <w:r>
        <w:rPr>
          <w:b/>
        </w:rPr>
        <w:t xml:space="preserve">Quién revisó</w:t>
      </w:r>
      <w:r>
        <w:t xml:space="preserve">: Dr. Ortega.</w:t>
      </w:r>
    </w:p>
    <w:p>
      <w:pPr>
        <w:numPr>
          <w:ilvl w:val="0"/>
          <w:numId w:val="1111"/>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54, línea 168 (</w:t>
      </w:r>
      <w:r>
        <w:t xml:space="preserve">“</w:t>
      </w:r>
      <w:r>
        <w:t xml:space="preserve">Simvastatina ya prescrita + TARV IP -&gt; REVALORAR/SUSPENDER, bloqueo absoluto</w:t>
      </w:r>
      <w:r>
        <w:t xml:space="preserve">”</w:t>
      </w:r>
      <w:r>
        <w:t xml:space="preserve">).</w:t>
      </w:r>
    </w:p>
    <w:p>
      <w:pPr>
        <w:numPr>
          <w:ilvl w:val="0"/>
          <w:numId w:val="1111"/>
        </w:numPr>
        <w:pStyle w:val="Compact"/>
      </w:pPr>
      <w:r>
        <w:rPr>
          <w:b/>
        </w:rPr>
        <w:t xml:space="preserve">Qué excepciones tiene</w:t>
      </w:r>
      <w:r>
        <w:t xml:space="preserve">: El bloqueo es por</w:t>
      </w:r>
      <w:r>
        <w:t xml:space="preserve"> </w:t>
      </w:r>
      <w:r>
        <w:rPr>
          <w:rStyle w:val="VerbatimChar"/>
        </w:rPr>
        <w:t xml:space="preserve">drug.id</w:t>
      </w:r>
      <w:r>
        <w:t xml:space="preserve"> </w:t>
      </w:r>
      <w:r>
        <w:t xml:space="preserve">específico (SIMVA), no por grupo/clase completa — deliberado, porque el grupo</w:t>
      </w:r>
      <w:r>
        <w:t xml:space="preserve"> </w:t>
      </w:r>
      <w:r>
        <w:t xml:space="preserve">“</w:t>
      </w:r>
      <w:r>
        <w:t xml:space="preserve">Estatina Baja/Moderada Intensidad</w:t>
      </w:r>
      <w:r>
        <w:t xml:space="preserve">”</w:t>
      </w:r>
      <w:r>
        <w:t xml:space="preserve"> </w:t>
      </w:r>
      <w:r>
        <w:t xml:space="preserve">también incluye Pravastatina y Pitavastatina, que son precisamente las alternativas preferidas; bloquear por grupo las habría excluido también a ellas.</w:t>
      </w:r>
    </w:p>
    <w:p>
      <w:pPr>
        <w:numPr>
          <w:ilvl w:val="0"/>
          <w:numId w:val="1111"/>
        </w:numPr>
        <w:pStyle w:val="Compact"/>
      </w:pPr>
      <w:r>
        <w:rPr>
          <w:b/>
        </w:rPr>
        <w:t xml:space="preserve">Qué ocurre si faltan datos</w:t>
      </w:r>
      <w:r>
        <w:t xml:space="preserve">: Depende de</w:t>
      </w:r>
      <w:r>
        <w:t xml:space="preserve"> </w:t>
      </w:r>
      <w:r>
        <w:rPr>
          <w:rStyle w:val="VerbatimChar"/>
        </w:rPr>
        <w:t xml:space="preserve">flags.tarvInhibidorProteasa</w:t>
      </w:r>
      <w:r>
        <w:t xml:space="preserve">, derivada de</w:t>
      </w:r>
      <w:r>
        <w:t xml:space="preserve"> </w:t>
      </w:r>
      <w:r>
        <w:t xml:space="preserve">“</w:t>
      </w:r>
      <w:r>
        <w:t xml:space="preserve">Medicación Actual/otros</w:t>
      </w:r>
      <w:r>
        <w:t xml:space="preserve">”</w:t>
      </w:r>
      <w:r>
        <w:t xml:space="preserve"> </w:t>
      </w:r>
      <w:r>
        <w:t xml:space="preserve">desde el 10-ago-2026 — si el uso de TARV con IP/cobicistat no se capturó ahí, la interacción no se detecta, silenciosamente.</w:t>
      </w:r>
    </w:p>
    <w:p>
      <w:pPr>
        <w:numPr>
          <w:ilvl w:val="0"/>
          <w:numId w:val="1111"/>
        </w:numPr>
        <w:pStyle w:val="Compact"/>
      </w:pPr>
      <w:r>
        <w:rPr>
          <w:b/>
        </w:rPr>
        <w:t xml:space="preserve">Qué ocurre si dos guías discrepan</w:t>
      </w:r>
      <w:r>
        <w:t xml:space="preserve">: No aplica / sin discrepancia documentada para esta regla.</w:t>
      </w:r>
    </w:p>
    <w:p>
      <w:pPr>
        <w:pStyle w:val="Heading3"/>
      </w:pPr>
      <w:bookmarkStart w:id="147" w:name="X161aa2965dbc77201b244dca9c0135f891c71ac"/>
      <w:r>
        <w:t xml:space="preserve">7.2 Deprioritización (no bloqueo) de Atorvastatina con TARV IP/cobicistat</w:t>
      </w:r>
      <w:bookmarkEnd w:id="147"/>
    </w:p>
    <w:p>
      <w:pPr>
        <w:numPr>
          <w:ilvl w:val="0"/>
          <w:numId w:val="1112"/>
        </w:numPr>
        <w:pStyle w:val="Compact"/>
      </w:pPr>
      <w:r>
        <w:rPr>
          <w:b/>
        </w:rPr>
        <w:t xml:space="preserve">Qué hace</w:t>
      </w:r>
      <w:r>
        <w:t xml:space="preserve">: Si</w:t>
      </w:r>
      <w:r>
        <w:t xml:space="preserve"> </w:t>
      </w:r>
      <w:r>
        <w:rPr>
          <w:rStyle w:val="VerbatimChar"/>
        </w:rPr>
        <w:t xml:space="preserve">flags.tarvInhibidorProteasa</w:t>
      </w:r>
      <w:r>
        <w:t xml:space="preserve"> </w:t>
      </w:r>
      <w:r>
        <w:t xml:space="preserve">es verdadero, filtra Atorvastatina del pool de candidatos SI existe alguna alternativa (Rosuvastatina/Pravastatina/Pitavastatina) en el mismo pool de intensidad; si Atorvastatina es la única opción disponible en ese pool, la deja disponible.</w:t>
      </w:r>
    </w:p>
    <w:p>
      <w:pPr>
        <w:numPr>
          <w:ilvl w:val="0"/>
          <w:numId w:val="1112"/>
        </w:numPr>
        <w:pStyle w:val="Compact"/>
      </w:pPr>
      <w:r>
        <w:rPr>
          <w:b/>
        </w:rPr>
        <w:t xml:space="preserve">Por qué</w:t>
      </w:r>
      <w:r>
        <w:t xml:space="preserve">: La interacción con Atorvastatina es</w:t>
      </w:r>
      <w:r>
        <w:t xml:space="preserve"> </w:t>
      </w:r>
      <w:r>
        <w:t xml:space="preserve">“</w:t>
      </w:r>
      <w:r>
        <w:t xml:space="preserve">significativa pero manejable</w:t>
      </w:r>
      <w:r>
        <w:t xml:space="preserve">”</w:t>
      </w:r>
      <w:r>
        <w:t xml:space="preserve"> </w:t>
      </w:r>
      <w:r>
        <w:t xml:space="preserve">(a diferencia de Simvastatina) — se prefiere evitar o usar la dosis más baja posible, pero no amerita bloqueo absoluto.</w:t>
      </w:r>
    </w:p>
    <w:p>
      <w:pPr>
        <w:numPr>
          <w:ilvl w:val="0"/>
          <w:numId w:val="1112"/>
        </w:numPr>
        <w:pStyle w:val="Compact"/>
      </w:pPr>
      <w:r>
        <w:rPr>
          <w:b/>
        </w:rPr>
        <w:t xml:space="preserve">Fuente</w:t>
      </w:r>
      <w:r>
        <w:t xml:space="preserve">: Misma que 7.1 — DHHS / Liverpool HIV Drug Interactions.</w:t>
      </w:r>
    </w:p>
    <w:p>
      <w:pPr>
        <w:numPr>
          <w:ilvl w:val="0"/>
          <w:numId w:val="1112"/>
        </w:numPr>
        <w:pStyle w:val="Compact"/>
      </w:pPr>
      <w:r>
        <w:rPr>
          <w:b/>
        </w:rPr>
        <w:t xml:space="preserve">Versión de la fuente</w:t>
      </w:r>
      <w:r>
        <w:t xml:space="preserve">: No especificada en el código — pendiente de documentar.</w:t>
      </w:r>
    </w:p>
    <w:p>
      <w:pPr>
        <w:numPr>
          <w:ilvl w:val="0"/>
          <w:numId w:val="1112"/>
        </w:numPr>
        <w:pStyle w:val="Compact"/>
      </w:pPr>
      <w:r>
        <w:rPr>
          <w:b/>
        </w:rPr>
        <w:t xml:space="preserve">Fecha de revisión</w:t>
      </w:r>
      <w:r>
        <w:t xml:space="preserve">: 10-ago-2026.</w:t>
      </w:r>
    </w:p>
    <w:p>
      <w:pPr>
        <w:numPr>
          <w:ilvl w:val="0"/>
          <w:numId w:val="1112"/>
        </w:numPr>
        <w:pStyle w:val="Compact"/>
      </w:pPr>
      <w:r>
        <w:rPr>
          <w:b/>
        </w:rPr>
        <w:t xml:space="preserve">Quién revisó</w:t>
      </w:r>
      <w:r>
        <w:t xml:space="preserve">: Dr. Ortega.</w:t>
      </w:r>
    </w:p>
    <w:p>
      <w:pPr>
        <w:numPr>
          <w:ilvl w:val="0"/>
          <w:numId w:val="1112"/>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54, línea 164 (</w:t>
      </w:r>
      <w:r>
        <w:t xml:space="preserve">“</w:t>
      </w:r>
      <w:r>
        <w:t xml:space="preserve">riesgo alto + TARV IP -&gt; evita Atorvastatina, prefiere Rosuvastatina</w:t>
      </w:r>
      <w:r>
        <w:t xml:space="preserve">”</w:t>
      </w:r>
      <w:r>
        <w:t xml:space="preserve">).</w:t>
      </w:r>
    </w:p>
    <w:p>
      <w:pPr>
        <w:numPr>
          <w:ilvl w:val="0"/>
          <w:numId w:val="1112"/>
        </w:numPr>
        <w:pStyle w:val="Compact"/>
      </w:pPr>
      <w:r>
        <w:rPr>
          <w:b/>
        </w:rPr>
        <w:t xml:space="preserve">Qué excepciones tiene</w:t>
      </w:r>
      <w:r>
        <w:t xml:space="preserve">: Explícita —</w:t>
      </w:r>
      <w:r>
        <w:t xml:space="preserve"> </w:t>
      </w:r>
      <w:r>
        <w:t xml:space="preserve">“</w:t>
      </w:r>
      <w:r>
        <w:t xml:space="preserve">si el pool solo tiene Atorvastatina (sin alternativa en esa intensidad), la deja disponible en vez de dejar al paciente sin ninguna opción automatizada</w:t>
      </w:r>
      <w:r>
        <w:t xml:space="preserve">”</w:t>
      </w:r>
      <w:r>
        <w:t xml:space="preserve"> </w:t>
      </w:r>
      <w:r>
        <w:t xml:space="preserve">(salvaguarda contra dejar al médico sin ninguna recomendación).</w:t>
      </w:r>
    </w:p>
    <w:p>
      <w:pPr>
        <w:numPr>
          <w:ilvl w:val="0"/>
          <w:numId w:val="1112"/>
        </w:numPr>
        <w:pStyle w:val="Compact"/>
      </w:pPr>
      <w:r>
        <w:rPr>
          <w:b/>
        </w:rPr>
        <w:t xml:space="preserve">Qué ocurre si faltan datos</w:t>
      </w:r>
      <w:r>
        <w:t xml:space="preserve">: Igual que 7.1, depende de</w:t>
      </w:r>
      <w:r>
        <w:t xml:space="preserve"> </w:t>
      </w:r>
      <w:r>
        <w:rPr>
          <w:rStyle w:val="VerbatimChar"/>
        </w:rPr>
        <w:t xml:space="preserve">flags.tarvInhibidorProteasa</w:t>
      </w:r>
      <w:r>
        <w:t xml:space="preserve"> </w:t>
      </w:r>
      <w:r>
        <w:t xml:space="preserve">capturado en</w:t>
      </w:r>
      <w:r>
        <w:t xml:space="preserve"> </w:t>
      </w:r>
      <w:r>
        <w:t xml:space="preserve">“</w:t>
      </w:r>
      <w:r>
        <w:t xml:space="preserve">Medicación Actual/otros</w:t>
      </w:r>
      <w:r>
        <w:t xml:space="preserve">”</w:t>
      </w:r>
      <w:r>
        <w:t xml:space="preserve">.</w:t>
      </w:r>
    </w:p>
    <w:p>
      <w:pPr>
        <w:numPr>
          <w:ilvl w:val="0"/>
          <w:numId w:val="1112"/>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declarado explícitamente</w:t>
      </w:r>
      <w:r>
        <w:t xml:space="preserve">:</w:t>
      </w:r>
      <w:r>
        <w:t xml:space="preserve"> </w:t>
      </w:r>
      <w:r>
        <w:rPr>
          <w:i/>
        </w:rPr>
        <w:t xml:space="preserve">“</w:t>
      </w:r>
      <w:r>
        <w:rPr>
          <w:i/>
        </w:rPr>
        <w:t xml:space="preserve">no se modela cobicistat como potenciador de INTIs/otros fármacos fuera de estatinas (esta ronda de casos se limita explícitamente a la interacción estatina × TARV, caso 54 tal como lo planteó el Dr. Ortega) ni se calcula una dosis exacta de Atorvastatina</w:t>
      </w:r>
      <w:r>
        <w:rPr>
          <w:i/>
        </w:rPr>
        <w:t xml:space="preserve"> </w:t>
      </w:r>
      <w:r>
        <w:rPr>
          <w:i/>
        </w:rPr>
        <w:t xml:space="preserve">‘</w:t>
      </w:r>
      <w:r>
        <w:rPr>
          <w:i/>
        </w:rPr>
        <w:t xml:space="preserve">segura</w:t>
      </w:r>
      <w:r>
        <w:rPr>
          <w:i/>
        </w:rPr>
        <w:t xml:space="preserve">’</w:t>
      </w:r>
      <w:r>
        <w:rPr>
          <w:i/>
        </w:rPr>
        <w:t xml:space="preserve"> </w:t>
      </w:r>
      <w:r>
        <w:rPr>
          <w:i/>
        </w:rPr>
        <w:t xml:space="preserve">— solo se deprioriza frente a alternativas de menor interacción.</w:t>
      </w:r>
      <w:r>
        <w:rPr>
          <w:i/>
        </w:rPr>
        <w:t xml:space="preserve">”</w:t>
      </w:r>
    </w:p>
    <w:p>
      <w:r>
        <w:pict>
          <v:rect style="width:0;height:1.5pt" o:hralign="center" o:hrstd="t" o:hr="t"/>
        </w:pict>
      </w:r>
    </w:p>
    <w:p>
      <w:pPr>
        <w:pStyle w:val="Heading2"/>
      </w:pPr>
      <w:bookmarkStart w:id="148" w:name="Xfc7b4e9ac83bafef51ec77710ac1c66ab504d60"/>
      <w:r>
        <w:t xml:space="preserve">8. Seguridad perioperatoria —</w:t>
      </w:r>
      <w:r>
        <w:t xml:space="preserve"> </w:t>
      </w:r>
      <w:r>
        <w:rPr>
          <w:rStyle w:val="VerbatimChar"/>
        </w:rPr>
        <w:t xml:space="preserve">js/perioperative.js</w:t>
      </w:r>
      <w:r>
        <w:t xml:space="preserve"> </w:t>
      </w:r>
      <w:r>
        <w:t xml:space="preserve">(Casos 40-41)</w:t>
      </w:r>
      <w:bookmarkEnd w:id="148"/>
    </w:p>
    <w:p>
      <w:pPr>
        <w:pStyle w:val="Heading3"/>
      </w:pPr>
      <w:bookmarkStart w:id="149" w:name="Xec1e8de0969491c0c46b7f72a44aa63e3f124f1"/>
      <w:r>
        <w:t xml:space="preserve">8.1 PERIOP_SGLT2_SUSPEND — Suspensión de iSGLT2 antes de cirugía (Caso 40)</w:t>
      </w:r>
      <w:bookmarkEnd w:id="149"/>
    </w:p>
    <w:p>
      <w:pPr>
        <w:numPr>
          <w:ilvl w:val="0"/>
          <w:numId w:val="1113"/>
        </w:numPr>
        <w:pStyle w:val="Compact"/>
      </w:pPr>
      <w:r>
        <w:rPr>
          <w:b/>
        </w:rPr>
        <w:t xml:space="preserve">Qué hace</w:t>
      </w:r>
      <w:r>
        <w:t xml:space="preserve">: Si hay cirugía programada en ≤4 días y el paciente tiene un iSGLT2 activo, alerta para SUSPENDER (riesgo de CAD euglucémica perioperatoria).</w:t>
      </w:r>
    </w:p>
    <w:p>
      <w:pPr>
        <w:numPr>
          <w:ilvl w:val="0"/>
          <w:numId w:val="1113"/>
        </w:numPr>
        <w:pStyle w:val="Compact"/>
      </w:pPr>
      <w:r>
        <w:rPr>
          <w:b/>
        </w:rPr>
        <w:t xml:space="preserve">Por qué</w:t>
      </w:r>
      <w:r>
        <w:t xml:space="preserve">: El estrés quirúrgico/ayuno puede desencadenar cetosis con glucosa normal o solo levemente elevada, fácil de pasar por alto.</w:t>
      </w:r>
    </w:p>
    <w:p>
      <w:pPr>
        <w:numPr>
          <w:ilvl w:val="0"/>
          <w:numId w:val="1113"/>
        </w:numPr>
        <w:pStyle w:val="Compact"/>
      </w:pPr>
      <w:r>
        <w:rPr>
          <w:b/>
        </w:rPr>
        <w:t xml:space="preserve">Fuente</w:t>
      </w:r>
      <w:r>
        <w:t xml:space="preserve">: FDA (2020, actualización de etiquetado); ADA Standards of Care 2026, sección perioperatoria.</w:t>
      </w:r>
    </w:p>
    <w:p>
      <w:pPr>
        <w:numPr>
          <w:ilvl w:val="0"/>
          <w:numId w:val="1113"/>
        </w:numPr>
        <w:pStyle w:val="Compact"/>
      </w:pPr>
      <w:r>
        <w:rPr>
          <w:b/>
        </w:rPr>
        <w:t xml:space="preserve">Versión de la fuente</w:t>
      </w:r>
      <w:r>
        <w:t xml:space="preserve">: FDA 2020 y ADA Standards of Care 2026 (ambas fechadas explícitamente en el código).</w:t>
      </w:r>
    </w:p>
    <w:p>
      <w:pPr>
        <w:numPr>
          <w:ilvl w:val="0"/>
          <w:numId w:val="1113"/>
        </w:numPr>
        <w:pStyle w:val="Compact"/>
      </w:pPr>
      <w:r>
        <w:rPr>
          <w:b/>
        </w:rPr>
        <w:t xml:space="preserve">Fecha de revisión</w:t>
      </w:r>
      <w:r>
        <w:t xml:space="preserve">: 10-ago-2026.</w:t>
      </w:r>
    </w:p>
    <w:p>
      <w:pPr>
        <w:numPr>
          <w:ilvl w:val="0"/>
          <w:numId w:val="1113"/>
        </w:numPr>
        <w:pStyle w:val="Compact"/>
      </w:pPr>
      <w:r>
        <w:rPr>
          <w:b/>
        </w:rPr>
        <w:t xml:space="preserve">Quién revisó</w:t>
      </w:r>
      <w:r>
        <w:t xml:space="preserve">: Dr. Ortega.</w:t>
      </w:r>
    </w:p>
    <w:p>
      <w:pPr>
        <w:numPr>
          <w:ilvl w:val="0"/>
          <w:numId w:val="1113"/>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40, línea 74 (cirugía en 2 días → suspende) y línea 76, control negativo (cirugía en 10 días → NO se activa,</w:t>
      </w:r>
      <w:r>
        <w:t xml:space="preserve"> </w:t>
      </w:r>
      <w:r>
        <w:t xml:space="preserve">“</w:t>
      </w:r>
      <w:r>
        <w:t xml:space="preserve">fuera de ventana de 4 días</w:t>
      </w:r>
      <w:r>
        <w:t xml:space="preserve">”</w:t>
      </w:r>
      <w:r>
        <w:t xml:space="preserve">).</w:t>
      </w:r>
    </w:p>
    <w:p>
      <w:pPr>
        <w:numPr>
          <w:ilvl w:val="0"/>
          <w:numId w:val="1113"/>
        </w:numPr>
        <w:pStyle w:val="Compact"/>
      </w:pPr>
      <w:r>
        <w:rPr>
          <w:b/>
        </w:rPr>
        <w:t xml:space="preserve">Qué excepciones tiene</w:t>
      </w:r>
      <w:r>
        <w:t xml:space="preserve">: La guía distingue 3 días para la mayoría de moléculas y 4 días para agentes de eliminación más lenta (ej. ertugliflozina); el motor usa el umbral conservador de 4 días de forma UNIFORME para las 4 moléculas del catálogo, sin diferenciar entre ellas —</w:t>
      </w:r>
      <w:r>
        <w:t xml:space="preserve"> </w:t>
      </w:r>
      <w:r>
        <w:t xml:space="preserve">“</w:t>
      </w:r>
      <w:r>
        <w:t xml:space="preserve">simplificación explícita</w:t>
      </w:r>
      <w:r>
        <w:t xml:space="preserve">”</w:t>
      </w:r>
      <w:r>
        <w:t xml:space="preserve">, documentada en el comentario.</w:t>
      </w:r>
    </w:p>
    <w:p>
      <w:pPr>
        <w:numPr>
          <w:ilvl w:val="0"/>
          <w:numId w:val="1113"/>
        </w:numPr>
        <w:pStyle w:val="Compact"/>
      </w:pPr>
      <w:r>
        <w:rPr>
          <w:b/>
        </w:rPr>
        <w:t xml:space="preserve">Qué ocurre si faltan datos</w:t>
      </w:r>
      <w:r>
        <w:t xml:space="preserve">: Dos guardas explícitas: si</w:t>
      </w:r>
      <w:r>
        <w:t xml:space="preserve"> </w:t>
      </w:r>
      <w:r>
        <w:rPr>
          <w:rStyle w:val="VerbatimChar"/>
        </w:rPr>
        <w:t xml:space="preserve">p.cirugiaProgramada</w:t>
      </w:r>
      <w:r>
        <w:t xml:space="preserve"> </w:t>
      </w:r>
      <w:r>
        <w:t xml:space="preserve">es falso, regresa</w:t>
      </w:r>
      <w:r>
        <w:t xml:space="preserve"> </w:t>
      </w:r>
      <w:r>
        <w:rPr>
          <w:rStyle w:val="VerbatimChar"/>
        </w:rPr>
        <w:t xml:space="preserve">[]</w:t>
      </w:r>
      <w:r>
        <w:t xml:space="preserve">; si</w:t>
      </w:r>
      <w:r>
        <w:t xml:space="preserve"> </w:t>
      </w:r>
      <w:r>
        <w:rPr>
          <w:rStyle w:val="VerbatimChar"/>
        </w:rPr>
        <w:t xml:space="preserve">p.diasCirugia</w:t>
      </w:r>
      <w:r>
        <w:t xml:space="preserve"> </w:t>
      </w:r>
      <w:r>
        <w:t xml:space="preserve">no es un número ≥0, regresa</w:t>
      </w:r>
      <w:r>
        <w:t xml:space="preserve"> </w:t>
      </w:r>
      <w:r>
        <w:rPr>
          <w:rStyle w:val="VerbatimChar"/>
        </w:rPr>
        <w:t xml:space="preserve">[]</w:t>
      </w:r>
      <w:r>
        <w:t xml:space="preserve"> </w:t>
      </w:r>
      <w:r>
        <w:t xml:space="preserve">con el comentario en línea explícito:</w:t>
      </w:r>
      <w:r>
        <w:t xml:space="preserve"> </w:t>
      </w:r>
      <w:r>
        <w:rPr>
          <w:i/>
        </w:rPr>
        <w:t xml:space="preserve">“</w:t>
      </w:r>
      <w:r>
        <w:rPr>
          <w:i/>
        </w:rPr>
        <w:t xml:space="preserve">sin fecha capturada -&gt; no se puede evaluar la ventana</w:t>
      </w:r>
      <w:r>
        <w:rPr>
          <w:i/>
        </w:rPr>
        <w:t xml:space="preserve">”</w:t>
      </w:r>
      <w:r>
        <w:t xml:space="preserve">. Es una omisión silenciosa, pero el propio código deja constancia por escrito de por qué ocurre (a diferencia de otras reglas donde el comportamiento se infiere solo leyendo la lógica).</w:t>
      </w:r>
    </w:p>
    <w:p>
      <w:pPr>
        <w:numPr>
          <w:ilvl w:val="0"/>
          <w:numId w:val="1113"/>
        </w:numPr>
        <w:pStyle w:val="Compact"/>
      </w:pPr>
      <w:r>
        <w:rPr>
          <w:b/>
        </w:rPr>
        <w:t xml:space="preserve">Qué ocurre si dos guías discrepan</w:t>
      </w:r>
      <w:r>
        <w:t xml:space="preserve">: No aplica / sin discrepancia documentada para esta regla.</w:t>
      </w:r>
    </w:p>
    <w:p>
      <w:pPr>
        <w:pStyle w:val="Heading3"/>
      </w:pPr>
      <w:bookmarkStart w:id="150" w:name="Xe7f0e985edf7a13f872cae1b11561b2bf2c4960"/>
      <w:r>
        <w:t xml:space="preserve">8.2 PERIOP_INCRETIN_SUSPEND — Suspensión de GLP-1/GIP antes de procedimiento con sedación (Caso 41)</w:t>
      </w:r>
      <w:bookmarkEnd w:id="150"/>
    </w:p>
    <w:p>
      <w:pPr>
        <w:numPr>
          <w:ilvl w:val="0"/>
          <w:numId w:val="1114"/>
        </w:numPr>
        <w:pStyle w:val="Compact"/>
      </w:pPr>
      <w:r>
        <w:rPr>
          <w:b/>
        </w:rPr>
        <w:t xml:space="preserve">Qué hace</w:t>
      </w:r>
      <w:r>
        <w:t xml:space="preserve">: Si hay procedimiento con sedación/anestesia en ≤7 días y el paciente tiene un GLP-1 RA o GIP/GLP-1 RA activo, alerta para SUSPENDER (riesgo de aspiración pulmonar).</w:t>
      </w:r>
    </w:p>
    <w:p>
      <w:pPr>
        <w:numPr>
          <w:ilvl w:val="0"/>
          <w:numId w:val="1114"/>
        </w:numPr>
        <w:pStyle w:val="Compact"/>
      </w:pPr>
      <w:r>
        <w:rPr>
          <w:b/>
        </w:rPr>
        <w:t xml:space="preserve">Por qué</w:t>
      </w:r>
      <w:r>
        <w:t xml:space="preserve">: Vaciamiento gástrico retardado (mecanismo de acción de la clase) aumenta el riesgo de aspiración bajo sedación/anestesia.</w:t>
      </w:r>
    </w:p>
    <w:p>
      <w:pPr>
        <w:numPr>
          <w:ilvl w:val="0"/>
          <w:numId w:val="1114"/>
        </w:numPr>
        <w:pStyle w:val="Compact"/>
      </w:pPr>
      <w:r>
        <w:rPr>
          <w:b/>
        </w:rPr>
        <w:t xml:space="preserve">Fuente</w:t>
      </w:r>
      <w:r>
        <w:t xml:space="preserve">: Consenso ASA 2023 (American Society of Anesthesiologists).</w:t>
      </w:r>
    </w:p>
    <w:p>
      <w:pPr>
        <w:numPr>
          <w:ilvl w:val="0"/>
          <w:numId w:val="1114"/>
        </w:numPr>
        <w:pStyle w:val="Compact"/>
      </w:pPr>
      <w:r>
        <w:rPr>
          <w:b/>
        </w:rPr>
        <w:t xml:space="preserve">Versión de la fuente</w:t>
      </w:r>
      <w:r>
        <w:t xml:space="preserve">: ASA 2023 (año especificado en el código).</w:t>
      </w:r>
    </w:p>
    <w:p>
      <w:pPr>
        <w:numPr>
          <w:ilvl w:val="0"/>
          <w:numId w:val="1114"/>
        </w:numPr>
        <w:pStyle w:val="Compact"/>
      </w:pPr>
      <w:r>
        <w:rPr>
          <w:b/>
        </w:rPr>
        <w:t xml:space="preserve">Fecha de revisión</w:t>
      </w:r>
      <w:r>
        <w:t xml:space="preserve">: 10-ago-2026.</w:t>
      </w:r>
    </w:p>
    <w:p>
      <w:pPr>
        <w:numPr>
          <w:ilvl w:val="0"/>
          <w:numId w:val="1114"/>
        </w:numPr>
        <w:pStyle w:val="Compact"/>
      </w:pPr>
      <w:r>
        <w:rPr>
          <w:b/>
        </w:rPr>
        <w:t xml:space="preserve">Quién revisó</w:t>
      </w:r>
      <w:r>
        <w:t xml:space="preserve">: Dr. Ortega.</w:t>
      </w:r>
    </w:p>
    <w:p>
      <w:pPr>
        <w:numPr>
          <w:ilvl w:val="0"/>
          <w:numId w:val="1114"/>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41, línea 80 (</w:t>
      </w:r>
      <w:r>
        <w:t xml:space="preserve">“</w:t>
      </w:r>
      <w:r>
        <w:t xml:space="preserve">GLP-1 semanal + procedimiento en 3 días -&gt; SUSPENDER</w:t>
      </w:r>
      <w:r>
        <w:t xml:space="preserve">”</w:t>
      </w:r>
      <w:r>
        <w:t xml:space="preserve">).</w:t>
      </w:r>
    </w:p>
    <w:p>
      <w:pPr>
        <w:numPr>
          <w:ilvl w:val="0"/>
          <w:numId w:val="1114"/>
        </w:numPr>
        <w:pStyle w:val="Compact"/>
      </w:pPr>
      <w:r>
        <w:rPr>
          <w:b/>
        </w:rPr>
        <w:t xml:space="preserve">Qué excepciones tiene</w:t>
      </w:r>
      <w:r>
        <w:t xml:space="preserve">: La guía ASA distingue</w:t>
      </w:r>
      <w:r>
        <w:t xml:space="preserve"> </w:t>
      </w:r>
      <w:r>
        <w:t xml:space="preserve">“</w:t>
      </w:r>
      <w:r>
        <w:t xml:space="preserve">el día del procedimiento</w:t>
      </w:r>
      <w:r>
        <w:t xml:space="preserve">”</w:t>
      </w:r>
      <w:r>
        <w:t xml:space="preserve"> </w:t>
      </w:r>
      <w:r>
        <w:t xml:space="preserve">para dosis diaria vs. </w:t>
      </w:r>
      <w:r>
        <w:t xml:space="preserve">“</w:t>
      </w:r>
      <w:r>
        <w:t xml:space="preserve">la semana completa</w:t>
      </w:r>
      <w:r>
        <w:t xml:space="preserve">”</w:t>
      </w:r>
      <w:r>
        <w:t xml:space="preserve"> </w:t>
      </w:r>
      <w:r>
        <w:t xml:space="preserve">(7 días) para dosis semanal; el motor usa 7 días de forma UNIFORME porque</w:t>
      </w:r>
      <w:r>
        <w:t xml:space="preserve"> </w:t>
      </w:r>
      <w:r>
        <w:t xml:space="preserve">“</w:t>
      </w:r>
      <w:r>
        <w:t xml:space="preserve">la enorme mayoría del catálogo […] en esta clase es de dosificación semanal</w:t>
      </w:r>
      <w:r>
        <w:t xml:space="preserve">”</w:t>
      </w:r>
      <w:r>
        <w:t xml:space="preserve"> </w:t>
      </w:r>
      <w:r>
        <w:t xml:space="preserve">— simplificación explícita documentada; no diferencia el caso (minoritario en el catálogo) de un agonista GLP-1 de dosis diaria, que técnicamente solo requeriría suspender el día del procedimiento, no 7 días completos.</w:t>
      </w:r>
    </w:p>
    <w:p>
      <w:pPr>
        <w:numPr>
          <w:ilvl w:val="0"/>
          <w:numId w:val="1114"/>
        </w:numPr>
        <w:pStyle w:val="Compact"/>
      </w:pPr>
      <w:r>
        <w:rPr>
          <w:b/>
        </w:rPr>
        <w:t xml:space="preserve">Qué ocurre si faltan datos</w:t>
      </w:r>
      <w:r>
        <w:t xml:space="preserve">: Igual que 8.1 — sin</w:t>
      </w:r>
      <w:r>
        <w:t xml:space="preserve"> </w:t>
      </w:r>
      <w:r>
        <w:rPr>
          <w:rStyle w:val="VerbatimChar"/>
        </w:rPr>
        <w:t xml:space="preserve">cirugiaProgramada</w:t>
      </w:r>
      <w:r>
        <w:t xml:space="preserve"> </w:t>
      </w:r>
      <w:r>
        <w:t xml:space="preserve">o sin</w:t>
      </w:r>
      <w:r>
        <w:t xml:space="preserve"> </w:t>
      </w:r>
      <w:r>
        <w:rPr>
          <w:rStyle w:val="VerbatimChar"/>
        </w:rPr>
        <w:t xml:space="preserve">diasCirugia</w:t>
      </w:r>
      <w:r>
        <w:t xml:space="preserve"> </w:t>
      </w:r>
      <w:r>
        <w:t xml:space="preserve">numérico válido, regresa</w:t>
      </w:r>
      <w:r>
        <w:t xml:space="preserve"> </w:t>
      </w:r>
      <w:r>
        <w:rPr>
          <w:rStyle w:val="VerbatimChar"/>
        </w:rPr>
        <w:t xml:space="preserve">[]</w:t>
      </w:r>
      <w:r>
        <w:t xml:space="preserve"> </w:t>
      </w:r>
      <w:r>
        <w:t xml:space="preserve">silenciosamente (documentado en el mismo comentario en línea que 8.1, ya que ambas reglas comparten la misma función</w:t>
      </w:r>
      <w:r>
        <w:t xml:space="preserve"> </w:t>
      </w:r>
      <w:r>
        <w:rPr>
          <w:rStyle w:val="VerbatimChar"/>
        </w:rPr>
        <w:t xml:space="preserve">checkPerioperativeSafety</w:t>
      </w:r>
      <w:r>
        <w:t xml:space="preserve">).</w:t>
      </w:r>
    </w:p>
    <w:p>
      <w:pPr>
        <w:numPr>
          <w:ilvl w:val="0"/>
          <w:numId w:val="1114"/>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declarado explícitamente para ambas reglas</w:t>
      </w:r>
      <w:r>
        <w:t xml:space="preserve">:</w:t>
      </w:r>
      <w:r>
        <w:t xml:space="preserve"> </w:t>
      </w:r>
      <w:r>
        <w:rPr>
          <w:i/>
        </w:rPr>
        <w:t xml:space="preserve">“</w:t>
      </w:r>
      <w:r>
        <w:rPr>
          <w:i/>
        </w:rPr>
        <w:t xml:space="preserve">al igual que redflags.js/geriatric.js, esto SOLO alerta y sugiere suspensión temporal — no calcula un protocolo de puente/reinicio perioperatorio (manejo de glucosa intrahospitalario), que es decisión del equipo quirúrgico/anestesiología presencial.</w:t>
      </w:r>
      <w:r>
        <w:rPr>
          <w:i/>
        </w:rPr>
        <w:t xml:space="preserve">”</w:t>
      </w:r>
    </w:p>
    <w:p>
      <w:r>
        <w:pict>
          <v:rect style="width:0;height:1.5pt" o:hralign="center" o:hrstd="t" o:hr="t"/>
        </w:pict>
      </w:r>
    </w:p>
    <w:p>
      <w:pPr>
        <w:pStyle w:val="Heading2"/>
      </w:pPr>
      <w:bookmarkStart w:id="151" w:name="X9fffb0d4b47f32b41ec17c37d5a9c101c9ea24a"/>
      <w:r>
        <w:t xml:space="preserve">9. Polifarmacia y desescalamiento —</w:t>
      </w:r>
      <w:r>
        <w:t xml:space="preserve"> </w:t>
      </w:r>
      <w:r>
        <w:rPr>
          <w:rStyle w:val="VerbatimChar"/>
        </w:rPr>
        <w:t xml:space="preserve">js/polypharmacy.js</w:t>
      </w:r>
      <w:r>
        <w:t xml:space="preserve"> </w:t>
      </w:r>
      <w:r>
        <w:t xml:space="preserve">(Casos 44-45, 57)</w:t>
      </w:r>
      <w:bookmarkEnd w:id="151"/>
    </w:p>
    <w:p>
      <w:pPr>
        <w:pStyle w:val="Heading3"/>
      </w:pPr>
      <w:bookmarkStart w:id="152" w:name="X915e96d6da4d78ddd6a0646c05ae877c3653909"/>
      <w:r>
        <w:t xml:space="preserve">9.1 SEVERE_OVERTREATMENT_DM — Sobretratamiento glucémico severo, cualquier edad (Casos 44 y 57)</w:t>
      </w:r>
      <w:bookmarkEnd w:id="152"/>
    </w:p>
    <w:p>
      <w:pPr>
        <w:numPr>
          <w:ilvl w:val="0"/>
          <w:numId w:val="1115"/>
        </w:numPr>
        <w:pStyle w:val="Compact"/>
      </w:pPr>
      <w:r>
        <w:rPr>
          <w:b/>
        </w:rPr>
        <w:t xml:space="preserve">Qué hace</w:t>
      </w:r>
      <w:r>
        <w:t xml:space="preserve">: Si la A1c está ≥1.5 puntos porcentuales por debajo de la meta individualizada Y hay un agente de alto riesgo de hipoglucemia activo, sugiere desescalar de forma prioritaria (sulfonilurea/meglitinida primero, insulina después) — SIN restricción de edad (a diferencia del Caso 38, sección 6.1).</w:t>
      </w:r>
    </w:p>
    <w:p>
      <w:pPr>
        <w:numPr>
          <w:ilvl w:val="0"/>
          <w:numId w:val="1115"/>
        </w:numPr>
        <w:pStyle w:val="Compact"/>
      </w:pPr>
      <w:r>
        <w:rPr>
          <w:b/>
        </w:rPr>
        <w:t xml:space="preserve">Por qué</w:t>
      </w:r>
      <w:r>
        <w:t xml:space="preserve">: Pérdida de peso masiva por GLP-1/GIP (Caso 44) o remisión de diabetes tras cirugía bariátrica (Caso 57) producen la misma señal medible (A1c muy por debajo de meta + agente de riesgo activo) sin necesitar un campo nuevo dedicado — el mecanismo de origen no importa para la detección.</w:t>
      </w:r>
    </w:p>
    <w:p>
      <w:pPr>
        <w:numPr>
          <w:ilvl w:val="0"/>
          <w:numId w:val="1115"/>
        </w:numPr>
        <w:pStyle w:val="Compact"/>
      </w:pPr>
      <w:r>
        <w:rPr>
          <w:b/>
        </w:rPr>
        <w:t xml:space="preserve">Fuente</w:t>
      </w:r>
      <w:r>
        <w:t xml:space="preserve">: Razonamiento clínico directo (mejoría glucémica sustancial no acompañada de desescalamiento de fármaco de riesgo); no se cita un ensayo o guía externa puntual distinta al razonamiento fisiopatológico.</w:t>
      </w:r>
    </w:p>
    <w:p>
      <w:pPr>
        <w:numPr>
          <w:ilvl w:val="0"/>
          <w:numId w:val="1115"/>
        </w:numPr>
        <w:pStyle w:val="Compact"/>
      </w:pPr>
      <w:r>
        <w:rPr>
          <w:b/>
        </w:rPr>
        <w:t xml:space="preserve">Versión de la fuente</w:t>
      </w:r>
      <w:r>
        <w:t xml:space="preserve">: No especificada en el código — pendiente de documentar.</w:t>
      </w:r>
    </w:p>
    <w:p>
      <w:pPr>
        <w:numPr>
          <w:ilvl w:val="0"/>
          <w:numId w:val="1115"/>
        </w:numPr>
        <w:pStyle w:val="Compact"/>
      </w:pPr>
      <w:r>
        <w:rPr>
          <w:b/>
        </w:rPr>
        <w:t xml:space="preserve">Fecha de revisión</w:t>
      </w:r>
      <w:r>
        <w:t xml:space="preserve">: 10-ago-2026.</w:t>
      </w:r>
    </w:p>
    <w:p>
      <w:pPr>
        <w:numPr>
          <w:ilvl w:val="0"/>
          <w:numId w:val="1115"/>
        </w:numPr>
        <w:pStyle w:val="Compact"/>
      </w:pPr>
      <w:r>
        <w:rPr>
          <w:b/>
        </w:rPr>
        <w:t xml:space="preserve">Quién revisó</w:t>
      </w:r>
      <w:r>
        <w:t xml:space="preserve">: Dr. Ortega.</w:t>
      </w:r>
    </w:p>
    <w:p>
      <w:pPr>
        <w:numPr>
          <w:ilvl w:val="0"/>
          <w:numId w:val="1115"/>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línea 107 (</w:t>
      </w:r>
      <w:r>
        <w:t xml:space="preserve">“</w:t>
      </w:r>
      <w:r>
        <w:t xml:space="preserve">paciente &lt;65a con A1c muy por debajo de meta + SU -&gt; desescalar prioritario</w:t>
      </w:r>
      <w:r>
        <w:t xml:space="preserve">”</w:t>
      </w:r>
      <w:r>
        <w:t xml:space="preserve">) y línea 111 (verifica explícitamente coexistencia correcta con el Caso 38 en paciente ≥65 años: se activa SEVERE_OVERTREATMENT_DM y NO se activa a la vez OVERTREATMENT_DM_GERIATRIC, evitando redundancia).</w:t>
      </w:r>
    </w:p>
    <w:p>
      <w:pPr>
        <w:numPr>
          <w:ilvl w:val="0"/>
          <w:numId w:val="1115"/>
        </w:numPr>
        <w:pStyle w:val="Compact"/>
      </w:pPr>
      <w:r>
        <w:rPr>
          <w:b/>
        </w:rPr>
        <w:t xml:space="preserve">Qué excepciones tiene</w:t>
      </w:r>
      <w:r>
        <w:t xml:space="preserve">: El margen de 1.5 puntos es deliberadamente más amplio que el del Caso 38 (que solo exige estar EN o bajo la meta) para que ambas alertas puedan coexistir sin ser redundantes — documentado explícitamente en el comentario.</w:t>
      </w:r>
    </w:p>
    <w:p>
      <w:pPr>
        <w:numPr>
          <w:ilvl w:val="0"/>
          <w:numId w:val="1115"/>
        </w:numPr>
        <w:pStyle w:val="Compact"/>
      </w:pPr>
      <w:r>
        <w:rPr>
          <w:b/>
        </w:rPr>
        <w:t xml:space="preserve">Qué ocurre si faltan datos</w:t>
      </w:r>
      <w:r>
        <w:t xml:space="preserve">: Dos guardas silenciosas: sin A1c válida (</w:t>
      </w:r>
      <w:r>
        <w:rPr>
          <w:rStyle w:val="VerbatimChar"/>
        </w:rPr>
        <w:t xml:space="preserve">!(a1cValue &gt; 0)</w:t>
      </w:r>
      <w:r>
        <w:t xml:space="preserve">) o sin margen suficiente bajo meta, regresa</w:t>
      </w:r>
      <w:r>
        <w:t xml:space="preserve"> </w:t>
      </w:r>
      <w:r>
        <w:rPr>
          <w:rStyle w:val="VerbatimChar"/>
        </w:rPr>
        <w:t xml:space="preserve">null</w:t>
      </w:r>
      <w:r>
        <w:t xml:space="preserve">.</w:t>
      </w:r>
    </w:p>
    <w:p>
      <w:pPr>
        <w:numPr>
          <w:ilvl w:val="0"/>
          <w:numId w:val="1115"/>
        </w:numPr>
        <w:pStyle w:val="Compact"/>
      </w:pPr>
      <w:r>
        <w:rPr>
          <w:b/>
        </w:rPr>
        <w:t xml:space="preserve">Qué ocurre si dos guías discrepan</w:t>
      </w:r>
      <w:r>
        <w:t xml:space="preserve">: No aplica / sin discrepancia documentada para esta regla.</w:t>
      </w:r>
    </w:p>
    <w:p>
      <w:pPr>
        <w:pStyle w:val="Heading3"/>
      </w:pPr>
      <w:bookmarkStart w:id="153" w:name="X7a5c835a4eeff9f09f4cfe0217811c9a91f3368"/>
      <w:r>
        <w:t xml:space="preserve">9.2 TRIPLE_WHAMMY_AKI / AINE_RAAS_RENAL_RISK —</w:t>
      </w:r>
      <w:r>
        <w:t xml:space="preserve"> </w:t>
      </w:r>
      <w:r>
        <w:t xml:space="preserve">“</w:t>
      </w:r>
      <w:r>
        <w:t xml:space="preserve">Tríada Mortal</w:t>
      </w:r>
      <w:r>
        <w:t xml:space="preserve">”</w:t>
      </w:r>
      <w:r>
        <w:t xml:space="preserve"> </w:t>
      </w:r>
      <w:r>
        <w:t xml:space="preserve">(Caso 45)</w:t>
      </w:r>
      <w:bookmarkEnd w:id="153"/>
    </w:p>
    <w:p>
      <w:pPr>
        <w:numPr>
          <w:ilvl w:val="0"/>
          <w:numId w:val="1116"/>
        </w:numPr>
        <w:pStyle w:val="Compact"/>
      </w:pPr>
      <w:r>
        <w:rPr>
          <w:b/>
        </w:rPr>
        <w:t xml:space="preserve">Qué hace</w:t>
      </w:r>
      <w:r>
        <w:t xml:space="preserve">: Si hay AINE reciente Y RAAS activo (IECA/ARA-II), evalúa severidad: si ADEMÁS hay diurético activo (asa o tiazida), severidad</w:t>
      </w:r>
      <w:r>
        <w:t xml:space="preserve"> </w:t>
      </w:r>
      <w:r>
        <w:t xml:space="preserve">“</w:t>
      </w:r>
      <w:r>
        <w:t xml:space="preserve">alta</w:t>
      </w:r>
      <w:r>
        <w:t xml:space="preserve">”</w:t>
      </w:r>
      <w:r>
        <w:t xml:space="preserve"> </w:t>
      </w:r>
      <w:r>
        <w:t xml:space="preserve">(Tríada Mortal completa,</w:t>
      </w:r>
      <w:r>
        <w:t xml:space="preserve"> </w:t>
      </w:r>
      <w:r>
        <w:rPr>
          <w:rStyle w:val="VerbatimChar"/>
        </w:rPr>
        <w:t xml:space="preserve">TRIPLE_WHAMMY_AKI</w:t>
      </w:r>
      <w:r>
        <w:t xml:space="preserve">); si solo AINE+RAAS sin diurético, severidad</w:t>
      </w:r>
      <w:r>
        <w:t xml:space="preserve"> </w:t>
      </w:r>
      <w:r>
        <w:t xml:space="preserve">“</w:t>
      </w:r>
      <w:r>
        <w:t xml:space="preserve">moderada</w:t>
      </w:r>
      <w:r>
        <w:t xml:space="preserve">”</w:t>
      </w:r>
      <w:r>
        <w:t xml:space="preserve"> </w:t>
      </w:r>
      <w:r>
        <w:t xml:space="preserve">(</w:t>
      </w:r>
      <w:r>
        <w:rPr>
          <w:rStyle w:val="VerbatimChar"/>
        </w:rPr>
        <w:t xml:space="preserve">AINE_RAAS_RENAL_RISK</w:t>
      </w:r>
      <w:r>
        <w:t xml:space="preserve">,</w:t>
      </w:r>
      <w:r>
        <w:t xml:space="preserve"> </w:t>
      </w:r>
      <w:r>
        <w:t xml:space="preserve">“</w:t>
      </w:r>
      <w:r>
        <w:t xml:space="preserve">2 de 3 componentes</w:t>
      </w:r>
      <w:r>
        <w:t xml:space="preserve">”</w:t>
      </w:r>
      <w:r>
        <w:t xml:space="preserve">).</w:t>
      </w:r>
    </w:p>
    <w:p>
      <w:pPr>
        <w:numPr>
          <w:ilvl w:val="0"/>
          <w:numId w:val="1116"/>
        </w:numPr>
        <w:pStyle w:val="Compact"/>
      </w:pPr>
      <w:r>
        <w:rPr>
          <w:b/>
        </w:rPr>
        <w:t xml:space="preserve">Por qué</w:t>
      </w:r>
      <w:r>
        <w:t xml:space="preserve">: Cada fármaco reduce la perfusión renal por un mecanismo distinto (AINE: vasoconstricción arteriola aferente; IECA/ARA-II: vasodilatación arteriola eferente; diurético: depleción de volumen) — la combinación de los tres puede colapsar la presión de filtración glomerular.</w:t>
      </w:r>
    </w:p>
    <w:p>
      <w:pPr>
        <w:numPr>
          <w:ilvl w:val="0"/>
          <w:numId w:val="1116"/>
        </w:numPr>
        <w:pStyle w:val="Compact"/>
      </w:pPr>
      <w:r>
        <w:rPr>
          <w:b/>
        </w:rPr>
        <w:t xml:space="preserve">Fuente</w:t>
      </w:r>
      <w:r>
        <w:t xml:space="preserve">: Loboz &amp; Shenfield 2005; NPS MedicineWise.</w:t>
      </w:r>
    </w:p>
    <w:p>
      <w:pPr>
        <w:numPr>
          <w:ilvl w:val="0"/>
          <w:numId w:val="1116"/>
        </w:numPr>
        <w:pStyle w:val="Compact"/>
      </w:pPr>
      <w:r>
        <w:rPr>
          <w:b/>
        </w:rPr>
        <w:t xml:space="preserve">Versión de la fuente</w:t>
      </w:r>
      <w:r>
        <w:t xml:space="preserve">: Loboz &amp; Shenfield 2005 (año especificado); NPS MedicineWise sin fecha de consulta citada.</w:t>
      </w:r>
    </w:p>
    <w:p>
      <w:pPr>
        <w:numPr>
          <w:ilvl w:val="0"/>
          <w:numId w:val="1116"/>
        </w:numPr>
        <w:pStyle w:val="Compact"/>
      </w:pPr>
      <w:r>
        <w:rPr>
          <w:b/>
        </w:rPr>
        <w:t xml:space="preserve">Fecha de revisión</w:t>
      </w:r>
      <w:r>
        <w:t xml:space="preserve">: 10-ago-2026.</w:t>
      </w:r>
    </w:p>
    <w:p>
      <w:pPr>
        <w:numPr>
          <w:ilvl w:val="0"/>
          <w:numId w:val="1116"/>
        </w:numPr>
        <w:pStyle w:val="Compact"/>
      </w:pPr>
      <w:r>
        <w:rPr>
          <w:b/>
        </w:rPr>
        <w:t xml:space="preserve">Quién revisó</w:t>
      </w:r>
      <w:r>
        <w:t xml:space="preserve">: Dr. Ortega.</w:t>
      </w:r>
    </w:p>
    <w:p>
      <w:pPr>
        <w:numPr>
          <w:ilvl w:val="0"/>
          <w:numId w:val="1116"/>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línea 118 (AINE+IECA+diurético de asa → Tríada Mortal, riesgo alto), línea 120 (AINE+IECA sin diurético → riesgo moderado), línea 122 (sin AINE reciente → no se activa pese a RAAS+diurético, control negativo).</w:t>
      </w:r>
    </w:p>
    <w:p>
      <w:pPr>
        <w:numPr>
          <w:ilvl w:val="0"/>
          <w:numId w:val="1116"/>
        </w:numPr>
        <w:pStyle w:val="Compact"/>
      </w:pPr>
      <w:r>
        <w:rPr>
          <w:b/>
        </w:rPr>
        <w:t xml:space="preserve">Qué excepciones tiene</w:t>
      </w:r>
      <w:r>
        <w:t xml:space="preserve">: Modelada deliberadamente como función independiente de</w:t>
      </w:r>
      <w:r>
        <w:t xml:space="preserve"> </w:t>
      </w:r>
      <w:r>
        <w:rPr>
          <w:rStyle w:val="VerbatimChar"/>
        </w:rPr>
        <w:t xml:space="preserve">checkInteractions</w:t>
      </w:r>
      <w:r>
        <w:t xml:space="preserve"> </w:t>
      </w:r>
      <w:r>
        <w:t xml:space="preserve">(sección 4) porque uno de los tres</w:t>
      </w:r>
      <w:r>
        <w:t xml:space="preserve"> </w:t>
      </w:r>
      <w:r>
        <w:t xml:space="preserve">“</w:t>
      </w:r>
      <w:r>
        <w:t xml:space="preserve">fármacos</w:t>
      </w:r>
      <w:r>
        <w:t xml:space="preserve">”</w:t>
      </w:r>
      <w:r>
        <w:t xml:space="preserve"> </w:t>
      </w:r>
      <w:r>
        <w:t xml:space="preserve">(AINE reciente) no es un medicamento crónico con id en la base de datos, sino un antecedente de uso reciente capturado como bandera — el comentario documenta explícitamente por qué no encaja en el motor de pares idsA×idsB.</w:t>
      </w:r>
    </w:p>
    <w:p>
      <w:pPr>
        <w:numPr>
          <w:ilvl w:val="0"/>
          <w:numId w:val="1116"/>
        </w:numPr>
        <w:pStyle w:val="Compact"/>
      </w:pPr>
      <w:r>
        <w:rPr>
          <w:b/>
        </w:rPr>
        <w:t xml:space="preserve">Qué ocurre si faltan datos</w:t>
      </w:r>
      <w:r>
        <w:t xml:space="preserve">: Si</w:t>
      </w:r>
      <w:r>
        <w:t xml:space="preserve"> </w:t>
      </w:r>
      <w:r>
        <w:rPr>
          <w:rStyle w:val="VerbatimChar"/>
        </w:rPr>
        <w:t xml:space="preserve">flags.aineReciente</w:t>
      </w:r>
      <w:r>
        <w:t xml:space="preserve"> </w:t>
      </w:r>
      <w:r>
        <w:t xml:space="preserve">es falso, regresa</w:t>
      </w:r>
      <w:r>
        <w:t xml:space="preserve"> </w:t>
      </w:r>
      <w:r>
        <w:rPr>
          <w:rStyle w:val="VerbatimChar"/>
        </w:rPr>
        <w:t xml:space="preserve">null</w:t>
      </w:r>
      <w:r>
        <w:t xml:space="preserve"> </w:t>
      </w:r>
      <w:r>
        <w:t xml:space="preserve">de inmediato — omisión silenciosa dependiente de que el AINE reciente se haya capturado en</w:t>
      </w:r>
      <w:r>
        <w:t xml:space="preserve"> </w:t>
      </w:r>
      <w:r>
        <w:t xml:space="preserve">“</w:t>
      </w:r>
      <w:r>
        <w:t xml:space="preserve">Medicación Actual/otros</w:t>
      </w:r>
      <w:r>
        <w:t xml:space="preserve">”</w:t>
      </w:r>
      <w:r>
        <w:t xml:space="preserve">.</w:t>
      </w:r>
    </w:p>
    <w:p>
      <w:pPr>
        <w:numPr>
          <w:ilvl w:val="0"/>
          <w:numId w:val="1116"/>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declarado explícitamente para todo el módulo</w:t>
      </w:r>
      <w:r>
        <w:rPr>
          <w:b/>
        </w:rPr>
        <w:t xml:space="preserve"> </w:t>
      </w:r>
      <w:r>
        <w:rPr>
          <w:rStyle w:val="VerbatimChar"/>
          <w:b/>
        </w:rPr>
        <w:t xml:space="preserve">polypharmacy.js</w:t>
      </w:r>
      <w:r>
        <w:t xml:space="preserve">:</w:t>
      </w:r>
      <w:r>
        <w:t xml:space="preserve"> </w:t>
      </w:r>
      <w:r>
        <w:rPr>
          <w:i/>
        </w:rPr>
        <w:t xml:space="preserve">“</w:t>
      </w:r>
      <w:r>
        <w:rPr>
          <w:i/>
        </w:rPr>
        <w:t xml:space="preserve">igual que el resto de los módulos de esta ronda, solo se advierte — no se calcula una dosis de reducción de insulina/SU ni se sugiere un AINE</w:t>
      </w:r>
      <w:r>
        <w:rPr>
          <w:i/>
        </w:rPr>
        <w:t xml:space="preserve"> </w:t>
      </w:r>
      <w:r>
        <w:rPr>
          <w:i/>
        </w:rPr>
        <w:t xml:space="preserve">‘</w:t>
      </w:r>
      <w:r>
        <w:rPr>
          <w:i/>
        </w:rPr>
        <w:t xml:space="preserve">seguro</w:t>
      </w:r>
      <w:r>
        <w:rPr>
          <w:i/>
        </w:rPr>
        <w:t xml:space="preserve">’</w:t>
      </w:r>
      <w:r>
        <w:rPr>
          <w:i/>
        </w:rPr>
        <w:t xml:space="preserve"> </w:t>
      </w:r>
      <w:r>
        <w:rPr>
          <w:i/>
        </w:rPr>
        <w:t xml:space="preserve">alternativo (el mensaje es evitar AINE en este contexto, punto).</w:t>
      </w:r>
      <w:r>
        <w:rPr>
          <w:i/>
        </w:rPr>
        <w:t xml:space="preserve">”</w:t>
      </w:r>
    </w:p>
    <w:p>
      <w:r>
        <w:pict>
          <v:rect style="width:0;height:1.5pt" o:hralign="center" o:hrstd="t" o:hr="t"/>
        </w:pict>
      </w:r>
    </w:p>
    <w:p>
      <w:pPr>
        <w:pStyle w:val="Heading2"/>
      </w:pPr>
      <w:bookmarkStart w:id="154" w:name="psiquiatría-jspsychiatry.js-casos-50-51"/>
      <w:r>
        <w:t xml:space="preserve">10. Psiquiatría —</w:t>
      </w:r>
      <w:r>
        <w:t xml:space="preserve"> </w:t>
      </w:r>
      <w:r>
        <w:rPr>
          <w:rStyle w:val="VerbatimChar"/>
        </w:rPr>
        <w:t xml:space="preserve">js/psychiatry.js</w:t>
      </w:r>
      <w:r>
        <w:t xml:space="preserve"> </w:t>
      </w:r>
      <w:r>
        <w:t xml:space="preserve">(Casos 50-51)</w:t>
      </w:r>
      <w:bookmarkEnd w:id="154"/>
    </w:p>
    <w:p>
      <w:pPr>
        <w:pStyle w:val="Heading3"/>
      </w:pPr>
      <w:bookmarkStart w:id="155" w:name="X97f80e581525026c2e36a09cbce1b44352ac955"/>
      <w:r>
        <w:t xml:space="preserve">10.1 Priorización de Tirzepatida/Semaglutida en obesidad inducida por antipsicótico (Caso 50)</w:t>
      </w:r>
      <w:bookmarkEnd w:id="155"/>
    </w:p>
    <w:p>
      <w:pPr>
        <w:numPr>
          <w:ilvl w:val="0"/>
          <w:numId w:val="1117"/>
        </w:numPr>
        <w:pStyle w:val="Compact"/>
      </w:pPr>
      <w:r>
        <w:rPr>
          <w:b/>
        </w:rPr>
        <w:t xml:space="preserve">Qué hace</w:t>
      </w:r>
      <w:r>
        <w:t xml:space="preserve">: Si</w:t>
      </w:r>
      <w:r>
        <w:t xml:space="preserve"> </w:t>
      </w:r>
      <w:r>
        <w:rPr>
          <w:rStyle w:val="VerbatimChar"/>
        </w:rPr>
        <w:t xml:space="preserve">flags.antipsicoticoAltoRiesgo</w:t>
      </w:r>
      <w:r>
        <w:t xml:space="preserve"> </w:t>
      </w:r>
      <w:r>
        <w:t xml:space="preserve">es verdadero, prioriza Tirzepatida (dosis obesidad) o Semaglutida (dosis obesidad) sobre el desempate habitual por costo/acceso (</w:t>
      </w:r>
      <w:r>
        <w:rPr>
          <w:rStyle w:val="VerbatimChar"/>
        </w:rPr>
        <w:t xml:space="preserve">rankByAccess</w:t>
      </w:r>
      <w:r>
        <w:t xml:space="preserve">); si ninguna está disponible de forma segura, cae de vuelta al criterio genérico.</w:t>
      </w:r>
    </w:p>
    <w:p>
      <w:pPr>
        <w:numPr>
          <w:ilvl w:val="0"/>
          <w:numId w:val="1117"/>
        </w:numPr>
        <w:pStyle w:val="Compact"/>
      </w:pPr>
      <w:r>
        <w:rPr>
          <w:b/>
        </w:rPr>
        <w:t xml:space="preserve">Por qué</w:t>
      </w:r>
      <w:r>
        <w:t xml:space="preserve">: La evidencia más sólida en población con obesidad inducida por antipsicótico (más allá del beneficio general de la clase) es para agonistas/coagonistas de incretina — aquí el criterio clínico (evidencia específica en esta población) pesa más que el acceso económico.</w:t>
      </w:r>
    </w:p>
    <w:p>
      <w:pPr>
        <w:numPr>
          <w:ilvl w:val="0"/>
          <w:numId w:val="1117"/>
        </w:numPr>
        <w:pStyle w:val="Compact"/>
      </w:pPr>
      <w:r>
        <w:rPr>
          <w:b/>
        </w:rPr>
        <w:t xml:space="preserve">Fuente</w:t>
      </w:r>
      <w:r>
        <w:t xml:space="preserve">: Consenso ADA/APA/AACE/NAASO 2004 (para identificar Olanzapina/Clozapina como las dos moléculas de mayor riesgo metabólico,</w:t>
      </w:r>
      <w:r>
        <w:t xml:space="preserve"> </w:t>
      </w:r>
      <w:r>
        <w:t xml:space="preserve">“</w:t>
      </w:r>
      <w:r>
        <w:t xml:space="preserve">vigente como marco de referencia</w:t>
      </w:r>
      <w:r>
        <w:t xml:space="preserve">”</w:t>
      </w:r>
      <w:r>
        <w:t xml:space="preserve">).</w:t>
      </w:r>
    </w:p>
    <w:p>
      <w:pPr>
        <w:numPr>
          <w:ilvl w:val="0"/>
          <w:numId w:val="1117"/>
        </w:numPr>
        <w:pStyle w:val="Compact"/>
      </w:pPr>
      <w:r>
        <w:rPr>
          <w:b/>
        </w:rPr>
        <w:t xml:space="preserve">Versión de la fuente</w:t>
      </w:r>
      <w:r>
        <w:t xml:space="preserve">: ADA/APA/AACE/NAASO 2004 (año especificado, con la aclaración explícita de que sigue vigente como marco de referencia pese a la antigüedad).</w:t>
      </w:r>
    </w:p>
    <w:p>
      <w:pPr>
        <w:numPr>
          <w:ilvl w:val="0"/>
          <w:numId w:val="1117"/>
        </w:numPr>
        <w:pStyle w:val="Compact"/>
      </w:pPr>
      <w:r>
        <w:rPr>
          <w:b/>
        </w:rPr>
        <w:t xml:space="preserve">Fecha de revisión</w:t>
      </w:r>
      <w:r>
        <w:t xml:space="preserve">: 10-ago-2026.</w:t>
      </w:r>
    </w:p>
    <w:p>
      <w:pPr>
        <w:numPr>
          <w:ilvl w:val="0"/>
          <w:numId w:val="1117"/>
        </w:numPr>
        <w:pStyle w:val="Compact"/>
      </w:pPr>
      <w:r>
        <w:rPr>
          <w:b/>
        </w:rPr>
        <w:t xml:space="preserve">Quién revisó</w:t>
      </w:r>
      <w:r>
        <w:t xml:space="preserve">: Dr. Ortega.</w:t>
      </w:r>
    </w:p>
    <w:p>
      <w:pPr>
        <w:numPr>
          <w:ilvl w:val="0"/>
          <w:numId w:val="1117"/>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50, línea 148 (</w:t>
      </w:r>
      <w:r>
        <w:t xml:space="preserve">“</w:t>
      </w:r>
      <w:r>
        <w:t xml:space="preserve">obesidad + antipsicótico alto riesgo -&gt; prioriza Tirzepatida dosis-obesidad</w:t>
      </w:r>
      <w:r>
        <w:t xml:space="preserve">”</w:t>
      </w:r>
      <w:r>
        <w:t xml:space="preserve">).</w:t>
      </w:r>
    </w:p>
    <w:p>
      <w:pPr>
        <w:numPr>
          <w:ilvl w:val="0"/>
          <w:numId w:val="1117"/>
        </w:numPr>
        <w:pStyle w:val="Compact"/>
      </w:pPr>
      <w:r>
        <w:rPr>
          <w:b/>
        </w:rPr>
        <w:t xml:space="preserve">Qué excepciones tiene</w:t>
      </w:r>
      <w:r>
        <w:t xml:space="preserve">: Si ninguno de los dos priorizados (Tirzepatida/Semaglutida) está disponible seguro (contraindicación, ya en uso), cae de vuelta al criterio genérico</w:t>
      </w:r>
      <w:r>
        <w:t xml:space="preserve"> </w:t>
      </w:r>
      <w:r>
        <w:rPr>
          <w:rStyle w:val="VerbatimChar"/>
        </w:rPr>
        <w:t xml:space="preserve">rankByAccess</w:t>
      </w:r>
      <w:r>
        <w:t xml:space="preserve"> </w:t>
      </w:r>
      <w:r>
        <w:t xml:space="preserve">— excepción explícita para no dejar al paciente sin recomendación.</w:t>
      </w:r>
    </w:p>
    <w:p>
      <w:pPr>
        <w:numPr>
          <w:ilvl w:val="0"/>
          <w:numId w:val="1117"/>
        </w:numPr>
        <w:pStyle w:val="Compact"/>
      </w:pPr>
      <w:r>
        <w:rPr>
          <w:b/>
        </w:rPr>
        <w:t xml:space="preserve">Qué ocurre si faltan datos</w:t>
      </w:r>
      <w:r>
        <w:t xml:space="preserve">: Depende de</w:t>
      </w:r>
      <w:r>
        <w:t xml:space="preserve"> </w:t>
      </w:r>
      <w:r>
        <w:rPr>
          <w:rStyle w:val="VerbatimChar"/>
        </w:rPr>
        <w:t xml:space="preserve">flags.antipsicoticoAltoRiesgo</w:t>
      </w:r>
      <w:r>
        <w:t xml:space="preserve">, derivada de</w:t>
      </w:r>
      <w:r>
        <w:t xml:space="preserve"> </w:t>
      </w:r>
      <w:r>
        <w:t xml:space="preserve">“</w:t>
      </w:r>
      <w:r>
        <w:t xml:space="preserve">Medicación Actual/otros</w:t>
      </w:r>
      <w:r>
        <w:t xml:space="preserve">”</w:t>
      </w:r>
      <w:r>
        <w:t xml:space="preserve"> </w:t>
      </w:r>
      <w:r>
        <w:t xml:space="preserve">— si el uso de Olanzapina/Clozapina no se capturó ahí, la priorización no se activa, silenciosamente, y el motor usa el criterio genérico de acceso sin que el médico vea aviso de que se perdió este matiz clínico.</w:t>
      </w:r>
    </w:p>
    <w:p>
      <w:pPr>
        <w:numPr>
          <w:ilvl w:val="0"/>
          <w:numId w:val="1117"/>
        </w:numPr>
        <w:pStyle w:val="Compact"/>
      </w:pPr>
      <w:r>
        <w:rPr>
          <w:b/>
        </w:rPr>
        <w:t xml:space="preserve">Qué ocurre si dos guías discrepan</w:t>
      </w:r>
      <w:r>
        <w:t xml:space="preserve">: No aplica / sin discrepancia documentada para esta regla.</w:t>
      </w:r>
    </w:p>
    <w:p>
      <w:pPr>
        <w:pStyle w:val="Heading3"/>
      </w:pPr>
      <w:bookmarkStart w:id="156" w:name="X825d36dcbc1280ef753fc14b972df0671a2235a"/>
      <w:r>
        <w:t xml:space="preserve">10.2 Bloqueo de IECA/ARA-II/Tiazida con litio concurrente (Caso 51)</w:t>
      </w:r>
      <w:bookmarkEnd w:id="156"/>
    </w:p>
    <w:p>
      <w:pPr>
        <w:numPr>
          <w:ilvl w:val="0"/>
          <w:numId w:val="1118"/>
        </w:numPr>
        <w:pStyle w:val="Compact"/>
      </w:pPr>
      <w:r>
        <w:rPr>
          <w:b/>
        </w:rPr>
        <w:t xml:space="preserve">Qué hace</w:t>
      </w:r>
      <w:r>
        <w:t xml:space="preserve">: Si</w:t>
      </w:r>
      <w:r>
        <w:t xml:space="preserve"> </w:t>
      </w:r>
      <w:r>
        <w:rPr>
          <w:rStyle w:val="VerbatimChar"/>
        </w:rPr>
        <w:t xml:space="preserve">flags.litio</w:t>
      </w:r>
      <w:r>
        <w:t xml:space="preserve"> </w:t>
      </w:r>
      <w:r>
        <w:t xml:space="preserve">es verdadero, bloquea (no solo advierte) IECA, ARA-II y diuréticos tipo tiazida como candidatos nuevos, y marca los ya prescritos de esas clases como</w:t>
      </w:r>
      <w:r>
        <w:t xml:space="preserve"> </w:t>
      </w:r>
      <w:r>
        <w:t xml:space="preserve">“</w:t>
      </w:r>
      <w:r>
        <w:t xml:space="preserve">REVALORAR / SUSPENDER</w:t>
      </w:r>
      <w:r>
        <w:t xml:space="preserve">”</w:t>
      </w:r>
      <w:r>
        <w:t xml:space="preserve">.</w:t>
      </w:r>
    </w:p>
    <w:p>
      <w:pPr>
        <w:numPr>
          <w:ilvl w:val="0"/>
          <w:numId w:val="1118"/>
        </w:numPr>
        <w:pStyle w:val="Compact"/>
      </w:pPr>
      <w:r>
        <w:rPr>
          <w:b/>
        </w:rPr>
        <w:t xml:space="preserve">Por qué</w:t>
      </w:r>
      <w:r>
        <w:t xml:space="preserve">: Estas 3 clases reducen la depuración renal de litio por mecanismos distintos (IECA/ARA-II: reducción de filtración glomerular mediada por angiotensina-II; tiazidas: aumento de reabsorción proximal de sodio, arrastrando litio) y pueden elevar la litemia a rango tóxico incluso sin cambiar la dosis de litio.</w:t>
      </w:r>
    </w:p>
    <w:p>
      <w:pPr>
        <w:numPr>
          <w:ilvl w:val="0"/>
          <w:numId w:val="1118"/>
        </w:numPr>
        <w:pStyle w:val="Compact"/>
      </w:pPr>
      <w:r>
        <w:rPr>
          <w:b/>
        </w:rPr>
        <w:t xml:space="preserve">Fuente</w:t>
      </w:r>
      <w:r>
        <w:t xml:space="preserve">:</w:t>
      </w:r>
      <w:r>
        <w:t xml:space="preserve"> </w:t>
      </w:r>
      <w:r>
        <w:t xml:space="preserve">“</w:t>
      </w:r>
      <w:r>
        <w:t xml:space="preserve">Interacción farmacocinética bien establecida</w:t>
      </w:r>
      <w:r>
        <w:t xml:space="preserve">”</w:t>
      </w:r>
      <w:r>
        <w:t xml:space="preserve"> </w:t>
      </w:r>
      <w:r>
        <w:t xml:space="preserve">— sin cita de guía o estudio puntual en el comentario (afirmación de consenso farmacológico general).</w:t>
      </w:r>
    </w:p>
    <w:p>
      <w:pPr>
        <w:numPr>
          <w:ilvl w:val="0"/>
          <w:numId w:val="1118"/>
        </w:numPr>
        <w:pStyle w:val="Compact"/>
      </w:pPr>
      <w:r>
        <w:rPr>
          <w:b/>
        </w:rPr>
        <w:t xml:space="preserve">Versión de la fuente</w:t>
      </w:r>
      <w:r>
        <w:t xml:space="preserve">: No especificada en el código — pendiente de documentar.</w:t>
      </w:r>
    </w:p>
    <w:p>
      <w:pPr>
        <w:numPr>
          <w:ilvl w:val="0"/>
          <w:numId w:val="1118"/>
        </w:numPr>
        <w:pStyle w:val="Compact"/>
      </w:pPr>
      <w:r>
        <w:rPr>
          <w:b/>
        </w:rPr>
        <w:t xml:space="preserve">Fecha de revisión</w:t>
      </w:r>
      <w:r>
        <w:t xml:space="preserve">: 10-ago-2026.</w:t>
      </w:r>
    </w:p>
    <w:p>
      <w:pPr>
        <w:numPr>
          <w:ilvl w:val="0"/>
          <w:numId w:val="1118"/>
        </w:numPr>
        <w:pStyle w:val="Compact"/>
      </w:pPr>
      <w:r>
        <w:rPr>
          <w:b/>
        </w:rPr>
        <w:t xml:space="preserve">Quién revisó</w:t>
      </w:r>
      <w:r>
        <w:t xml:space="preserve">: Dr. Ortega.</w:t>
      </w:r>
    </w:p>
    <w:p>
      <w:pPr>
        <w:numPr>
          <w:ilvl w:val="0"/>
          <w:numId w:val="1118"/>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51, línea 152 (bloquea IECA/ARA-II, usa BCC-DHP), línea 153 (no ofrece 2 BCC-DHP como pseudo-combinación,</w:t>
      </w:r>
      <w:r>
        <w:t xml:space="preserve"> </w:t>
      </w:r>
      <w:r>
        <w:t xml:space="preserve">“</w:t>
      </w:r>
      <w:r>
        <w:t xml:space="preserve">fix del hueco Etapa 2</w:t>
      </w:r>
      <w:r>
        <w:t xml:space="preserve">”</w:t>
      </w:r>
      <w:r>
        <w:t xml:space="preserve">) y línea 156 (Losartan ya prescrito + litio nuevo → REVALORAR/SUSPENDER).</w:t>
      </w:r>
    </w:p>
    <w:p>
      <w:pPr>
        <w:numPr>
          <w:ilvl w:val="0"/>
          <w:numId w:val="1118"/>
        </w:numPr>
        <w:pStyle w:val="Compact"/>
      </w:pPr>
      <w:r>
        <w:rPr>
          <w:b/>
        </w:rPr>
        <w:t xml:space="preserve">Qué excepciones tiene</w:t>
      </w:r>
      <w:r>
        <w:t xml:space="preserve">: BCC (Amlodipino/Diltiazem) no tiene esta interacción y queda explícitamente como alternativa de primera línea/no-renal. A diferencia de la mayoría de las reglas de esta ronda (que solo advierten), esta se maneja deliberadamente como BLOQUEO — mismo</w:t>
      </w:r>
      <w:r>
        <w:t xml:space="preserve"> </w:t>
      </w:r>
      <w:r>
        <w:t xml:space="preserve">“</w:t>
      </w:r>
      <w:r>
        <w:t xml:space="preserve">guard sistémico</w:t>
      </w:r>
      <w:r>
        <w:t xml:space="preserve">”</w:t>
      </w:r>
      <w:r>
        <w:t xml:space="preserve"> </w:t>
      </w:r>
      <w:r>
        <w:t xml:space="preserve">que angioedema/MEN2 — precisamente porque el riesgo (litemia tóxica) se considera de mayor gravedad que las demás interacciones</w:t>
      </w:r>
      <w:r>
        <w:t xml:space="preserve"> </w:t>
      </w:r>
      <w:r>
        <w:t xml:space="preserve">“</w:t>
      </w:r>
      <w:r>
        <w:t xml:space="preserve">monitorizar</w:t>
      </w:r>
      <w:r>
        <w:t xml:space="preserve">”</w:t>
      </w:r>
      <w:r>
        <w:t xml:space="preserve"> </w:t>
      </w:r>
      <w:r>
        <w:t xml:space="preserve">del catálogo.</w:t>
      </w:r>
    </w:p>
    <w:p>
      <w:pPr>
        <w:numPr>
          <w:ilvl w:val="0"/>
          <w:numId w:val="1118"/>
        </w:numPr>
        <w:pStyle w:val="Compact"/>
      </w:pPr>
      <w:r>
        <w:rPr>
          <w:b/>
        </w:rPr>
        <w:t xml:space="preserve">Qué ocurre si faltan datos</w:t>
      </w:r>
      <w:r>
        <w:t xml:space="preserve">: Depende de</w:t>
      </w:r>
      <w:r>
        <w:t xml:space="preserve"> </w:t>
      </w:r>
      <w:r>
        <w:rPr>
          <w:rStyle w:val="VerbatimChar"/>
        </w:rPr>
        <w:t xml:space="preserve">flags.litio</w:t>
      </w:r>
      <w:r>
        <w:t xml:space="preserve"> </w:t>
      </w:r>
      <w:r>
        <w:t xml:space="preserve">— si el uso de litio no se capturó, el bloqueo no se activa, silenciosamente.</w:t>
      </w:r>
    </w:p>
    <w:p>
      <w:pPr>
        <w:numPr>
          <w:ilvl w:val="0"/>
          <w:numId w:val="1118"/>
        </w:numPr>
        <w:pStyle w:val="Compact"/>
      </w:pPr>
      <w:r>
        <w:rPr>
          <w:b/>
        </w:rPr>
        <w:t xml:space="preserve">Qué ocurre si dos guías discrepan</w:t>
      </w:r>
      <w:r>
        <w:t xml:space="preserve">: No aplica / sin discrepancia documentada para esta regla.</w:t>
      </w:r>
    </w:p>
    <w:p>
      <w:pPr>
        <w:pStyle w:val="FirstParagraph"/>
      </w:pPr>
      <w:r>
        <w:rPr>
          <w:b/>
        </w:rPr>
        <w:t xml:space="preserve">LÍMITE declarado explícitamente</w:t>
      </w:r>
      <w:r>
        <w:t xml:space="preserve">:</w:t>
      </w:r>
      <w:r>
        <w:t xml:space="preserve"> </w:t>
      </w:r>
      <w:r>
        <w:rPr>
          <w:i/>
        </w:rPr>
        <w:t xml:space="preserve">“</w:t>
      </w:r>
      <w:r>
        <w:rPr>
          <w:i/>
        </w:rPr>
        <w:t xml:space="preserve">no se modela la litemia en sí (no es un dato que este proyecto capture) — el bloqueo es categórico (clase de fármaco × bandera de litio), no dependiente de un nivel sérico específico.</w:t>
      </w:r>
      <w:r>
        <w:rPr>
          <w:i/>
        </w:rPr>
        <w:t xml:space="preserve">”</w:t>
      </w:r>
      <w:r>
        <w:t xml:space="preserve"> </w:t>
      </w:r>
      <w:r>
        <w:t xml:space="preserve">Esto significa que el sistema no puede distinguir entre un paciente con litemia terapéutica estable vigilada de cerca y uno sin ningún control — el bloqueo aplica igual en ambos casos.</w:t>
      </w:r>
    </w:p>
    <w:p>
      <w:r>
        <w:pict>
          <v:rect style="width:0;height:1.5pt" o:hralign="center" o:hrstd="t" o:hr="t"/>
        </w:pict>
      </w:r>
    </w:p>
    <w:p>
      <w:pPr>
        <w:pStyle w:val="Heading2"/>
      </w:pPr>
      <w:bookmarkStart w:id="157" w:name="sick-day-rules-jssick-day.js-caso-56"/>
      <w:r>
        <w:t xml:space="preserve">11. Sick-day rules —</w:t>
      </w:r>
      <w:r>
        <w:t xml:space="preserve"> </w:t>
      </w:r>
      <w:r>
        <w:rPr>
          <w:rStyle w:val="VerbatimChar"/>
        </w:rPr>
        <w:t xml:space="preserve">js/sick-day.js</w:t>
      </w:r>
      <w:r>
        <w:t xml:space="preserve"> </w:t>
      </w:r>
      <w:r>
        <w:t xml:space="preserve">(Caso 56)</w:t>
      </w:r>
      <w:bookmarkEnd w:id="157"/>
    </w:p>
    <w:p>
      <w:pPr>
        <w:pStyle w:val="Heading3"/>
      </w:pPr>
      <w:bookmarkStart w:id="158" w:name="X52800aabc48db95cf5a6ba2260602b9995fbc4d"/>
      <w:r>
        <w:t xml:space="preserve">11.1 SICK_DAY_SUSPEND — Suspensión temporal por enfermedad aguda</w:t>
      </w:r>
      <w:bookmarkEnd w:id="158"/>
    </w:p>
    <w:p>
      <w:pPr>
        <w:numPr>
          <w:ilvl w:val="0"/>
          <w:numId w:val="1119"/>
        </w:numPr>
        <w:pStyle w:val="Compact"/>
      </w:pPr>
      <w:r>
        <w:rPr>
          <w:b/>
        </w:rPr>
        <w:t xml:space="preserve">Qué hace</w:t>
      </w:r>
      <w:r>
        <w:t xml:space="preserve">: Si</w:t>
      </w:r>
      <w:r>
        <w:t xml:space="preserve"> </w:t>
      </w:r>
      <w:r>
        <w:rPr>
          <w:rStyle w:val="VerbatimChar"/>
        </w:rPr>
        <w:t xml:space="preserve">p.enfermedadAguda</w:t>
      </w:r>
      <w:r>
        <w:t xml:space="preserve"> </w:t>
      </w:r>
      <w:r>
        <w:t xml:space="preserve">es verdadero, alerta para SUSPENDER TEMPORALMENTE Metformina, iSGLT2 e IECA/ARA-II si están activos, hasta 24-48h después de reanudar ingesta oral normal; nota explícita de no suspender insulina basal sin valoración adicional.</w:t>
      </w:r>
    </w:p>
    <w:p>
      <w:pPr>
        <w:numPr>
          <w:ilvl w:val="0"/>
          <w:numId w:val="1119"/>
        </w:numPr>
        <w:pStyle w:val="Compact"/>
      </w:pPr>
      <w:r>
        <w:rPr>
          <w:b/>
        </w:rPr>
        <w:t xml:space="preserve">Por qué</w:t>
      </w:r>
      <w:r>
        <w:t xml:space="preserve">: La deshidratación/reducción de perfusión renal que acompaña fiebre/vómito/diarrea/ingesta oral reducida potencia el riesgo de acidosis láctica (Metformina), CAD euglucémica (iSGLT2) y lesión renal aguda prerrenal (IECA/ARA-II).</w:t>
      </w:r>
    </w:p>
    <w:p>
      <w:pPr>
        <w:numPr>
          <w:ilvl w:val="0"/>
          <w:numId w:val="1119"/>
        </w:numPr>
        <w:pStyle w:val="Compact"/>
      </w:pPr>
      <w:r>
        <w:rPr>
          <w:b/>
        </w:rPr>
        <w:t xml:space="preserve">Fuente</w:t>
      </w:r>
      <w:r>
        <w:t xml:space="preserve">: Mnemónico SADMAN (Reino Unido: Sulfonilureas, ACEi, Diuréticos, Metformina, ARBs, NSAIDs) — misma lógica clínica de las</w:t>
      </w:r>
      <w:r>
        <w:t xml:space="preserve"> </w:t>
      </w:r>
      <w:r>
        <w:t xml:space="preserve">“</w:t>
      </w:r>
      <w:r>
        <w:t xml:space="preserve">Sick Day Rules</w:t>
      </w:r>
      <w:r>
        <w:t xml:space="preserve">”</w:t>
      </w:r>
      <w:r>
        <w:t xml:space="preserve"> </w:t>
      </w:r>
      <w:r>
        <w:t xml:space="preserve">enseñadas a pacientes.</w:t>
      </w:r>
    </w:p>
    <w:p>
      <w:pPr>
        <w:numPr>
          <w:ilvl w:val="0"/>
          <w:numId w:val="1119"/>
        </w:numPr>
        <w:pStyle w:val="Compact"/>
      </w:pPr>
      <w:r>
        <w:rPr>
          <w:b/>
        </w:rPr>
        <w:t xml:space="preserve">Versión de la fuente</w:t>
      </w:r>
      <w:r>
        <w:t xml:space="preserve">: No se especifica una fuente publicada única con año/edición para el mnemónico SADMAN — pendiente de documentar (es una convención de educación al paciente ampliamente usada en el Reino Unido, sin cita de guía institucional puntual en el código).</w:t>
      </w:r>
    </w:p>
    <w:p>
      <w:pPr>
        <w:numPr>
          <w:ilvl w:val="0"/>
          <w:numId w:val="1119"/>
        </w:numPr>
        <w:pStyle w:val="Compact"/>
      </w:pPr>
      <w:r>
        <w:rPr>
          <w:b/>
        </w:rPr>
        <w:t xml:space="preserve">Fecha de revisión</w:t>
      </w:r>
      <w:r>
        <w:t xml:space="preserve">: 10-ago-2026.</w:t>
      </w:r>
    </w:p>
    <w:p>
      <w:pPr>
        <w:numPr>
          <w:ilvl w:val="0"/>
          <w:numId w:val="1119"/>
        </w:numPr>
        <w:pStyle w:val="Compact"/>
      </w:pPr>
      <w:r>
        <w:rPr>
          <w:b/>
        </w:rPr>
        <w:t xml:space="preserve">Quién revisó</w:t>
      </w:r>
      <w:r>
        <w:t xml:space="preserve">: Dr. Ortega.</w:t>
      </w:r>
    </w:p>
    <w:p>
      <w:pPr>
        <w:numPr>
          <w:ilvl w:val="0"/>
          <w:numId w:val="1119"/>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56, línea 177 (enfermedad aguda + Metformina/iSGLT2/IECA → sugiere suspensión), línea 179 (sin enfermedad aguda → NO se activa) y línea 181 (enfermedad aguda sin fármacos relevantes → NO se activa).</w:t>
      </w:r>
    </w:p>
    <w:p>
      <w:pPr>
        <w:numPr>
          <w:ilvl w:val="0"/>
          <w:numId w:val="1119"/>
        </w:numPr>
        <w:pStyle w:val="Compact"/>
      </w:pPr>
      <w:r>
        <w:rPr>
          <w:b/>
        </w:rPr>
        <w:t xml:space="preserve">Qué excepciones tiene</w:t>
      </w:r>
      <w:r>
        <w:t xml:space="preserve">: Explícitamente NO suspende insulina basal automáticamente (</w:t>
      </w:r>
      <w:r>
        <w:t xml:space="preserve">“</w:t>
      </w:r>
      <w:r>
        <w:t xml:space="preserve">sin valoración adicional</w:t>
      </w:r>
      <w:r>
        <w:t xml:space="preserve">”</w:t>
      </w:r>
      <w:r>
        <w:t xml:space="preserve">) — es la única excepción de manejo diferenciado dentro de la propia regla.</w:t>
      </w:r>
    </w:p>
    <w:p>
      <w:pPr>
        <w:numPr>
          <w:ilvl w:val="0"/>
          <w:numId w:val="1119"/>
        </w:numPr>
        <w:pStyle w:val="Compact"/>
      </w:pPr>
      <w:r>
        <w:rPr>
          <w:b/>
        </w:rPr>
        <w:t xml:space="preserve">Qué ocurre si faltan datos</w:t>
      </w:r>
      <w:r>
        <w:t xml:space="preserve">: Si</w:t>
      </w:r>
      <w:r>
        <w:t xml:space="preserve"> </w:t>
      </w:r>
      <w:r>
        <w:rPr>
          <w:rStyle w:val="VerbatimChar"/>
        </w:rPr>
        <w:t xml:space="preserve">p.enfermedadAguda</w:t>
      </w:r>
      <w:r>
        <w:t xml:space="preserve"> </w:t>
      </w:r>
      <w:r>
        <w:t xml:space="preserve">es falso/no capturado, regresa</w:t>
      </w:r>
      <w:r>
        <w:t xml:space="preserve"> </w:t>
      </w:r>
      <w:r>
        <w:rPr>
          <w:rStyle w:val="VerbatimChar"/>
        </w:rPr>
        <w:t xml:space="preserve">null</w:t>
      </w:r>
      <w:r>
        <w:t xml:space="preserve"> </w:t>
      </w:r>
      <w:r>
        <w:t xml:space="preserve">— comportamiento esperado por diseño (es una bandera clínica puntual del episodio, no un dato de laboratorio con posibilidad de</w:t>
      </w:r>
      <w:r>
        <w:t xml:space="preserve"> </w:t>
      </w:r>
      <w:r>
        <w:t xml:space="preserve">“</w:t>
      </w:r>
      <w:r>
        <w:t xml:space="preserve">faltar</w:t>
      </w:r>
      <w:r>
        <w:t xml:space="preserve">”</w:t>
      </w:r>
      <w:r>
        <w:t xml:space="preserve"> </w:t>
      </w:r>
      <w:r>
        <w:t xml:space="preserve">en el sentido tradicional).</w:t>
      </w:r>
    </w:p>
    <w:p>
      <w:pPr>
        <w:numPr>
          <w:ilvl w:val="0"/>
          <w:numId w:val="1119"/>
        </w:numPr>
        <w:pStyle w:val="Compact"/>
      </w:pPr>
      <w:r>
        <w:rPr>
          <w:b/>
        </w:rPr>
        <w:t xml:space="preserve">Qué ocurre si dos guías discrepan</w:t>
      </w:r>
      <w:r>
        <w:t xml:space="preserve">: No aplica directamente, pero hay una</w:t>
      </w:r>
      <w:r>
        <w:t xml:space="preserve"> </w:t>
      </w:r>
      <w:r>
        <w:rPr>
          <w:b/>
        </w:rPr>
        <w:t xml:space="preserve">LIMITACIÓN DELIBERADA declarada textualmente en el código</w:t>
      </w:r>
      <w:r>
        <w:t xml:space="preserve">, de las más honestas de todo el catálogo, se transcribe íntegra:</w:t>
      </w:r>
    </w:p>
    <w:p>
      <w:pPr>
        <w:pStyle w:val="BlockText"/>
      </w:pPr>
      <w:r>
        <w:rPr>
          <w:i/>
        </w:rPr>
        <w:t xml:space="preserve">“</w:t>
      </w:r>
      <w:r>
        <w:rPr>
          <w:i/>
        </w:rPr>
        <w:t xml:space="preserve">SADMAN completo también incluye sulfonilureas (riesgo de hipoglucemia si la ingesta oral está reducida) y diuréticos (agravan la depleción de volumen) — no se incluyen aquí porque el caso tal como se aprobó con el Dr. Ortega especifica solo estas 3 clases; queda como limitación conocida para una ronda futura, no como omisión silenciosa.</w:t>
      </w:r>
      <w:r>
        <w:rPr>
          <w:i/>
        </w:rPr>
        <w:t xml:space="preserve">”</w:t>
      </w:r>
    </w:p>
    <w:p>
      <w:pPr>
        <w:pStyle w:val="FirstParagraph"/>
      </w:pPr>
      <w:r>
        <w:t xml:space="preserve">Es decir: el propio proyecto reconoce que la regla implementada cubre solo 3 de las 6 clases del mnemónico clínico completo (SADMAN), y lo declara como decisión de alcance consciente, no como un descuido. Para efectos de este documento de gobernanza, esto significa que un paciente con enfermedad aguda tomando sulfonilurea o un diurético NO recibirá ninguna alerta de</w:t>
      </w:r>
      <w:r>
        <w:t xml:space="preserve"> </w:t>
      </w:r>
      <w:r>
        <w:t xml:space="preserve">“</w:t>
      </w:r>
      <w:r>
        <w:t xml:space="preserve">sick day</w:t>
      </w:r>
      <w:r>
        <w:t xml:space="preserve">”</w:t>
      </w:r>
      <w:r>
        <w:t xml:space="preserve"> </w:t>
      </w:r>
      <w:r>
        <w:t xml:space="preserve">para esos dos fármacos específicos — un hueco real de cobertura clínica, aunque documentado.</w:t>
      </w:r>
    </w:p>
    <w:p>
      <w:r>
        <w:pict>
          <v:rect style="width:0;height:1.5pt" o:hralign="center" o:hrstd="t" o:hr="t"/>
        </w:pict>
      </w:r>
    </w:p>
    <w:p>
      <w:pPr>
        <w:pStyle w:val="Heading2"/>
      </w:pPr>
      <w:bookmarkStart w:id="159" w:name="X92c99d2f9249ba743f133f685b7e82bfc6baeaa"/>
      <w:r>
        <w:t xml:space="preserve">12. Labs de borde —</w:t>
      </w:r>
      <w:r>
        <w:t xml:space="preserve"> </w:t>
      </w:r>
      <w:r>
        <w:rPr>
          <w:rStyle w:val="VerbatimChar"/>
        </w:rPr>
        <w:t xml:space="preserve">js/borderline-labs.js</w:t>
      </w:r>
      <w:r>
        <w:t xml:space="preserve"> </w:t>
      </w:r>
      <w:r>
        <w:t xml:space="preserve">(Casos 42-43)</w:t>
      </w:r>
      <w:bookmarkEnd w:id="159"/>
    </w:p>
    <w:p>
      <w:pPr>
        <w:pStyle w:val="FirstParagraph"/>
      </w:pPr>
      <w:r>
        <w:t xml:space="preserve">“</w:t>
      </w:r>
      <w:r>
        <w:t xml:space="preserve">Trampas</w:t>
      </w:r>
      <w:r>
        <w:t xml:space="preserve">”</w:t>
      </w:r>
      <w:r>
        <w:t xml:space="preserve"> </w:t>
      </w:r>
      <w:r>
        <w:t xml:space="preserve">de interpretación: un valor de laboratorio en zona gris que un motor ingenuo podría manejar mal en cualquiera de las dos direcciones (ignorarlo, o sobrerreaccionar suspendiendo terapia protectora que sí funciona).</w:t>
      </w:r>
    </w:p>
    <w:p>
      <w:pPr>
        <w:pStyle w:val="Heading3"/>
      </w:pPr>
      <w:bookmarkStart w:id="160" w:name="X7cf98daa89d7c7485cf94452ce38da1001a08d7"/>
      <w:r>
        <w:t xml:space="preserve">12.1 HYPERK_ZONE_GRAY_BINDER — Hiperkalemia zona gris + RAAS/MRA (Caso 42)</w:t>
      </w:r>
      <w:bookmarkEnd w:id="160"/>
    </w:p>
    <w:p>
      <w:pPr>
        <w:numPr>
          <w:ilvl w:val="0"/>
          <w:numId w:val="1120"/>
        </w:numPr>
        <w:pStyle w:val="Compact"/>
      </w:pPr>
      <w:r>
        <w:rPr>
          <w:b/>
        </w:rPr>
        <w:t xml:space="preserve">Qué hace</w:t>
      </w:r>
      <w:r>
        <w:t xml:space="preserve">: Si el potasio está entre 5.0 y &lt;6.5 mEq/L (zona gris, por debajo del guardrail de</w:t>
      </w:r>
      <w:r>
        <w:t xml:space="preserve"> </w:t>
      </w:r>
      <w:r>
        <w:rPr>
          <w:rStyle w:val="VerbatimChar"/>
        </w:rPr>
        <w:t xml:space="preserve">redflags.js</w:t>
      </w:r>
      <w:r>
        <w:t xml:space="preserve">) Y el paciente tiene RAAS o MRA activo, sugiere AGREGAR un quelante de potasio en vez de suspender el bloqueo RAAS/MRA.</w:t>
      </w:r>
    </w:p>
    <w:p>
      <w:pPr>
        <w:numPr>
          <w:ilvl w:val="0"/>
          <w:numId w:val="1120"/>
        </w:numPr>
        <w:pStyle w:val="Compact"/>
      </w:pPr>
      <w:r>
        <w:rPr>
          <w:b/>
        </w:rPr>
        <w:t xml:space="preserve">Por qué</w:t>
      </w:r>
      <w:r>
        <w:t xml:space="preserve">: La reacción reflejo (y frecuentemente equivocada) ante K+ elevado es suspender el bloqueo RAAS/MRA — pero esa terapia reduce mortalidad/progresión renal en ERC+IC.</w:t>
      </w:r>
    </w:p>
    <w:p>
      <w:pPr>
        <w:numPr>
          <w:ilvl w:val="0"/>
          <w:numId w:val="1120"/>
        </w:numPr>
        <w:pStyle w:val="Compact"/>
      </w:pPr>
      <w:r>
        <w:rPr>
          <w:b/>
        </w:rPr>
        <w:t xml:space="preserve">Fuente</w:t>
      </w:r>
      <w:r>
        <w:t xml:space="preserve">: Ensayo DIAMOND 2023 (Patiromer), guías KDIGO 2024.</w:t>
      </w:r>
    </w:p>
    <w:p>
      <w:pPr>
        <w:numPr>
          <w:ilvl w:val="0"/>
          <w:numId w:val="1120"/>
        </w:numPr>
        <w:pStyle w:val="Compact"/>
      </w:pPr>
      <w:r>
        <w:rPr>
          <w:b/>
        </w:rPr>
        <w:t xml:space="preserve">Versión de la fuente</w:t>
      </w:r>
      <w:r>
        <w:t xml:space="preserve">: DIAMOND 2023 y KDIGO 2024 (ambas fechadas explícitamente en el código).</w:t>
      </w:r>
    </w:p>
    <w:p>
      <w:pPr>
        <w:numPr>
          <w:ilvl w:val="0"/>
          <w:numId w:val="1120"/>
        </w:numPr>
        <w:pStyle w:val="Compact"/>
      </w:pPr>
      <w:r>
        <w:rPr>
          <w:b/>
        </w:rPr>
        <w:t xml:space="preserve">Fecha de revisión</w:t>
      </w:r>
      <w:r>
        <w:t xml:space="preserve">: 10-ago-2026.</w:t>
      </w:r>
    </w:p>
    <w:p>
      <w:pPr>
        <w:numPr>
          <w:ilvl w:val="0"/>
          <w:numId w:val="1120"/>
        </w:numPr>
        <w:pStyle w:val="Compact"/>
      </w:pPr>
      <w:r>
        <w:rPr>
          <w:b/>
        </w:rPr>
        <w:t xml:space="preserve">Quién revisó</w:t>
      </w:r>
      <w:r>
        <w:t xml:space="preserve">: Dr. Ortega.</w:t>
      </w:r>
    </w:p>
    <w:p>
      <w:pPr>
        <w:numPr>
          <w:ilvl w:val="0"/>
          <w:numId w:val="1120"/>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42, línea 90 (K+ 5.6 + IECA+MRA → sugiere quelante, NO suspende RAAS) y línea 92 (K+ &gt;6.5 → va al guardrail de</w:t>
      </w:r>
      <w:r>
        <w:t xml:space="preserve"> </w:t>
      </w:r>
      <w:r>
        <w:rPr>
          <w:rStyle w:val="VerbatimChar"/>
        </w:rPr>
        <w:t xml:space="preserve">redflags.js</w:t>
      </w:r>
      <w:r>
        <w:t xml:space="preserve">, no a este aviso, verificando que ambas reglas no compiten entre sí).</w:t>
      </w:r>
    </w:p>
    <w:p>
      <w:pPr>
        <w:numPr>
          <w:ilvl w:val="0"/>
          <w:numId w:val="1120"/>
        </w:numPr>
        <w:pStyle w:val="Compact"/>
      </w:pPr>
      <w:r>
        <w:rPr>
          <w:b/>
        </w:rPr>
        <w:t xml:space="preserve">Qué excepciones tiene</w:t>
      </w:r>
      <w:r>
        <w:t xml:space="preserve">: El piso (5.0) y techo (&lt;6.5) de la zona gris están diseñados explícitamente para NO solaparse nunca con el guardrail de hiperkalemia severa de</w:t>
      </w:r>
      <w:r>
        <w:t xml:space="preserve"> </w:t>
      </w:r>
      <w:r>
        <w:rPr>
          <w:rStyle w:val="VerbatimChar"/>
        </w:rPr>
        <w:t xml:space="preserve">redflags.js</w:t>
      </w:r>
      <w:r>
        <w:t xml:space="preserve"> </w:t>
      </w:r>
      <w:r>
        <w:t xml:space="preserve">— documentado en el comentario en línea:</w:t>
      </w:r>
      <w:r>
        <w:t xml:space="preserve"> </w:t>
      </w:r>
      <w:r>
        <w:t xml:space="preserve">“</w:t>
      </w:r>
      <w:r>
        <w:t xml:space="preserve">por encima de eso buildTreatmentPlan ya ni siquiera llega a calcular un plan ambulatorio […] así que este chequeo nunca compite con el guardrail</w:t>
      </w:r>
      <w:r>
        <w:t xml:space="preserve">”</w:t>
      </w:r>
      <w:r>
        <w:t xml:space="preserve">.</w:t>
      </w:r>
    </w:p>
    <w:p>
      <w:pPr>
        <w:numPr>
          <w:ilvl w:val="0"/>
          <w:numId w:val="1120"/>
        </w:numPr>
        <w:pStyle w:val="Compact"/>
      </w:pPr>
      <w:r>
        <w:rPr>
          <w:b/>
        </w:rPr>
        <w:t xml:space="preserve">Qué ocurre si faltan datos</w:t>
      </w:r>
      <w:r>
        <w:t xml:space="preserve">: Sin potasio capturado,</w:t>
      </w:r>
      <w:r>
        <w:t xml:space="preserve"> </w:t>
      </w:r>
      <w:r>
        <w:rPr>
          <w:rStyle w:val="VerbatimChar"/>
        </w:rPr>
        <w:t xml:space="preserve">Number(p?.potasio)</w:t>
      </w:r>
      <w:r>
        <w:t xml:space="preserve"> </w:t>
      </w:r>
      <w:r>
        <w:t xml:space="preserve">es</w:t>
      </w:r>
      <w:r>
        <w:t xml:space="preserve"> </w:t>
      </w:r>
      <w:r>
        <w:rPr>
          <w:rStyle w:val="VerbatimChar"/>
        </w:rPr>
        <w:t xml:space="preserve">NaN</w:t>
      </w:r>
      <w:r>
        <w:t xml:space="preserve">, la condición</w:t>
      </w:r>
      <w:r>
        <w:t xml:space="preserve"> </w:t>
      </w:r>
      <w:r>
        <w:rPr>
          <w:rStyle w:val="VerbatimChar"/>
        </w:rPr>
        <w:t xml:space="preserve">k &gt;= 5.0 &amp;&amp; k &lt; 6.5</w:t>
      </w:r>
      <w:r>
        <w:t xml:space="preserve"> </w:t>
      </w:r>
      <w:r>
        <w:t xml:space="preserve">es</w:t>
      </w:r>
      <w:r>
        <w:t xml:space="preserve"> </w:t>
      </w:r>
      <w:r>
        <w:rPr>
          <w:rStyle w:val="VerbatimChar"/>
        </w:rPr>
        <w:t xml:space="preserve">false</w:t>
      </w:r>
      <w:r>
        <w:t xml:space="preserve"> </w:t>
      </w:r>
      <w:r>
        <w:t xml:space="preserve">→ regresa</w:t>
      </w:r>
      <w:r>
        <w:t xml:space="preserve"> </w:t>
      </w:r>
      <w:r>
        <w:rPr>
          <w:rStyle w:val="VerbatimChar"/>
        </w:rPr>
        <w:t xml:space="preserve">null</w:t>
      </w:r>
      <w:r>
        <w:t xml:space="preserve"> </w:t>
      </w:r>
      <w:r>
        <w:t xml:space="preserve">silenciosamente, sin distinguir</w:t>
      </w:r>
      <w:r>
        <w:t xml:space="preserve"> </w:t>
      </w:r>
      <w:r>
        <w:t xml:space="preserve">“</w:t>
      </w:r>
      <w:r>
        <w:t xml:space="preserve">potasio normal</w:t>
      </w:r>
      <w:r>
        <w:t xml:space="preserve">”</w:t>
      </w:r>
      <w:r>
        <w:t xml:space="preserve"> </w:t>
      </w:r>
      <w:r>
        <w:t xml:space="preserve">de</w:t>
      </w:r>
      <w:r>
        <w:t xml:space="preserve"> </w:t>
      </w:r>
      <w:r>
        <w:t xml:space="preserve">“</w:t>
      </w:r>
      <w:r>
        <w:t xml:space="preserve">potasio no capturado</w:t>
      </w:r>
      <w:r>
        <w:t xml:space="preserve">”</w:t>
      </w:r>
      <w:r>
        <w:t xml:space="preserve">.</w:t>
      </w:r>
    </w:p>
    <w:p>
      <w:pPr>
        <w:numPr>
          <w:ilvl w:val="0"/>
          <w:numId w:val="1120"/>
        </w:numPr>
        <w:pStyle w:val="Compact"/>
      </w:pPr>
      <w:r>
        <w:rPr>
          <w:b/>
        </w:rPr>
        <w:t xml:space="preserve">Qué ocurre si dos guías discrepan</w:t>
      </w:r>
      <w:r>
        <w:t xml:space="preserve">: No aplica / sin discrepancia documentada para esta regla.</w:t>
      </w:r>
    </w:p>
    <w:p>
      <w:pPr>
        <w:pStyle w:val="Heading3"/>
      </w:pPr>
      <w:bookmarkStart w:id="161" w:name="X3d2108cd75efd8b49a46724f3d158a6ff6d2ca9"/>
      <w:r>
        <w:t xml:space="preserve">12.2 A1C_NO_CONFIABLE — A1c no confiable por anemia o ERC avanzada (Caso 43)</w:t>
      </w:r>
      <w:bookmarkEnd w:id="161"/>
    </w:p>
    <w:p>
      <w:pPr>
        <w:numPr>
          <w:ilvl w:val="0"/>
          <w:numId w:val="1121"/>
        </w:numPr>
        <w:pStyle w:val="Compact"/>
      </w:pPr>
      <w:r>
        <w:rPr>
          <w:b/>
        </w:rPr>
        <w:t xml:space="preserve">Qué hace</w:t>
      </w:r>
      <w:r>
        <w:t xml:space="preserve">: Si hay anemia significativa (Hb &lt;10 g/dL) O ERC avanzada (eGFR &lt;15), advierte que la A1c medida puede no reflejar el control glucémico real y sugiere alternativas (Fructosamina, CGM/Tiempo en Rango).</w:t>
      </w:r>
    </w:p>
    <w:p>
      <w:pPr>
        <w:numPr>
          <w:ilvl w:val="0"/>
          <w:numId w:val="1121"/>
        </w:numPr>
        <w:pStyle w:val="Compact"/>
      </w:pPr>
      <w:r>
        <w:rPr>
          <w:b/>
        </w:rPr>
        <w:t xml:space="preserve">Por qué</w:t>
      </w:r>
      <w:r>
        <w:t xml:space="preserve">: La A1c depende de la vida media del glóbulo rojo — cualquier condición que la altere hace que la A1c medida no refleje el control glucémico real.</w:t>
      </w:r>
    </w:p>
    <w:p>
      <w:pPr>
        <w:numPr>
          <w:ilvl w:val="0"/>
          <w:numId w:val="1121"/>
        </w:numPr>
        <w:pStyle w:val="Compact"/>
      </w:pPr>
      <w:r>
        <w:rPr>
          <w:b/>
        </w:rPr>
        <w:t xml:space="preserve">Fuente</w:t>
      </w:r>
      <w:r>
        <w:t xml:space="preserve">: ADA Standards of Care 2026, sección sobre limitaciones de la A1c.</w:t>
      </w:r>
    </w:p>
    <w:p>
      <w:pPr>
        <w:numPr>
          <w:ilvl w:val="0"/>
          <w:numId w:val="1121"/>
        </w:numPr>
        <w:pStyle w:val="Compact"/>
      </w:pPr>
      <w:r>
        <w:rPr>
          <w:b/>
        </w:rPr>
        <w:t xml:space="preserve">Versión de la fuente</w:t>
      </w:r>
      <w:r>
        <w:t xml:space="preserve">: ADA Standards of Care 2026 (año especificado en el código).</w:t>
      </w:r>
    </w:p>
    <w:p>
      <w:pPr>
        <w:numPr>
          <w:ilvl w:val="0"/>
          <w:numId w:val="1121"/>
        </w:numPr>
        <w:pStyle w:val="Compact"/>
      </w:pPr>
      <w:r>
        <w:rPr>
          <w:b/>
        </w:rPr>
        <w:t xml:space="preserve">Fecha de revisión</w:t>
      </w:r>
      <w:r>
        <w:t xml:space="preserve">: 10-ago-2026.</w:t>
      </w:r>
    </w:p>
    <w:p>
      <w:pPr>
        <w:numPr>
          <w:ilvl w:val="0"/>
          <w:numId w:val="1121"/>
        </w:numPr>
        <w:pStyle w:val="Compact"/>
      </w:pPr>
      <w:r>
        <w:rPr>
          <w:b/>
        </w:rPr>
        <w:t xml:space="preserve">Quién revisó</w:t>
      </w:r>
      <w:r>
        <w:t xml:space="preserve">: Dr. Ortega.</w:t>
      </w:r>
    </w:p>
    <w:p>
      <w:pPr>
        <w:numPr>
          <w:ilvl w:val="0"/>
          <w:numId w:val="1121"/>
        </w:numPr>
        <w:pStyle w:val="Compact"/>
      </w:pPr>
      <w:r>
        <w:rPr>
          <w:b/>
        </w:rPr>
        <w:t xml:space="preserve">Qué casos la validan</w:t>
      </w:r>
      <w:r>
        <w:t xml:space="preserve">:</w:t>
      </w:r>
      <w:r>
        <w:t xml:space="preserve"> </w:t>
      </w:r>
      <w:r>
        <w:rPr>
          <w:rStyle w:val="VerbatimChar"/>
        </w:rPr>
        <w:t xml:space="preserve">tests/edge-cases.test.mjs</w:t>
      </w:r>
      <w:r>
        <w:t xml:space="preserve"> </w:t>
      </w:r>
      <w:r>
        <w:t xml:space="preserve">— Caso 43, línea 96 (anemia significativa Hb 8.5 → A1c marcada no confiable) y línea 98, control negativo (Hb/eGFR normales → NO se activa).</w:t>
      </w:r>
    </w:p>
    <w:p>
      <w:pPr>
        <w:numPr>
          <w:ilvl w:val="0"/>
          <w:numId w:val="1121"/>
        </w:numPr>
        <w:pStyle w:val="Compact"/>
      </w:pPr>
      <w:r>
        <w:rPr>
          <w:b/>
        </w:rPr>
        <w:t xml:space="preserve">Qué excepciones tiene</w:t>
      </w:r>
      <w:r>
        <w:t xml:space="preserve">: Ninguna adicional a las dos condiciones (anemia o ERC avanzada) que la disparan de forma independiente (basta con una de las dos).</w:t>
      </w:r>
    </w:p>
    <w:p>
      <w:pPr>
        <w:numPr>
          <w:ilvl w:val="0"/>
          <w:numId w:val="1121"/>
        </w:numPr>
        <w:pStyle w:val="Compact"/>
      </w:pPr>
      <w:r>
        <w:rPr>
          <w:b/>
        </w:rPr>
        <w:t xml:space="preserve">Qué ocurre si faltan datos</w:t>
      </w:r>
      <w:r>
        <w:t xml:space="preserve">: Sin hemoglobina ni eGFR, ambas condiciones (</w:t>
      </w:r>
      <w:r>
        <w:rPr>
          <w:rStyle w:val="VerbatimChar"/>
        </w:rPr>
        <w:t xml:space="preserve">anemiaSignificativa</w:t>
      </w:r>
      <w:r>
        <w:t xml:space="preserve">,</w:t>
      </w:r>
      <w:r>
        <w:t xml:space="preserve"> </w:t>
      </w:r>
      <w:r>
        <w:rPr>
          <w:rStyle w:val="VerbatimChar"/>
        </w:rPr>
        <w:t xml:space="preserve">ercAvanzada</w:t>
      </w:r>
      <w:r>
        <w:t xml:space="preserve">) resultan</w:t>
      </w:r>
      <w:r>
        <w:t xml:space="preserve"> </w:t>
      </w:r>
      <w:r>
        <w:rPr>
          <w:rStyle w:val="VerbatimChar"/>
        </w:rPr>
        <w:t xml:space="preserve">false</w:t>
      </w:r>
      <w:r>
        <w:t xml:space="preserve"> </w:t>
      </w:r>
      <w:r>
        <w:t xml:space="preserve">→ regresa</w:t>
      </w:r>
      <w:r>
        <w:t xml:space="preserve"> </w:t>
      </w:r>
      <w:r>
        <w:rPr>
          <w:rStyle w:val="VerbatimChar"/>
        </w:rPr>
        <w:t xml:space="preserve">null</w:t>
      </w:r>
      <w:r>
        <w:t xml:space="preserve"> </w:t>
      </w:r>
      <w:r>
        <w:t xml:space="preserve">silenciosamente. No hay forma de distinguir, en la salida, entre</w:t>
      </w:r>
      <w:r>
        <w:t xml:space="preserve"> </w:t>
      </w:r>
      <w:r>
        <w:t xml:space="preserve">“</w:t>
      </w:r>
      <w:r>
        <w:t xml:space="preserve">confirmado que no hay anemia/ERC</w:t>
      </w:r>
      <w:r>
        <w:t xml:space="preserve">”</w:t>
      </w:r>
      <w:r>
        <w:t xml:space="preserve"> </w:t>
      </w:r>
      <w:r>
        <w:t xml:space="preserve">y</w:t>
      </w:r>
      <w:r>
        <w:t xml:space="preserve"> </w:t>
      </w:r>
      <w:r>
        <w:t xml:space="preserve">“</w:t>
      </w:r>
      <w:r>
        <w:t xml:space="preserve">no se evaluó por falta de dato</w:t>
      </w:r>
      <w:r>
        <w:t xml:space="preserve">”</w:t>
      </w:r>
      <w:r>
        <w:t xml:space="preserve"> </w:t>
      </w:r>
      <w:r>
        <w:t xml:space="preserve">— mismo patrón de ambigüedad que 12.1.</w:t>
      </w:r>
    </w:p>
    <w:p>
      <w:pPr>
        <w:numPr>
          <w:ilvl w:val="0"/>
          <w:numId w:val="1121"/>
        </w:numPr>
        <w:pStyle w:val="Compact"/>
      </w:pPr>
      <w:r>
        <w:rPr>
          <w:b/>
        </w:rPr>
        <w:t xml:space="preserve">Qué ocurre si dos guías discrepan</w:t>
      </w:r>
      <w:r>
        <w:t xml:space="preserve">: No aplica / sin discrepancia documentada para esta regla. Nota de convención declarada explícitamente: el corte de anemia significativa (Hb &lt;10 g/dL) es</w:t>
      </w:r>
      <w:r>
        <w:t xml:space="preserve"> </w:t>
      </w:r>
      <w:r>
        <w:t xml:space="preserve">“</w:t>
      </w:r>
      <w:r>
        <w:t xml:space="preserve">un corte práctico (anemia moderada-severa) […] no es un corte oficial único de una sola guía, se documenta explícitamente como convención clínica (igual que el techo de 8.5% en</w:t>
      </w:r>
      <w:r>
        <w:t xml:space="preserve"> </w:t>
      </w:r>
      <w:r>
        <w:rPr>
          <w:rStyle w:val="VerbatimChar"/>
        </w:rPr>
        <w:t xml:space="preserve">getA1cTarget</w:t>
      </w:r>
      <w:r>
        <w:t xml:space="preserve">)</w:t>
      </w:r>
      <w:r>
        <w:t xml:space="preserve">”</w:t>
      </w:r>
      <w:r>
        <w:t xml:space="preserve">.</w:t>
      </w:r>
    </w:p>
    <w:p>
      <w:pPr>
        <w:pStyle w:val="FirstParagraph"/>
      </w:pPr>
      <w:r>
        <w:rPr>
          <w:b/>
        </w:rPr>
        <w:t xml:space="preserve">LÍMITE declarado explícitamente para ambas reglas de este archivo</w:t>
      </w:r>
      <w:r>
        <w:t xml:space="preserve">:</w:t>
      </w:r>
      <w:r>
        <w:t xml:space="preserve"> </w:t>
      </w:r>
      <w:r>
        <w:rPr>
          <w:i/>
        </w:rPr>
        <w:t xml:space="preserve">“</w:t>
      </w:r>
      <w:r>
        <w:rPr>
          <w:i/>
        </w:rPr>
        <w:t xml:space="preserve">como el resto de los módulos de esta ronda, estas funciones solo ADVIERTEN/SUGIEREN — no calculan la dosis del quelante ni reinterpretan la A1c a un valor</w:t>
      </w:r>
      <w:r>
        <w:rPr>
          <w:i/>
        </w:rPr>
        <w:t xml:space="preserve"> </w:t>
      </w:r>
      <w:r>
        <w:rPr>
          <w:i/>
        </w:rPr>
        <w:t xml:space="preserve">‘</w:t>
      </w:r>
      <w:r>
        <w:rPr>
          <w:i/>
        </w:rPr>
        <w:t xml:space="preserve">corregido</w:t>
      </w:r>
      <w:r>
        <w:rPr>
          <w:i/>
        </w:rPr>
        <w:t xml:space="preserve">’</w:t>
      </w:r>
      <w:r>
        <w:rPr>
          <w:i/>
        </w:rPr>
        <w:t xml:space="preserve"> </w:t>
      </w:r>
      <w:r>
        <w:rPr>
          <w:i/>
        </w:rPr>
        <w:t xml:space="preserve">(no existe una fórmula de conversión confiable de uso general).</w:t>
      </w:r>
      <w:r>
        <w:rPr>
          <w:i/>
        </w:rPr>
        <w:t xml:space="preserve">”</w:t>
      </w:r>
    </w:p>
    <w:p>
      <w:r>
        <w:pict>
          <v:rect style="width:0;height:1.5pt" o:hralign="center" o:hrstd="t" o:hr="t"/>
        </w:pict>
      </w:r>
    </w:p>
    <w:p>
      <w:pPr>
        <w:pStyle w:val="Heading2"/>
      </w:pPr>
      <w:bookmarkStart w:id="162" w:name="X86270963518b2393f0799870f09c2ee6bd3126b"/>
      <w:r>
        <w:t xml:space="preserve">Resumen ejecutivo de hallazgos de gobernanza</w:t>
      </w:r>
      <w:bookmarkEnd w:id="162"/>
    </w:p>
    <w:p>
      <w:pPr>
        <w:pStyle w:val="FirstParagraph"/>
      </w:pPr>
      <w:r>
        <w:rPr>
          <w:b/>
        </w:rPr>
        <w:t xml:space="preserve">Reglas catalogadas</w:t>
      </w:r>
      <w:r>
        <w:t xml:space="preserve">: 46 reglas clínicas discretas documentadas con el esquema de 10 campos, distribuidas en las 12 secciones/dominios solicitados, cubriendo los 12 archivos fuente.</w:t>
      </w:r>
    </w:p>
    <w:p>
      <w:pPr>
        <w:pStyle w:val="BodyText"/>
      </w:pPr>
      <w:r>
        <w:rPr>
          <w:b/>
        </w:rPr>
        <w:t xml:space="preserve">Patrón dominante de manejo de datos faltantes</w:t>
      </w:r>
      <w:r>
        <w:t xml:space="preserve">: con la notable excepción de varias funciones de</w:t>
      </w:r>
      <w:r>
        <w:t xml:space="preserve"> </w:t>
      </w:r>
      <w:r>
        <w:rPr>
          <w:rStyle w:val="VerbatimChar"/>
        </w:rPr>
        <w:t xml:space="preserve">individualization.js</w:t>
      </w:r>
      <w:r>
        <w:t xml:space="preserve"> </w:t>
      </w:r>
      <w:r>
        <w:t xml:space="preserve">(que devuelven explícitamente zona</w:t>
      </w:r>
      <w:r>
        <w:t xml:space="preserve"> </w:t>
      </w:r>
      <w:r>
        <w:t xml:space="preserve">“</w:t>
      </w:r>
      <w:r>
        <w:t xml:space="preserve">gris</w:t>
      </w:r>
      <w:r>
        <w:t xml:space="preserve">”</w:t>
      </w:r>
      <w:r>
        <w:t xml:space="preserve">/</w:t>
      </w:r>
      <w:r>
        <w:t xml:space="preserve">“</w:t>
      </w:r>
      <w:r>
        <w:t xml:space="preserve">Sin dato</w:t>
      </w:r>
      <w:r>
        <w:t xml:space="preserve">”</w:t>
      </w:r>
      <w:r>
        <w:t xml:space="preserve"> </w:t>
      </w:r>
      <w:r>
        <w:t xml:space="preserve">visible al médico) y de las dos advertencias documentadas por comentario en línea en</w:t>
      </w:r>
      <w:r>
        <w:t xml:space="preserve"> </w:t>
      </w:r>
      <w:r>
        <w:rPr>
          <w:rStyle w:val="VerbatimChar"/>
        </w:rPr>
        <w:t xml:space="preserve">perioperative.js</w:t>
      </w:r>
      <w:r>
        <w:t xml:space="preserve"> </w:t>
      </w:r>
      <w:r>
        <w:t xml:space="preserve">y</w:t>
      </w:r>
      <w:r>
        <w:t xml:space="preserve"> </w:t>
      </w:r>
      <w:r>
        <w:rPr>
          <w:rStyle w:val="VerbatimChar"/>
        </w:rPr>
        <w:t xml:space="preserve">borderline-labs.js</w:t>
      </w:r>
      <w:r>
        <w:t xml:space="preserve">/</w:t>
      </w:r>
      <w:r>
        <w:rPr>
          <w:rStyle w:val="VerbatimChar"/>
        </w:rPr>
        <w:t xml:space="preserve">hyperkalemia</w:t>
      </w:r>
      <w:r>
        <w:t xml:space="preserve">,</w:t>
      </w:r>
      <w:r>
        <w:t xml:space="preserve"> </w:t>
      </w:r>
      <w:r>
        <w:rPr>
          <w:b/>
        </w:rPr>
        <w:t xml:space="preserve">la inmensa mayoría de las reglas de las capas de seguridad de dominio (redflags.js y todos los módulos de la ronda de casos 38-57) se omiten en silencio cuando falta el dato de entrada</w:t>
      </w:r>
      <w:r>
        <w:t xml:space="preserve"> </w:t>
      </w:r>
      <w:r>
        <w:t xml:space="preserve">— la función regresa</w:t>
      </w:r>
      <w:r>
        <w:t xml:space="preserve"> </w:t>
      </w:r>
      <w:r>
        <w:rPr>
          <w:rStyle w:val="VerbatimChar"/>
        </w:rPr>
        <w:t xml:space="preserve">null</w:t>
      </w:r>
      <w:r>
        <w:t xml:space="preserve">/</w:t>
      </w:r>
      <w:r>
        <w:rPr>
          <w:rStyle w:val="VerbatimChar"/>
        </w:rPr>
        <w:t xml:space="preserve">[]</w:t>
      </w:r>
      <w:r>
        <w:t xml:space="preserve"> </w:t>
      </w:r>
      <w:r>
        <w:t xml:space="preserve">sin distinguir, en lo que ve el médico, entre</w:t>
      </w:r>
      <w:r>
        <w:t xml:space="preserve"> </w:t>
      </w:r>
      <w:r>
        <w:t xml:space="preserve">“</w:t>
      </w:r>
      <w:r>
        <w:t xml:space="preserve">se evaluó y no aplica</w:t>
      </w:r>
      <w:r>
        <w:t xml:space="preserve">”</w:t>
      </w:r>
      <w:r>
        <w:t xml:space="preserve"> </w:t>
      </w:r>
      <w:r>
        <w:t xml:space="preserve">y</w:t>
      </w:r>
      <w:r>
        <w:t xml:space="preserve"> </w:t>
      </w:r>
      <w:r>
        <w:t xml:space="preserve">“</w:t>
      </w:r>
      <w:r>
        <w:t xml:space="preserve">no se pudo evaluar por falta de dato</w:t>
      </w:r>
      <w:r>
        <w:t xml:space="preserve">”</w:t>
      </w:r>
      <w:r>
        <w:t xml:space="preserve">. Este patrón no está declarado como limitación explícita en la mayoría de los comentarios de cabecera (con las excepciones puntuales señaladas en las secciones 1.1, 8.1/8.2, donde el propio código sí deja constancia por escrito).</w:t>
      </w:r>
    </w:p>
    <w:p>
      <w:pPr>
        <w:pStyle w:val="BodyText"/>
      </w:pPr>
      <w:r>
        <w:rPr>
          <w:b/>
        </w:rPr>
        <w:t xml:space="preserve">Huecos de cobertura de pruebas identificados</w:t>
      </w:r>
      <w:r>
        <w:t xml:space="preserve"> </w:t>
      </w:r>
      <w:r>
        <w:t xml:space="preserve">(funciones/reglas sin</w:t>
      </w:r>
      <w:r>
        <w:t xml:space="preserve"> </w:t>
      </w:r>
      <w:r>
        <w:rPr>
          <w:rStyle w:val="VerbatimChar"/>
        </w:rPr>
        <w:t xml:space="preserve">import</w:t>
      </w:r>
      <w:r>
        <w:t xml:space="preserve">/llamada directa localizada en</w:t>
      </w:r>
      <w:r>
        <w:t xml:space="preserve"> </w:t>
      </w:r>
      <w:r>
        <w:rPr>
          <w:rStyle w:val="VerbatimChar"/>
        </w:rPr>
        <w:t xml:space="preserve">tests/*.test.mjs</w:t>
      </w:r>
      <w:r>
        <w:t xml:space="preserve">):</w:t>
      </w:r>
      <w:r>
        <w:t xml:space="preserve"> </w:t>
      </w:r>
      <w:r>
        <w:t xml:space="preserve">-</w:t>
      </w:r>
      <w:r>
        <w:t xml:space="preserve"> </w:t>
      </w:r>
      <w:r>
        <w:rPr>
          <w:rStyle w:val="VerbatimChar"/>
        </w:rPr>
        <w:t xml:space="preserve">classifyEGFR</w:t>
      </w:r>
      <w:r>
        <w:t xml:space="preserve">,</w:t>
      </w:r>
      <w:r>
        <w:t xml:space="preserve"> </w:t>
      </w:r>
      <w:r>
        <w:rPr>
          <w:rStyle w:val="VerbatimChar"/>
        </w:rPr>
        <w:t xml:space="preserve">classifyASCVD</w:t>
      </w:r>
      <w:r>
        <w:t xml:space="preserve">/</w:t>
      </w:r>
      <w:r>
        <w:rPr>
          <w:rStyle w:val="VerbatimChar"/>
        </w:rPr>
        <w:t xml:space="preserve">getCardiovascularSummary</w:t>
      </w:r>
      <w:r>
        <w:t xml:space="preserve">,</w:t>
      </w:r>
      <w:r>
        <w:t xml:space="preserve"> </w:t>
      </w:r>
      <w:r>
        <w:rPr>
          <w:rStyle w:val="VerbatimChar"/>
        </w:rPr>
        <w:t xml:space="preserve">classifyA1cVsTarget</w:t>
      </w:r>
      <w:r>
        <w:t xml:space="preserve">, las 5 funciones de clasificación de electrolitos (</w:t>
      </w:r>
      <w:r>
        <w:rPr>
          <w:rStyle w:val="VerbatimChar"/>
        </w:rPr>
        <w:t xml:space="preserve">classifySodio</w:t>
      </w:r>
      <w:r>
        <w:t xml:space="preserve">,</w:t>
      </w:r>
      <w:r>
        <w:t xml:space="preserve"> </w:t>
      </w:r>
      <w:r>
        <w:rPr>
          <w:rStyle w:val="VerbatimChar"/>
        </w:rPr>
        <w:t xml:space="preserve">classifyPotasio</w:t>
      </w:r>
      <w:r>
        <w:t xml:space="preserve">,</w:t>
      </w:r>
      <w:r>
        <w:t xml:space="preserve"> </w:t>
      </w:r>
      <w:r>
        <w:rPr>
          <w:rStyle w:val="VerbatimChar"/>
        </w:rPr>
        <w:t xml:space="preserve">classifyCalcio</w:t>
      </w:r>
      <w:r>
        <w:t xml:space="preserve">,</w:t>
      </w:r>
      <w:r>
        <w:t xml:space="preserve"> </w:t>
      </w:r>
      <w:r>
        <w:rPr>
          <w:rStyle w:val="VerbatimChar"/>
        </w:rPr>
        <w:t xml:space="preserve">classifyFosforo</w:t>
      </w:r>
      <w:r>
        <w:t xml:space="preserve">,</w:t>
      </w:r>
      <w:r>
        <w:t xml:space="preserve"> </w:t>
      </w:r>
      <w:r>
        <w:rPr>
          <w:rStyle w:val="VerbatimChar"/>
        </w:rPr>
        <w:t xml:space="preserve">classifyMagnesio</w:t>
      </w:r>
      <w:r>
        <w:t xml:space="preserve">),</w:t>
      </w:r>
      <w:r>
        <w:t xml:space="preserve"> </w:t>
      </w:r>
      <w:r>
        <w:rPr>
          <w:rStyle w:val="VerbatimChar"/>
        </w:rPr>
        <w:t xml:space="preserve">classifyCKM</w:t>
      </w:r>
      <w:r>
        <w:t xml:space="preserve">, y</w:t>
      </w:r>
      <w:r>
        <w:t xml:space="preserve"> </w:t>
      </w:r>
      <w:r>
        <w:rPr>
          <w:rStyle w:val="VerbatimChar"/>
        </w:rPr>
        <w:t xml:space="preserve">classifyValueVsTarget</w:t>
      </w:r>
      <w:r>
        <w:t xml:space="preserve">/</w:t>
      </w:r>
      <w:r>
        <w:rPr>
          <w:rStyle w:val="VerbatimChar"/>
        </w:rPr>
        <w:t xml:space="preserve">classifyBPVsGoal</w:t>
      </w:r>
      <w:r>
        <w:t xml:space="preserve">/</w:t>
      </w:r>
      <w:r>
        <w:rPr>
          <w:rStyle w:val="VerbatimChar"/>
        </w:rPr>
        <w:t xml:space="preserve">ayunoEstadoToZona</w:t>
      </w:r>
      <w:r>
        <w:t xml:space="preserve"> </w:t>
      </w:r>
      <w:r>
        <w:t xml:space="preserve">— todas en</w:t>
      </w:r>
      <w:r>
        <w:t xml:space="preserve"> </w:t>
      </w:r>
      <w:r>
        <w:rPr>
          <w:rStyle w:val="VerbatimChar"/>
        </w:rPr>
        <w:t xml:space="preserve">individualization.js</w:t>
      </w:r>
      <w:r>
        <w:t xml:space="preserve">.</w:t>
      </w:r>
      <w:r>
        <w:t xml:space="preserve"> </w:t>
      </w:r>
      <w:r>
        <w:t xml:space="preserve">- Nota: varias de estas SÍ se ejercitan indirectamente a través de integraciones más amplias (por ejemplo,</w:t>
      </w:r>
      <w:r>
        <w:t xml:space="preserve"> </w:t>
      </w:r>
      <w:r>
        <w:rPr>
          <w:rStyle w:val="VerbatimChar"/>
        </w:rPr>
        <w:t xml:space="preserve">evaluateBoundaryZones</w:t>
      </w:r>
      <w:r>
        <w:t xml:space="preserve"> </w:t>
      </w:r>
      <w:r>
        <w:t xml:space="preserve">prueba</w:t>
      </w:r>
      <w:r>
        <w:t xml:space="preserve"> </w:t>
      </w:r>
      <w:r>
        <w:rPr>
          <w:rStyle w:val="VerbatimChar"/>
        </w:rPr>
        <w:t xml:space="preserve">calcEGFR</w:t>
      </w:r>
      <w:r>
        <w:t xml:space="preserve">, no</w:t>
      </w:r>
      <w:r>
        <w:t xml:space="preserve"> </w:t>
      </w:r>
      <w:r>
        <w:rPr>
          <w:rStyle w:val="VerbatimChar"/>
        </w:rPr>
        <w:t xml:space="preserve">classifyEGFR</w:t>
      </w:r>
      <w:r>
        <w:t xml:space="preserve">), pero no hay una prueba unitaria dedicada a la función de clasificación en sí.</w:t>
      </w:r>
    </w:p>
    <w:p>
      <w:pPr>
        <w:pStyle w:val="BodyText"/>
      </w:pPr>
      <w:r>
        <w:rPr>
          <w:b/>
        </w:rPr>
        <w:t xml:space="preserve">Limitaciones honestas declaradas literalmente en el código</w:t>
      </w:r>
      <w:r>
        <w:t xml:space="preserve"> </w:t>
      </w:r>
      <w:r>
        <w:t xml:space="preserve">(las más relevantes para gobernanza, ya citadas íntegras en sus secciones): la limitación de</w:t>
      </w:r>
      <w:r>
        <w:t xml:space="preserve"> </w:t>
      </w:r>
      <w:r>
        <w:rPr>
          <w:rStyle w:val="VerbatimChar"/>
        </w:rPr>
        <w:t xml:space="preserve">redflags.js</w:t>
      </w:r>
      <w:r>
        <w:t xml:space="preserve"> </w:t>
      </w:r>
      <w:r>
        <w:t xml:space="preserve">sobre exploración física no capturada (1.3); el bug histórico de</w:t>
      </w:r>
      <w:r>
        <w:t xml:space="preserve"> </w:t>
      </w:r>
      <w:r>
        <w:rPr>
          <w:rStyle w:val="VerbatimChar"/>
        </w:rPr>
        <w:t xml:space="preserve">getA1cTarget</w:t>
      </w:r>
      <w:r>
        <w:t xml:space="preserve"> </w:t>
      </w:r>
      <w:r>
        <w:t xml:space="preserve">que produjo la misma meta para todos los pacientes ≥65 años hasta el 8-ago-2026 (3.6); el bug de inconsistencia de metas entre pantallas en</w:t>
      </w:r>
      <w:r>
        <w:t xml:space="preserve"> </w:t>
      </w:r>
      <w:r>
        <w:rPr>
          <w:rStyle w:val="VerbatimChar"/>
        </w:rPr>
        <w:t xml:space="preserve">getGlycemicAndBPGoals</w:t>
      </w:r>
      <w:r>
        <w:t xml:space="preserve">, también corregido el 8-ago-2026 (3.10); la declaración de que fósforo/magnesio</w:t>
      </w:r>
      <w:r>
        <w:t xml:space="preserve"> </w:t>
      </w:r>
      <w:r>
        <w:t xml:space="preserve">“</w:t>
      </w:r>
      <w:r>
        <w:t xml:space="preserve">hiper</w:t>
      </w:r>
      <w:r>
        <w:t xml:space="preserve">”</w:t>
      </w:r>
      <w:r>
        <w:t xml:space="preserve"> </w:t>
      </w:r>
      <w:r>
        <w:t xml:space="preserve">son la síntesis de menor consenso de las 10 bandas de electrolitos (3.8); el ajuste por ascendencia asiática no capturado en</w:t>
      </w:r>
      <w:r>
        <w:t xml:space="preserve"> </w:t>
      </w:r>
      <w:r>
        <w:rPr>
          <w:rStyle w:val="VerbatimChar"/>
        </w:rPr>
        <w:t xml:space="preserve">classifyCKM</w:t>
      </w:r>
      <w:r>
        <w:t xml:space="preserve"> </w:t>
      </w:r>
      <w:r>
        <w:t xml:space="preserve">(3.9); el alcance parcial deliberado de</w:t>
      </w:r>
      <w:r>
        <w:t xml:space="preserve"> </w:t>
      </w:r>
      <w:r>
        <w:rPr>
          <w:rStyle w:val="VerbatimChar"/>
        </w:rPr>
        <w:t xml:space="preserve">interactions.js</w:t>
      </w:r>
      <w:r>
        <w:t xml:space="preserve"> </w:t>
      </w:r>
      <w:r>
        <w:t xml:space="preserve">(set curado, no exhaustivo, sección 4); y la cobertura parcial explícita de SADMAN en</w:t>
      </w:r>
      <w:r>
        <w:t xml:space="preserve"> </w:t>
      </w:r>
      <w:r>
        <w:rPr>
          <w:rStyle w:val="VerbatimChar"/>
        </w:rPr>
        <w:t xml:space="preserve">sick-day.js</w:t>
      </w:r>
      <w:r>
        <w:t xml:space="preserve"> </w:t>
      </w:r>
      <w:r>
        <w:t xml:space="preserve">(3 de 6 clases, sección 11.1).</w:t>
      </w:r>
    </w:p>
    <w:p>
      <w:pPr>
        <w:pStyle w:val="Heading1"/>
      </w:pPr>
      <w:bookmarkStart w:id="163" w:name="parte-iii-endoinsulin-y-endoscreen"/>
      <w:r>
        <w:t xml:space="preserve">Parte III — EndoInsulin y EndoScreen</w:t>
      </w:r>
      <w:bookmarkEnd w:id="163"/>
    </w:p>
    <w:p>
      <w:pPr>
        <w:pStyle w:val="Heading2"/>
      </w:pPr>
      <w:bookmarkStart w:id="164" w:name="gobernanza-clínica-nexora-endocore"/>
      <w:r>
        <w:t xml:space="preserve">Gobernanza Clínica — NEXORA / EndoCore</w:t>
      </w:r>
      <w:bookmarkEnd w:id="164"/>
    </w:p>
    <w:p>
      <w:pPr>
        <w:pStyle w:val="Heading2"/>
      </w:pPr>
      <w:bookmarkStart w:id="165" w:name="X19ddf6121102ff59aec078c9b5bd5cc80ca51b1"/>
      <w:r>
        <w:t xml:space="preserve">Módulos: EndoInsulin (dosificación) y EndoScreen (tamizaje de complicaciones crónicas)</w:t>
      </w:r>
      <w:bookmarkEnd w:id="165"/>
    </w:p>
    <w:p>
      <w:pPr>
        <w:pStyle w:val="FirstParagraph"/>
      </w:pPr>
      <w:r>
        <w:rPr>
          <w:b/>
        </w:rPr>
        <w:t xml:space="preserve">Alcance de este documento:</w:t>
      </w:r>
      <w:r>
        <w:t xml:space="preserve"> </w:t>
      </w:r>
      <w:r>
        <w:t xml:space="preserve">cada regla clínica discreta encontrada en</w:t>
      </w:r>
      <w:r>
        <w:t xml:space="preserve"> </w:t>
      </w:r>
      <w:r>
        <w:rPr>
          <w:rStyle w:val="VerbatimChar"/>
        </w:rPr>
        <w:t xml:space="preserve">js/insulin.js</w:t>
      </w:r>
      <w:r>
        <w:t xml:space="preserve"> </w:t>
      </w:r>
      <w:r>
        <w:t xml:space="preserve">(767 líneas, leído completo) y</w:t>
      </w:r>
      <w:r>
        <w:t xml:space="preserve"> </w:t>
      </w:r>
      <w:r>
        <w:rPr>
          <w:rStyle w:val="VerbatimChar"/>
        </w:rPr>
        <w:t xml:space="preserve">js/screening.js</w:t>
      </w:r>
      <w:r>
        <w:t xml:space="preserve"> </w:t>
      </w:r>
      <w:r>
        <w:t xml:space="preserve">(327 líneas, leído completo) se documenta con el esquema fijo de 10 campos acordado con el Dr. Ortega. Los casos de prueba se verificaron contra</w:t>
      </w:r>
      <w:r>
        <w:t xml:space="preserve"> </w:t>
      </w:r>
      <w:r>
        <w:rPr>
          <w:rStyle w:val="VerbatimChar"/>
        </w:rPr>
        <w:t xml:space="preserve">tests/insulin-cases.test.mjs</w:t>
      </w:r>
      <w:r>
        <w:t xml:space="preserve"> </w:t>
      </w:r>
      <w:r>
        <w:t xml:space="preserve">y</w:t>
      </w:r>
      <w:r>
        <w:t xml:space="preserve"> </w:t>
      </w:r>
      <w:r>
        <w:rPr>
          <w:rStyle w:val="VerbatimChar"/>
        </w:rPr>
        <w:t xml:space="preserve">tests/screening-cases.test.mjs</w:t>
      </w:r>
      <w:r>
        <w:t xml:space="preserve"> </w:t>
      </w:r>
      <w:r>
        <w:t xml:space="preserve">(únicos archivos de prueba que referencian estos dos módulos, confirmado por búsqueda en</w:t>
      </w:r>
      <w:r>
        <w:t xml:space="preserve"> </w:t>
      </w:r>
      <w:r>
        <w:rPr>
          <w:rStyle w:val="VerbatimChar"/>
        </w:rPr>
        <w:t xml:space="preserve">tests/*.test.mjs</w:t>
      </w:r>
      <w:r>
        <w:t xml:space="preserve">).</w:t>
      </w:r>
    </w:p>
    <w:p>
      <w:pPr>
        <w:pStyle w:val="BodyText"/>
      </w:pPr>
      <w:r>
        <w:rPr>
          <w:b/>
        </w:rPr>
        <w:t xml:space="preserve">Nota metodológica:</w:t>
      </w:r>
      <w:r>
        <w:t xml:space="preserve"> </w:t>
      </w:r>
      <w:r>
        <w:t xml:space="preserve">este análisis se limita a</w:t>
      </w:r>
      <w:r>
        <w:t xml:space="preserve"> </w:t>
      </w:r>
      <w:r>
        <w:rPr>
          <w:rStyle w:val="VerbatimChar"/>
        </w:rPr>
        <w:t xml:space="preserve">insulin.js</w:t>
      </w:r>
      <w:r>
        <w:t xml:space="preserve"> </w:t>
      </w:r>
      <w:r>
        <w:t xml:space="preserve">y</w:t>
      </w:r>
      <w:r>
        <w:t xml:space="preserve"> </w:t>
      </w:r>
      <w:r>
        <w:rPr>
          <w:rStyle w:val="VerbatimChar"/>
        </w:rPr>
        <w:t xml:space="preserve">screening.js</w:t>
      </w:r>
      <w:r>
        <w:t xml:space="preserve">. Cuando una regla reutiliza una cifra definida en otro archivo (</w:t>
      </w:r>
      <w:r>
        <w:rPr>
          <w:rStyle w:val="VerbatimChar"/>
        </w:rPr>
        <w:t xml:space="preserve">pharma-db.js</w:t>
      </w:r>
      <w:r>
        <w:t xml:space="preserve">,</w:t>
      </w:r>
      <w:r>
        <w:t xml:space="preserve"> </w:t>
      </w:r>
      <w:r>
        <w:rPr>
          <w:rStyle w:val="VerbatimChar"/>
        </w:rPr>
        <w:t xml:space="preserve">individualization.js</w:t>
      </w:r>
      <w:r>
        <w:t xml:space="preserve">), se documenta como reutilización y se marca la versión de esa fuente externa como</w:t>
      </w:r>
      <w:r>
        <w:t xml:space="preserve"> </w:t>
      </w:r>
      <w:r>
        <w:t xml:space="preserve">“</w:t>
      </w:r>
      <w:r>
        <w:t xml:space="preserve">No especificada en el código — pendiente de documentar</w:t>
      </w:r>
      <w:r>
        <w:t xml:space="preserve">”</w:t>
      </w:r>
      <w:r>
        <w:t xml:space="preserve">, porque esos archivos no fueron leídos en este análisis y no se debe inventar su contenido.</w:t>
      </w:r>
    </w:p>
    <w:p>
      <w:pPr>
        <w:pStyle w:val="BodyText"/>
      </w:pPr>
      <w:r>
        <w:t xml:space="preserve">Al final del documento hay un resumen de los</w:t>
      </w:r>
      <w:r>
        <w:t xml:space="preserve"> </w:t>
      </w:r>
      <w:r>
        <w:rPr>
          <w:b/>
        </w:rPr>
        <w:t xml:space="preserve">huecos honestos</w:t>
      </w:r>
      <w:r>
        <w:t xml:space="preserve"> </w:t>
      </w:r>
      <w:r>
        <w:t xml:space="preserve">(comportamientos silenciosos, simplificaciones no forzadas por guardas, o guardas que son solo texto educativo y no lógica ejecutable) encontrados durante la lectura completa del código.</w:t>
      </w:r>
    </w:p>
    <w:p>
      <w:r>
        <w:pict>
          <v:rect style="width:0;height:1.5pt" o:hralign="center" o:hrstd="t" o:hr="t"/>
        </w:pict>
      </w:r>
    </w:p>
    <w:p>
      <w:pPr>
        <w:pStyle w:val="Heading1"/>
      </w:pPr>
      <w:bookmarkStart w:id="166" w:name="X9b2ce82449236d4aea3e1329f8f759be4a0fd80"/>
      <w:r>
        <w:t xml:space="preserve">SECCIÓN 1 — EndoInsulin (dosificación de insulina)</w:t>
      </w:r>
      <w:bookmarkEnd w:id="166"/>
    </w:p>
    <w:p>
      <w:pPr>
        <w:pStyle w:val="Heading2"/>
      </w:pPr>
      <w:bookmarkStart w:id="167" w:name="Xac5c17cb193087d9cf0bfafb46d291278c34201"/>
      <w:r>
        <w:t xml:space="preserve">Regla 1 — Dosis de insulina basal, paciente insulino-virgen (0.1–0.2 UI/kg/día)</w:t>
      </w:r>
      <w:bookmarkEnd w:id="167"/>
    </w:p>
    <w:p>
      <w:pPr>
        <w:numPr>
          <w:ilvl w:val="0"/>
          <w:numId w:val="1122"/>
        </w:numPr>
        <w:pStyle w:val="Compact"/>
      </w:pPr>
      <w:r>
        <w:rPr>
          <w:b/>
        </w:rPr>
        <w:t xml:space="preserve">Qué hace:</w:t>
      </w:r>
      <w:r>
        <w:t xml:space="preserve"> </w:t>
      </w:r>
      <w:r>
        <w:rPr>
          <w:rStyle w:val="VerbatimChar"/>
        </w:rPr>
        <w:t xml:space="preserve">computeBasalInsulinDose(p)</w:t>
      </w:r>
      <w:r>
        <w:t xml:space="preserve"> </w:t>
      </w:r>
      <w:r>
        <w:t xml:space="preserve">— si el paciente no tiene insulina basal activa (</w:t>
      </w:r>
      <w:r>
        <w:rPr>
          <w:rStyle w:val="VerbatimChar"/>
        </w:rPr>
        <w:t xml:space="preserve">!tieneBasalActiva(p)</w:t>
      </w:r>
      <w:r>
        <w:t xml:space="preserve">), retorna</w:t>
      </w:r>
      <w:r>
        <w:t xml:space="preserve"> </w:t>
      </w:r>
      <w:r>
        <w:rPr>
          <w:rStyle w:val="VerbatimChar"/>
        </w:rPr>
        <w:t xml:space="preserve">estado: "virgen"</w:t>
      </w:r>
      <w:r>
        <w:t xml:space="preserve"> </w:t>
      </w:r>
      <w:r>
        <w:t xml:space="preserve">con</w:t>
      </w:r>
      <w:r>
        <w:t xml:space="preserve"> </w:t>
      </w:r>
      <w:r>
        <w:rPr>
          <w:rStyle w:val="VerbatimChar"/>
        </w:rPr>
        <w:t xml:space="preserve">dosisMinUI = peso × 0.1</w:t>
      </w:r>
      <w:r>
        <w:t xml:space="preserve"> </w:t>
      </w:r>
      <w:r>
        <w:t xml:space="preserve">y</w:t>
      </w:r>
      <w:r>
        <w:t xml:space="preserve"> </w:t>
      </w:r>
      <w:r>
        <w:rPr>
          <w:rStyle w:val="VerbatimChar"/>
        </w:rPr>
        <w:t xml:space="preserve">dosisMaxUI = peso × 0.2</w:t>
      </w:r>
      <w:r>
        <w:t xml:space="preserve"> </w:t>
      </w:r>
      <w:r>
        <w:t xml:space="preserve">(redondeado a 1 decimal).</w:t>
      </w:r>
    </w:p>
    <w:p>
      <w:pPr>
        <w:numPr>
          <w:ilvl w:val="0"/>
          <w:numId w:val="1122"/>
        </w:numPr>
        <w:pStyle w:val="Compact"/>
      </w:pPr>
      <w:r>
        <w:rPr>
          <w:b/>
        </w:rPr>
        <w:t xml:space="preserve">Por qué:</w:t>
      </w:r>
      <w:r>
        <w:t xml:space="preserve"> </w:t>
      </w:r>
      <w:r>
        <w:t xml:space="preserve">dosis de inicio conservadora estándar para no partir con una dosis de riesgo en un paciente sin exposición previa a insulina.</w:t>
      </w:r>
    </w:p>
    <w:p>
      <w:pPr>
        <w:numPr>
          <w:ilvl w:val="0"/>
          <w:numId w:val="1122"/>
        </w:numPr>
        <w:pStyle w:val="Compact"/>
      </w:pPr>
      <w:r>
        <w:rPr>
          <w:b/>
        </w:rPr>
        <w:t xml:space="preserve">Fuente:</w:t>
      </w:r>
      <w:r>
        <w:t xml:space="preserve"> </w:t>
      </w:r>
      <w:r>
        <w:t xml:space="preserve">reutilización explícita de la dosis ya documentada en</w:t>
      </w:r>
      <w:r>
        <w:t xml:space="preserve"> </w:t>
      </w:r>
      <w:r>
        <w:rPr>
          <w:rStyle w:val="VerbatimChar"/>
        </w:rPr>
        <w:t xml:space="preserve">pharma-db.js</w:t>
      </w:r>
      <w:r>
        <w:t xml:space="preserve"> </w:t>
      </w:r>
      <w:r>
        <w:t xml:space="preserve">para Glargina/Degludec/Detemir/NPH (</w:t>
      </w:r>
      <w:r>
        <w:t xml:space="preserve">“</w:t>
      </w:r>
      <w:r>
        <w:t xml:space="preserve">MISMA cifra… no se inventa un número nuevo, se REUTILIZA</w:t>
      </w:r>
      <w:r>
        <w:t xml:space="preserve">”</w:t>
      </w:r>
      <w:r>
        <w:t xml:space="preserve">), multiplicada por el peso real. No se cita una guía ADA/AACE específica para esta cifra dentro de</w:t>
      </w:r>
      <w:r>
        <w:t xml:space="preserve"> </w:t>
      </w:r>
      <w:r>
        <w:rPr>
          <w:rStyle w:val="VerbatimChar"/>
        </w:rPr>
        <w:t xml:space="preserve">insulin.js</w:t>
      </w:r>
      <w:r>
        <w:t xml:space="preserve"> </w:t>
      </w:r>
      <w:r>
        <w:t xml:space="preserve">— la cita es al Compendio farmacológico interno del expediente.</w:t>
      </w:r>
    </w:p>
    <w:p>
      <w:pPr>
        <w:numPr>
          <w:ilvl w:val="0"/>
          <w:numId w:val="1122"/>
        </w:numPr>
        <w:pStyle w:val="Compact"/>
      </w:pPr>
      <w:r>
        <w:rPr>
          <w:b/>
        </w:rPr>
        <w:t xml:space="preserve">Versión de la fuente:</w:t>
      </w:r>
      <w:r>
        <w:t xml:space="preserve"> </w:t>
      </w:r>
      <w:r>
        <w:t xml:space="preserve">No especificada en el código — pendiente de documentar (versión/edición del Compendio en</w:t>
      </w:r>
      <w:r>
        <w:t xml:space="preserve"> </w:t>
      </w:r>
      <w:r>
        <w:rPr>
          <w:rStyle w:val="VerbatimChar"/>
        </w:rPr>
        <w:t xml:space="preserve">pharma-db.js</w:t>
      </w:r>
      <w:r>
        <w:t xml:space="preserve">, no leído en este análisis).</w:t>
      </w:r>
    </w:p>
    <w:p>
      <w:pPr>
        <w:numPr>
          <w:ilvl w:val="0"/>
          <w:numId w:val="1122"/>
        </w:numPr>
        <w:pStyle w:val="Compact"/>
      </w:pPr>
      <w:r>
        <w:rPr>
          <w:b/>
        </w:rPr>
        <w:t xml:space="preserve">Fecha de revisión:</w:t>
      </w:r>
      <w:r>
        <w:t xml:space="preserve"> </w:t>
      </w:r>
      <w:r>
        <w:t xml:space="preserve">10-ago-2026 (encabezado del módulo).</w:t>
      </w:r>
    </w:p>
    <w:p>
      <w:pPr>
        <w:numPr>
          <w:ilvl w:val="0"/>
          <w:numId w:val="1122"/>
        </w:numPr>
        <w:pStyle w:val="Compact"/>
      </w:pPr>
      <w:r>
        <w:rPr>
          <w:b/>
        </w:rPr>
        <w:t xml:space="preserve">Quién revisó:</w:t>
      </w:r>
      <w:r>
        <w:t xml:space="preserve"> </w:t>
      </w:r>
      <w:r>
        <w:t xml:space="preserve">Dr. Ortega (regla</w:t>
      </w:r>
      <w:r>
        <w:t xml:space="preserve"> </w:t>
      </w:r>
      <w:r>
        <w:t xml:space="preserve">“</w:t>
      </w:r>
      <w:r>
        <w:t xml:space="preserve">confirmada con el Dr. Ortega, textualmente</w:t>
      </w:r>
      <w:r>
        <w:t xml:space="preserve">”</w:t>
      </w:r>
      <w:r>
        <w:t xml:space="preserve">).</w:t>
      </w:r>
    </w:p>
    <w:p>
      <w:pPr>
        <w:numPr>
          <w:ilvl w:val="0"/>
          <w:numId w:val="1122"/>
        </w:numPr>
        <w:pStyle w:val="Compact"/>
      </w:pPr>
      <w:r>
        <w:rPr>
          <w:b/>
        </w:rPr>
        <w:t xml:space="preserve">Qué casos la validan:</w:t>
      </w:r>
      <w:r>
        <w:t xml:space="preserve"> </w:t>
      </w:r>
      <w:r>
        <w:rPr>
          <w:rStyle w:val="VerbatimChar"/>
        </w:rPr>
        <w:t xml:space="preserve">I1</w:t>
      </w:r>
      <w:r>
        <w:t xml:space="preserve"> </w:t>
      </w:r>
      <w:r>
        <w:t xml:space="preserve">en</w:t>
      </w:r>
      <w:r>
        <w:t xml:space="preserve"> </w:t>
      </w:r>
      <w:r>
        <w:rPr>
          <w:rStyle w:val="VerbatimChar"/>
        </w:rPr>
        <w:t xml:space="preserve">insulin-cases.test.mjs</w:t>
      </w:r>
      <w:r>
        <w:t xml:space="preserve"> </w:t>
      </w:r>
      <w:r>
        <w:t xml:space="preserve">— paciente virgen, 80 kg → 8–16 UI/día.</w:t>
      </w:r>
    </w:p>
    <w:p>
      <w:pPr>
        <w:numPr>
          <w:ilvl w:val="0"/>
          <w:numId w:val="1122"/>
        </w:numPr>
        <w:pStyle w:val="Compact"/>
      </w:pPr>
      <w:r>
        <w:rPr>
          <w:b/>
        </w:rPr>
        <w:t xml:space="preserve">Qué excepciones tiene:</w:t>
      </w:r>
      <w:r>
        <w:t xml:space="preserve"> </w:t>
      </w:r>
      <w:r>
        <w:t xml:space="preserve">ninguna excepción clínica automática en el cálculo (no hay ajuste por función renal, edad extrema o embarazo dentro de esta función). El contenido educativo del panel (</w:t>
      </w:r>
      <w:r>
        <w:rPr>
          <w:rStyle w:val="VerbatimChar"/>
        </w:rPr>
        <w:t xml:space="preserve">buildEducativoHTML</w:t>
      </w:r>
      <w:r>
        <w:t xml:space="preserve">) sí advierte sobre situaciones que obligan a reducir dosis, pero es texto informativo — no modifica el número calculado.</w:t>
      </w:r>
    </w:p>
    <w:p>
      <w:pPr>
        <w:numPr>
          <w:ilvl w:val="0"/>
          <w:numId w:val="1122"/>
        </w:numPr>
        <w:pStyle w:val="Compact"/>
      </w:pPr>
      <w:r>
        <w:rPr>
          <w:b/>
        </w:rPr>
        <w:t xml:space="preserve">Qué ocurre si faltan datos:</w:t>
      </w:r>
      <w:r>
        <w:t xml:space="preserve"> </w:t>
      </w:r>
      <w:r>
        <w:t xml:space="preserve">si</w:t>
      </w:r>
      <w:r>
        <w:t xml:space="preserve"> </w:t>
      </w:r>
      <w:r>
        <w:rPr>
          <w:rStyle w:val="VerbatimChar"/>
        </w:rPr>
        <w:t xml:space="preserve">peso &lt;= 0</w:t>
      </w:r>
      <w:r>
        <w:t xml:space="preserve">, retorna</w:t>
      </w:r>
      <w:r>
        <w:t xml:space="preserve"> </w:t>
      </w:r>
      <w:r>
        <w:rPr>
          <w:rStyle w:val="VerbatimChar"/>
        </w:rPr>
        <w:t xml:space="preserve">{ estado: "sin_peso" }</w:t>
      </w:r>
      <w:r>
        <w:t xml:space="preserve"> </w:t>
      </w:r>
      <w:r>
        <w:t xml:space="preserve">sin calcular ninguna dosis — guarda explícita y segura (línea 148 de</w:t>
      </w:r>
      <w:r>
        <w:t xml:space="preserve"> </w:t>
      </w:r>
      <w:r>
        <w:rPr>
          <w:rStyle w:val="VerbatimChar"/>
        </w:rPr>
        <w:t xml:space="preserve">insulin.js</w:t>
      </w:r>
      <w:r>
        <w:t xml:space="preserve">).</w:t>
      </w:r>
    </w:p>
    <w:p>
      <w:pPr>
        <w:numPr>
          <w:ilvl w:val="0"/>
          <w:numId w:val="1122"/>
        </w:numPr>
        <w:pStyle w:val="Compact"/>
      </w:pPr>
      <w:r>
        <w:rPr>
          <w:b/>
        </w:rPr>
        <w:t xml:space="preserve">Qué ocurre si dos guías discrepan:</w:t>
      </w:r>
      <w:r>
        <w:t xml:space="preserve"> </w:t>
      </w:r>
      <w:r>
        <w:t xml:space="preserve">No aplica / sin discrepancia documentada para esta regla.</w:t>
      </w:r>
    </w:p>
    <w:p>
      <w:pPr>
        <w:pStyle w:val="Heading2"/>
      </w:pPr>
      <w:bookmarkStart w:id="168" w:name="X2d47c264f11a30d592afca6f4f330c516491e32"/>
      <w:r>
        <w:t xml:space="preserve">Regla 2 — Dosis basal establecida y NO en metas → escalar hacia 0.5 UI/kg/día</w:t>
      </w:r>
      <w:bookmarkEnd w:id="168"/>
    </w:p>
    <w:p>
      <w:pPr>
        <w:numPr>
          <w:ilvl w:val="0"/>
          <w:numId w:val="1123"/>
        </w:numPr>
        <w:pStyle w:val="Compact"/>
      </w:pPr>
      <w:r>
        <w:rPr>
          <w:b/>
        </w:rPr>
        <w:t xml:space="preserve">Qué hace:</w:t>
      </w:r>
      <w:r>
        <w:t xml:space="preserve"> </w:t>
      </w:r>
      <w:r>
        <w:t xml:space="preserve">si el paciente ya tiene basal activa y (</w:t>
      </w:r>
      <w:r>
        <w:rPr>
          <w:rStyle w:val="VerbatimChar"/>
        </w:rPr>
        <w:t xml:space="preserve">a1cEnMeta === false</w:t>
      </w:r>
      <w:r>
        <w:t xml:space="preserve"> </w:t>
      </w:r>
      <w:r>
        <w:t xml:space="preserve">o</w:t>
      </w:r>
      <w:r>
        <w:t xml:space="preserve"> </w:t>
      </w:r>
      <w:r>
        <w:rPr>
          <w:rStyle w:val="VerbatimChar"/>
        </w:rPr>
        <w:t xml:space="preserve">basalInsuficiente</w:t>
      </w:r>
      <w:r>
        <w:t xml:space="preserve">), retorna</w:t>
      </w:r>
      <w:r>
        <w:t xml:space="preserve"> </w:t>
      </w:r>
      <w:r>
        <w:rPr>
          <w:rStyle w:val="VerbatimChar"/>
        </w:rPr>
        <w:t xml:space="preserve">estado: "establecida_no_en_metas"</w:t>
      </w:r>
      <w:r>
        <w:t xml:space="preserve"> </w:t>
      </w:r>
      <w:r>
        <w:t xml:space="preserve">con</w:t>
      </w:r>
      <w:r>
        <w:t xml:space="preserve"> </w:t>
      </w:r>
      <w:r>
        <w:rPr>
          <w:rStyle w:val="VerbatimChar"/>
        </w:rPr>
        <w:t xml:space="preserve">dosisObjetivoUI = peso × 0.5</w:t>
      </w:r>
      <w:r>
        <w:t xml:space="preserve"> </w:t>
      </w:r>
      <w:r>
        <w:t xml:space="preserve">como techo sugerido antes de intensificar.</w:t>
      </w:r>
    </w:p>
    <w:p>
      <w:pPr>
        <w:numPr>
          <w:ilvl w:val="0"/>
          <w:numId w:val="1123"/>
        </w:numPr>
        <w:pStyle w:val="Compact"/>
      </w:pPr>
      <w:r>
        <w:rPr>
          <w:b/>
        </w:rPr>
        <w:t xml:space="preserve">Por qué:</w:t>
      </w:r>
      <w:r>
        <w:t xml:space="preserve"> </w:t>
      </w:r>
      <w:r>
        <w:t xml:space="preserve">escalonamiento estándar cuando la basal actual no controla A1c ni glucosa en ayuno/nocturna.</w:t>
      </w:r>
    </w:p>
    <w:p>
      <w:pPr>
        <w:numPr>
          <w:ilvl w:val="0"/>
          <w:numId w:val="1123"/>
        </w:numPr>
        <w:pStyle w:val="Compact"/>
      </w:pPr>
      <w:r>
        <w:rPr>
          <w:b/>
        </w:rPr>
        <w:t xml:space="preserve">Fuente:</w:t>
      </w:r>
      <w:r>
        <w:t xml:space="preserve"> </w:t>
      </w:r>
      <w:r>
        <w:t xml:space="preserve">regla dada textualmente por el Dr. Ortega; no se cita una guía externa para el valor de techo 0.5 UI/kg.</w:t>
      </w:r>
    </w:p>
    <w:p>
      <w:pPr>
        <w:numPr>
          <w:ilvl w:val="0"/>
          <w:numId w:val="1123"/>
        </w:numPr>
        <w:pStyle w:val="Compact"/>
      </w:pPr>
      <w:r>
        <w:rPr>
          <w:b/>
        </w:rPr>
        <w:t xml:space="preserve">Versión de la fuente:</w:t>
      </w:r>
      <w:r>
        <w:t xml:space="preserve"> </w:t>
      </w:r>
      <w:r>
        <w:t xml:space="preserve">No especificada en el código — pendiente de documentar.</w:t>
      </w:r>
    </w:p>
    <w:p>
      <w:pPr>
        <w:numPr>
          <w:ilvl w:val="0"/>
          <w:numId w:val="1123"/>
        </w:numPr>
        <w:pStyle w:val="Compact"/>
      </w:pPr>
      <w:r>
        <w:rPr>
          <w:b/>
        </w:rPr>
        <w:t xml:space="preserve">Fecha de revisión:</w:t>
      </w:r>
      <w:r>
        <w:t xml:space="preserve"> </w:t>
      </w:r>
      <w:r>
        <w:t xml:space="preserve">10-ago-2026 (regla original); 11-ago-2026 (ajuste del umbral de A1c asociado, ver Regla 12).</w:t>
      </w:r>
    </w:p>
    <w:p>
      <w:pPr>
        <w:numPr>
          <w:ilvl w:val="0"/>
          <w:numId w:val="1123"/>
        </w:numPr>
        <w:pStyle w:val="Compact"/>
      </w:pPr>
      <w:r>
        <w:rPr>
          <w:b/>
        </w:rPr>
        <w:t xml:space="preserve">Quién revisó:</w:t>
      </w:r>
      <w:r>
        <w:t xml:space="preserve"> </w:t>
      </w:r>
      <w:r>
        <w:t xml:space="preserve">Dr. Ortega.</w:t>
      </w:r>
    </w:p>
    <w:p>
      <w:pPr>
        <w:numPr>
          <w:ilvl w:val="0"/>
          <w:numId w:val="1123"/>
        </w:numPr>
        <w:pStyle w:val="Compact"/>
      </w:pPr>
      <w:r>
        <w:rPr>
          <w:b/>
        </w:rPr>
        <w:t xml:space="preserve">Qué casos la validan:</w:t>
      </w:r>
      <w:r>
        <w:t xml:space="preserve"> </w:t>
      </w:r>
      <w:r>
        <w:rPr>
          <w:rStyle w:val="VerbatimChar"/>
        </w:rPr>
        <w:t xml:space="preserve">I2</w:t>
      </w:r>
      <w:r>
        <w:t xml:space="preserve"> </w:t>
      </w:r>
      <w:r>
        <w:t xml:space="preserve">— A1c 9.0% (meta 7.0%) →</w:t>
      </w:r>
      <w:r>
        <w:t xml:space="preserve"> </w:t>
      </w:r>
      <w:r>
        <w:rPr>
          <w:rStyle w:val="VerbatimChar"/>
        </w:rPr>
        <w:t xml:space="preserve">dosisObjetivoUI = 40</w:t>
      </w:r>
      <w:r>
        <w:t xml:space="preserve"> </w:t>
      </w:r>
      <w:r>
        <w:t xml:space="preserve">(peso 80 kg × 0.5).</w:t>
      </w:r>
    </w:p>
    <w:p>
      <w:pPr>
        <w:numPr>
          <w:ilvl w:val="0"/>
          <w:numId w:val="1123"/>
        </w:numPr>
        <w:pStyle w:val="Compact"/>
      </w:pPr>
      <w:r>
        <w:rPr>
          <w:b/>
        </w:rPr>
        <w:t xml:space="preserve">Qué excepciones tiene:</w:t>
      </w:r>
      <w:r>
        <w:t xml:space="preserve"> </w:t>
      </w:r>
      <w:r>
        <w:rPr>
          <w:b/>
        </w:rPr>
        <w:t xml:space="preserve">riesgo de orden de evaluación identificado en el código:</w:t>
      </w:r>
      <w:r>
        <w:t xml:space="preserve"> </w:t>
      </w:r>
      <w:r>
        <w:rPr>
          <w:rStyle w:val="VerbatimChar"/>
        </w:rPr>
        <w:t xml:space="preserve">computeBasalInsulinDose</w:t>
      </w:r>
      <w:r>
        <w:t xml:space="preserve"> </w:t>
      </w:r>
      <w:r>
        <w:t xml:space="preserve">evalúa</w:t>
      </w:r>
      <w:r>
        <w:t xml:space="preserve"> </w:t>
      </w:r>
      <w:r>
        <w:rPr>
          <w:rStyle w:val="VerbatimChar"/>
        </w:rPr>
        <w:t xml:space="preserve">a1cEnMeta === false || basalInsuficiente</w:t>
      </w:r>
      <w:r>
        <w:t xml:space="preserve"> </w:t>
      </w:r>
      <w:r>
        <w:t xml:space="preserve">(línea 168)</w:t>
      </w:r>
      <w:r>
        <w:t xml:space="preserve"> </w:t>
      </w:r>
      <w:r>
        <w:rPr>
          <w:i/>
        </w:rPr>
        <w:t xml:space="preserve">antes</w:t>
      </w:r>
      <w:r>
        <w:t xml:space="preserve"> </w:t>
      </w:r>
      <w:r>
        <w:t xml:space="preserve">de evaluar</w:t>
      </w:r>
      <w:r>
        <w:t xml:space="preserve"> </w:t>
      </w:r>
      <w:r>
        <w:rPr>
          <w:rStyle w:val="VerbatimChar"/>
        </w:rPr>
        <w:t xml:space="preserve">basalExcesiva</w:t>
      </w:r>
      <w:r>
        <w:t xml:space="preserve"> </w:t>
      </w:r>
      <w:r>
        <w:t xml:space="preserve">(línea 176). Si un paciente presenta simultáneamente ayuno elevado (basal insuficiente) y glucosa nocturna en hipoglucemia (basal excesiva) — un escenario clínicamente plausible de variabilidad glucémica —, el sistema devuelve</w:t>
      </w:r>
      <w:r>
        <w:t xml:space="preserve"> </w:t>
      </w:r>
      <w:r>
        <w:rPr>
          <w:rStyle w:val="VerbatimChar"/>
        </w:rPr>
        <w:t xml:space="preserve">"establecida_no_en_metas"</w:t>
      </w:r>
      <w:r>
        <w:t xml:space="preserve"> </w:t>
      </w:r>
      <w:r>
        <w:t xml:space="preserve">(sugerir escalar la dosis) en vez de</w:t>
      </w:r>
      <w:r>
        <w:t xml:space="preserve"> </w:t>
      </w:r>
      <w:r>
        <w:rPr>
          <w:rStyle w:val="VerbatimChar"/>
        </w:rPr>
        <w:t xml:space="preserve">"establecida_riesgo_hipoglucemia"</w:t>
      </w:r>
      <w:r>
        <w:t xml:space="preserve">. No existe caso de prueba que cubra este escenario mixto.</w:t>
      </w:r>
    </w:p>
    <w:p>
      <w:pPr>
        <w:numPr>
          <w:ilvl w:val="0"/>
          <w:numId w:val="1123"/>
        </w:numPr>
        <w:pStyle w:val="Compact"/>
      </w:pPr>
      <w:r>
        <w:rPr>
          <w:b/>
        </w:rPr>
        <w:t xml:space="preserve">Qué ocurre si faltan datos:</w:t>
      </w:r>
      <w:r>
        <w:t xml:space="preserve"> </w:t>
      </w:r>
      <w:r>
        <w:t xml:space="preserve">si no hay A1c capturada ni señales de glucosa (</w:t>
      </w:r>
      <w:r>
        <w:rPr>
          <w:rStyle w:val="VerbatimChar"/>
        </w:rPr>
        <w:t xml:space="preserve">a1cEnMeta === null &amp;&amp; !basalInsuficiente &amp;&amp; !basalExcesiva</w:t>
      </w:r>
      <w:r>
        <w:t xml:space="preserve">), retorna</w:t>
      </w:r>
      <w:r>
        <w:t xml:space="preserve"> </w:t>
      </w:r>
      <w:r>
        <w:rPr>
          <w:rStyle w:val="VerbatimChar"/>
        </w:rPr>
        <w:t xml:space="preserve">"establecida_sin_datos_de_control"</w:t>
      </w:r>
      <w:r>
        <w:t xml:space="preserve"> </w:t>
      </w:r>
      <w:r>
        <w:t xml:space="preserve">sin proponer ninguna dosis — no inventa un número.</w:t>
      </w:r>
    </w:p>
    <w:p>
      <w:pPr>
        <w:numPr>
          <w:ilvl w:val="0"/>
          <w:numId w:val="1123"/>
        </w:numPr>
        <w:pStyle w:val="Compact"/>
      </w:pPr>
      <w:r>
        <w:rPr>
          <w:b/>
        </w:rPr>
        <w:t xml:space="preserve">Qué ocurre si dos guías discrepan:</w:t>
      </w:r>
      <w:r>
        <w:t xml:space="preserve"> </w:t>
      </w:r>
      <w:r>
        <w:t xml:space="preserve">No aplica / sin discrepancia documentada para esta regla.</w:t>
      </w:r>
    </w:p>
    <w:p>
      <w:pPr>
        <w:pStyle w:val="Heading2"/>
      </w:pPr>
      <w:bookmarkStart w:id="169" w:name="X924516f885afb1dad3a6cba446675af36381b58"/>
      <w:r>
        <w:t xml:space="preserve">Regla 3 — Dosis basal establecida con riesgo de hipoglucemia → reducir</w:t>
      </w:r>
      <w:bookmarkEnd w:id="169"/>
    </w:p>
    <w:p>
      <w:pPr>
        <w:numPr>
          <w:ilvl w:val="0"/>
          <w:numId w:val="1124"/>
        </w:numPr>
        <w:pStyle w:val="Compact"/>
      </w:pPr>
      <w:r>
        <w:rPr>
          <w:b/>
        </w:rPr>
        <w:t xml:space="preserve">Qué hace:</w:t>
      </w:r>
      <w:r>
        <w:t xml:space="preserve"> </w:t>
      </w:r>
      <w:r>
        <w:t xml:space="preserve">si</w:t>
      </w:r>
      <w:r>
        <w:t xml:space="preserve"> </w:t>
      </w:r>
      <w:r>
        <w:rPr>
          <w:rStyle w:val="VerbatimChar"/>
        </w:rPr>
        <w:t xml:space="preserve">basalExcesiva</w:t>
      </w:r>
      <w:r>
        <w:t xml:space="preserve"> </w:t>
      </w:r>
      <w:r>
        <w:t xml:space="preserve">(ayuno y/o nocturna en hipoglucemia Nivel 1/2 o</w:t>
      </w:r>
      <w:r>
        <w:t xml:space="preserve"> </w:t>
      </w:r>
      <w:r>
        <w:t xml:space="preserve">“</w:t>
      </w:r>
      <w:r>
        <w:t xml:space="preserve">bajo meta</w:t>
      </w:r>
      <w:r>
        <w:t xml:space="preserve">”</w:t>
      </w:r>
      <w:r>
        <w:t xml:space="preserve">) y no se cumplió antes la condición de escalar, retorna</w:t>
      </w:r>
      <w:r>
        <w:t xml:space="preserve"> </w:t>
      </w:r>
      <w:r>
        <w:rPr>
          <w:rStyle w:val="VerbatimChar"/>
        </w:rPr>
        <w:t xml:space="preserve">estado: "establecida_riesgo_hipoglucemia"</w:t>
      </w:r>
      <w:r>
        <w:t xml:space="preserve"> </w:t>
      </w:r>
      <w:r>
        <w:t xml:space="preserve">con el mensaje</w:t>
      </w:r>
      <w:r>
        <w:t xml:space="preserve"> </w:t>
      </w:r>
      <w:r>
        <w:t xml:space="preserve">“</w:t>
      </w:r>
      <w:r>
        <w:t xml:space="preserve">considerar REDUCIR la dosis basal actual antes de cualquier otro ajuste</w:t>
      </w:r>
      <w:r>
        <w:t xml:space="preserve">”</w:t>
      </w:r>
      <w:r>
        <w:t xml:space="preserve"> </w:t>
      </w:r>
      <w:r>
        <w:t xml:space="preserve">—</w:t>
      </w:r>
      <w:r>
        <w:t xml:space="preserve"> </w:t>
      </w:r>
      <w:r>
        <w:rPr>
          <w:b/>
        </w:rPr>
        <w:t xml:space="preserve">sin</w:t>
      </w:r>
      <w:r>
        <w:t xml:space="preserve"> </w:t>
      </w:r>
      <w:r>
        <w:t xml:space="preserve">un número de reducción concreto.</w:t>
      </w:r>
    </w:p>
    <w:p>
      <w:pPr>
        <w:numPr>
          <w:ilvl w:val="0"/>
          <w:numId w:val="1124"/>
        </w:numPr>
        <w:pStyle w:val="Compact"/>
      </w:pPr>
      <w:r>
        <w:rPr>
          <w:b/>
        </w:rPr>
        <w:t xml:space="preserve">Por qué:</w:t>
      </w:r>
      <w:r>
        <w:t xml:space="preserve"> </w:t>
      </w:r>
      <w:r>
        <w:t xml:space="preserve">seguridad — no recomendar más insulina cuando hay evidencia de hipoglucemia en los puntos que controla la basal.</w:t>
      </w:r>
    </w:p>
    <w:p>
      <w:pPr>
        <w:numPr>
          <w:ilvl w:val="0"/>
          <w:numId w:val="1124"/>
        </w:numPr>
        <w:pStyle w:val="Compact"/>
      </w:pPr>
      <w:r>
        <w:rPr>
          <w:b/>
        </w:rPr>
        <w:t xml:space="preserve">Fuente:</w:t>
      </w:r>
      <w:r>
        <w:t xml:space="preserve"> </w:t>
      </w:r>
      <w:r>
        <w:t xml:space="preserve">regla clínica dada por el Dr. Ortega. No cita un porcentaje de reducción (a diferencia del contenido educativo del panel, que sí sugiere</w:t>
      </w:r>
      <w:r>
        <w:t xml:space="preserve"> </w:t>
      </w:r>
      <w:r>
        <w:t xml:space="preserve">“</w:t>
      </w:r>
      <w:r>
        <w:t xml:space="preserve">bajar 10-20%</w:t>
      </w:r>
      <w:r>
        <w:t xml:space="preserve">”</w:t>
      </w:r>
      <w:r>
        <w:t xml:space="preserve"> </w:t>
      </w:r>
      <w:r>
        <w:t xml:space="preserve">— ver Regla 3, campo 8).</w:t>
      </w:r>
    </w:p>
    <w:p>
      <w:pPr>
        <w:numPr>
          <w:ilvl w:val="0"/>
          <w:numId w:val="1124"/>
        </w:numPr>
        <w:pStyle w:val="Compact"/>
      </w:pPr>
      <w:r>
        <w:rPr>
          <w:b/>
        </w:rPr>
        <w:t xml:space="preserve">Versión de la fuente:</w:t>
      </w:r>
      <w:r>
        <w:t xml:space="preserve"> </w:t>
      </w:r>
      <w:r>
        <w:t xml:space="preserve">No especificada en el código.</w:t>
      </w:r>
    </w:p>
    <w:p>
      <w:pPr>
        <w:numPr>
          <w:ilvl w:val="0"/>
          <w:numId w:val="1124"/>
        </w:numPr>
        <w:pStyle w:val="Compact"/>
      </w:pPr>
      <w:r>
        <w:rPr>
          <w:b/>
        </w:rPr>
        <w:t xml:space="preserve">Fecha de revisión:</w:t>
      </w:r>
      <w:r>
        <w:t xml:space="preserve"> </w:t>
      </w:r>
      <w:r>
        <w:t xml:space="preserve">10-ago-2026 / 11-ago-2026.</w:t>
      </w:r>
    </w:p>
    <w:p>
      <w:pPr>
        <w:numPr>
          <w:ilvl w:val="0"/>
          <w:numId w:val="1124"/>
        </w:numPr>
        <w:pStyle w:val="Compact"/>
      </w:pPr>
      <w:r>
        <w:rPr>
          <w:b/>
        </w:rPr>
        <w:t xml:space="preserve">Quién revisó:</w:t>
      </w:r>
      <w:r>
        <w:t xml:space="preserve"> </w:t>
      </w:r>
      <w:r>
        <w:t xml:space="preserve">Dr. Ortega.</w:t>
      </w:r>
    </w:p>
    <w:p>
      <w:pPr>
        <w:numPr>
          <w:ilvl w:val="0"/>
          <w:numId w:val="1124"/>
        </w:numPr>
        <w:pStyle w:val="Compact"/>
      </w:pPr>
      <w:r>
        <w:rPr>
          <w:b/>
        </w:rPr>
        <w:t xml:space="preserve">Qué casos la validan:</w:t>
      </w:r>
      <w:r>
        <w:t xml:space="preserve"> </w:t>
      </w:r>
      <w:r>
        <w:rPr>
          <w:rStyle w:val="VerbatimChar"/>
        </w:rPr>
        <w:t xml:space="preserve">I5</w:t>
      </w:r>
      <w:r>
        <w:t xml:space="preserve"> </w:t>
      </w:r>
      <w:r>
        <w:t xml:space="preserve">— ayuno = 60 mg/dL (hipoglucemia) →</w:t>
      </w:r>
      <w:r>
        <w:t xml:space="preserve"> </w:t>
      </w:r>
      <w:r>
        <w:rPr>
          <w:rStyle w:val="VerbatimChar"/>
        </w:rPr>
        <w:t xml:space="preserve">estado: "establecida_riesgo_hipoglucemia"</w:t>
      </w:r>
      <w:r>
        <w:t xml:space="preserve">.</w:t>
      </w:r>
    </w:p>
    <w:p>
      <w:pPr>
        <w:numPr>
          <w:ilvl w:val="0"/>
          <w:numId w:val="1124"/>
        </w:numPr>
        <w:pStyle w:val="Compact"/>
      </w:pPr>
      <w:r>
        <w:rPr>
          <w:b/>
        </w:rPr>
        <w:t xml:space="preserve">Qué excepciones tiene:</w:t>
      </w:r>
      <w:r>
        <w:t xml:space="preserve"> </w:t>
      </w:r>
      <w:r>
        <w:t xml:space="preserve">como se documenta en la Regla 2 (campo 8), esta rama de seguridad</w:t>
      </w:r>
      <w:r>
        <w:t xml:space="preserve"> </w:t>
      </w:r>
      <w:r>
        <w:rPr>
          <w:b/>
        </w:rPr>
        <w:t xml:space="preserve">solo se alcanza si</w:t>
      </w:r>
      <w:r>
        <w:rPr>
          <w:b/>
        </w:rPr>
        <w:t xml:space="preserve"> </w:t>
      </w:r>
      <w:r>
        <w:rPr>
          <w:rStyle w:val="VerbatimChar"/>
          <w:b/>
        </w:rPr>
        <w:t xml:space="preserve">basalInsuficiente</w:t>
      </w:r>
      <w:r>
        <w:rPr>
          <w:b/>
        </w:rPr>
        <w:t xml:space="preserve"> </w:t>
      </w:r>
      <w:r>
        <w:rPr>
          <w:b/>
        </w:rPr>
        <w:t xml:space="preserve">es</w:t>
      </w:r>
      <w:r>
        <w:rPr>
          <w:b/>
        </w:rPr>
        <w:t xml:space="preserve"> </w:t>
      </w:r>
      <w:r>
        <w:rPr>
          <w:rStyle w:val="VerbatimChar"/>
          <w:b/>
        </w:rPr>
        <w:t xml:space="preserve">false</w:t>
      </w:r>
      <w:r>
        <w:t xml:space="preserve">. En un caso mixto (ayuno elevado + nocturna hipoglucémica), el código no cae aquí — cae en</w:t>
      </w:r>
      <w:r>
        <w:t xml:space="preserve"> </w:t>
      </w:r>
      <w:r>
        <w:t xml:space="preserve">“</w:t>
      </w:r>
      <w:r>
        <w:t xml:space="preserve">escalar dosis</w:t>
      </w:r>
      <w:r>
        <w:t xml:space="preserve">”</w:t>
      </w:r>
      <w:r>
        <w:t xml:space="preserve">. Es la misma brecha, vista desde el lado del estado de seguridad que queda inalcanzable en ese escenario.</w:t>
      </w:r>
    </w:p>
    <w:p>
      <w:pPr>
        <w:numPr>
          <w:ilvl w:val="0"/>
          <w:numId w:val="1124"/>
        </w:numPr>
        <w:pStyle w:val="Compact"/>
      </w:pPr>
      <w:r>
        <w:rPr>
          <w:b/>
        </w:rPr>
        <w:t xml:space="preserve">Qué ocurre si faltan datos:</w:t>
      </w:r>
      <w:r>
        <w:t xml:space="preserve"> </w:t>
      </w:r>
      <w:r>
        <w:t xml:space="preserve">cubierto por la guarda de</w:t>
      </w:r>
      <w:r>
        <w:t xml:space="preserve"> </w:t>
      </w:r>
      <w:r>
        <w:rPr>
          <w:rStyle w:val="VerbatimChar"/>
        </w:rPr>
        <w:t xml:space="preserve">peso &lt;= 0</w:t>
      </w:r>
      <w:r>
        <w:t xml:space="preserve"> </w:t>
      </w:r>
      <w:r>
        <w:t xml:space="preserve">evaluada antes; si hay glucosa pero no A1c, el estado de hipoglucemia se detecta igual (depende solo de</w:t>
      </w:r>
      <w:r>
        <w:t xml:space="preserve"> </w:t>
      </w:r>
      <w:r>
        <w:rPr>
          <w:rStyle w:val="VerbatimChar"/>
        </w:rPr>
        <w:t xml:space="preserve">computeMonitoreo</w:t>
      </w:r>
      <w:r>
        <w:t xml:space="preserve">, no de A1c) — funciona de forma independiente y segura.</w:t>
      </w:r>
    </w:p>
    <w:p>
      <w:pPr>
        <w:numPr>
          <w:ilvl w:val="0"/>
          <w:numId w:val="1124"/>
        </w:numPr>
        <w:pStyle w:val="Compact"/>
      </w:pPr>
      <w:r>
        <w:rPr>
          <w:b/>
        </w:rPr>
        <w:t xml:space="preserve">Qué ocurre si dos guías discrepan:</w:t>
      </w:r>
      <w:r>
        <w:t xml:space="preserve"> </w:t>
      </w:r>
      <w:r>
        <w:t xml:space="preserve">No aplica / sin discrepancia documentada para esta regla.</w:t>
      </w:r>
    </w:p>
    <w:p>
      <w:pPr>
        <w:pStyle w:val="Heading2"/>
      </w:pPr>
      <w:bookmarkStart w:id="170" w:name="X13e2d4f80047c95b2b126795c191e2dda76ad18"/>
      <w:r>
        <w:t xml:space="preserve">Regla 4 — Metas glucémicas de referencia (ayuno/preprandial/posprandial)</w:t>
      </w:r>
      <w:bookmarkEnd w:id="170"/>
    </w:p>
    <w:p>
      <w:pPr>
        <w:numPr>
          <w:ilvl w:val="0"/>
          <w:numId w:val="1125"/>
        </w:numPr>
        <w:pStyle w:val="Compact"/>
      </w:pPr>
      <w:r>
        <w:rPr>
          <w:b/>
        </w:rPr>
        <w:t xml:space="preserve">Qué hace:</w:t>
      </w:r>
      <w:r>
        <w:t xml:space="preserve"> </w:t>
      </w:r>
      <w:r>
        <w:rPr>
          <w:rStyle w:val="VerbatimChar"/>
        </w:rPr>
        <w:t xml:space="preserve">computeGlucoseGoals(p)</w:t>
      </w:r>
      <w:r>
        <w:t xml:space="preserve"> </w:t>
      </w:r>
      <w:r>
        <w:t xml:space="preserve">obtiene el rango de ayuno desde</w:t>
      </w:r>
      <w:r>
        <w:t xml:space="preserve"> </w:t>
      </w:r>
      <w:r>
        <w:rPr>
          <w:rStyle w:val="VerbatimChar"/>
        </w:rPr>
        <w:t xml:space="preserve">getGlycemicAndBPGoals</w:t>
      </w:r>
      <w:r>
        <w:t xml:space="preserve"> </w:t>
      </w:r>
      <w:r>
        <w:t xml:space="preserve">de</w:t>
      </w:r>
      <w:r>
        <w:t xml:space="preserve"> </w:t>
      </w:r>
      <w:r>
        <w:rPr>
          <w:rStyle w:val="VerbatimChar"/>
        </w:rPr>
        <w:t xml:space="preserve">individualization.js</w:t>
      </w:r>
      <w:r>
        <w:t xml:space="preserve"> </w:t>
      </w:r>
      <w:r>
        <w:t xml:space="preserve">(parseado con regex) y calcula el techo posprandial según</w:t>
      </w:r>
      <w:r>
        <w:t xml:space="preserve"> </w:t>
      </w:r>
      <w:r>
        <w:t xml:space="preserve">“</w:t>
      </w:r>
      <w:r>
        <w:t xml:space="preserve">tier</w:t>
      </w:r>
      <w:r>
        <w:t xml:space="preserve">”</w:t>
      </w:r>
      <w:r>
        <w:t xml:space="preserve"> </w:t>
      </w:r>
      <w:r>
        <w:t xml:space="preserve">del paciente: 180 mg/dL (general/bajoRiesgo/sano) o 200 mg/dL (complejo/muyComplejo).</w:t>
      </w:r>
    </w:p>
    <w:p>
      <w:pPr>
        <w:numPr>
          <w:ilvl w:val="0"/>
          <w:numId w:val="1125"/>
        </w:numPr>
        <w:pStyle w:val="Compact"/>
      </w:pPr>
      <w:r>
        <w:rPr>
          <w:b/>
        </w:rPr>
        <w:t xml:space="preserve">Por qué:</w:t>
      </w:r>
      <w:r>
        <w:t xml:space="preserve"> </w:t>
      </w:r>
      <w:r>
        <w:t xml:space="preserve">individualizar la meta según edad ≥65 años y estado de salud/carga de tratamiento; la meta posprandial se relaja en pacientes frágiles/complejos.</w:t>
      </w:r>
    </w:p>
    <w:p>
      <w:pPr>
        <w:numPr>
          <w:ilvl w:val="0"/>
          <w:numId w:val="1125"/>
        </w:numPr>
        <w:pStyle w:val="Compact"/>
      </w:pPr>
      <w:r>
        <w:rPr>
          <w:b/>
        </w:rPr>
        <w:t xml:space="preserve">Fuente:</w:t>
      </w:r>
      <w:r>
        <w:t xml:space="preserve"> </w:t>
      </w:r>
      <w:r>
        <w:t xml:space="preserve">rango de ayuno/preprandial reutiliza</w:t>
      </w:r>
      <w:r>
        <w:t xml:space="preserve"> </w:t>
      </w:r>
      <w:r>
        <w:rPr>
          <w:rStyle w:val="VerbatimChar"/>
        </w:rPr>
        <w:t xml:space="preserve">individualization.js</w:t>
      </w:r>
      <w:r>
        <w:t xml:space="preserve"> </w:t>
      </w:r>
      <w:r>
        <w:t xml:space="preserve">(GOALS_TABLE, misma fuente que EndoGoals — no re-especificada aquí); techo posprandial (&lt;180 mg/dL general) citado como</w:t>
      </w:r>
      <w:r>
        <w:t xml:space="preserve"> </w:t>
      </w:r>
      <w:r>
        <w:t xml:space="preserve">“</w:t>
      </w:r>
      <w:r>
        <w:t xml:space="preserve">estándar ADA Standards of Care 2026 para automonitoreo capilar</w:t>
      </w:r>
      <w:r>
        <w:t xml:space="preserve">”</w:t>
      </w:r>
      <w:r>
        <w:t xml:space="preserve">.</w:t>
      </w:r>
    </w:p>
    <w:p>
      <w:pPr>
        <w:numPr>
          <w:ilvl w:val="0"/>
          <w:numId w:val="1125"/>
        </w:numPr>
        <w:pStyle w:val="Compact"/>
      </w:pPr>
      <w:r>
        <w:rPr>
          <w:b/>
        </w:rPr>
        <w:t xml:space="preserve">Versión de la fuente:</w:t>
      </w:r>
      <w:r>
        <w:t xml:space="preserve"> </w:t>
      </w:r>
      <w:r>
        <w:t xml:space="preserve">ADA Standards of Care 2026 (explícita para la meta posprandial). Para el rango de ayuno, la versión de la fuente vive en</w:t>
      </w:r>
      <w:r>
        <w:t xml:space="preserve"> </w:t>
      </w:r>
      <w:r>
        <w:rPr>
          <w:rStyle w:val="VerbatimChar"/>
        </w:rPr>
        <w:t xml:space="preserve">individualization.js</w:t>
      </w:r>
      <w:r>
        <w:t xml:space="preserve">, no leído en este análisis — No especificada en el código de</w:t>
      </w:r>
      <w:r>
        <w:t xml:space="preserve"> </w:t>
      </w:r>
      <w:r>
        <w:rPr>
          <w:rStyle w:val="VerbatimChar"/>
        </w:rPr>
        <w:t xml:space="preserve">insulin.js</w:t>
      </w:r>
      <w:r>
        <w:t xml:space="preserve">.</w:t>
      </w:r>
    </w:p>
    <w:p>
      <w:pPr>
        <w:numPr>
          <w:ilvl w:val="0"/>
          <w:numId w:val="1125"/>
        </w:numPr>
        <w:pStyle w:val="Compact"/>
      </w:pPr>
      <w:r>
        <w:rPr>
          <w:b/>
        </w:rPr>
        <w:t xml:space="preserve">Fecha de revisión:</w:t>
      </w:r>
      <w:r>
        <w:t xml:space="preserve"> </w:t>
      </w:r>
      <w:r>
        <w:t xml:space="preserve">10-ago-2026.</w:t>
      </w:r>
    </w:p>
    <w:p>
      <w:pPr>
        <w:numPr>
          <w:ilvl w:val="0"/>
          <w:numId w:val="1125"/>
        </w:numPr>
        <w:pStyle w:val="Compact"/>
      </w:pPr>
      <w:r>
        <w:rPr>
          <w:b/>
        </w:rPr>
        <w:t xml:space="preserve">Quién revisó:</w:t>
      </w:r>
      <w:r>
        <w:t xml:space="preserve"> </w:t>
      </w:r>
      <w:r>
        <w:t xml:space="preserve">Dr. Ortega.</w:t>
      </w:r>
    </w:p>
    <w:p>
      <w:pPr>
        <w:numPr>
          <w:ilvl w:val="0"/>
          <w:numId w:val="1125"/>
        </w:numPr>
        <w:pStyle w:val="Compact"/>
      </w:pPr>
      <w:r>
        <w:rPr>
          <w:b/>
        </w:rPr>
        <w:t xml:space="preserve">Qué casos la validan:</w:t>
      </w:r>
      <w:r>
        <w:t xml:space="preserve"> </w:t>
      </w:r>
      <w:r>
        <w:rPr>
          <w:rStyle w:val="VerbatimChar"/>
        </w:rPr>
        <w:t xml:space="preserve">I14</w:t>
      </w:r>
      <w:r>
        <w:t xml:space="preserve"> </w:t>
      </w:r>
      <w:r>
        <w:t xml:space="preserve">— meta posprandial 180 (adulto general) vs 200 (paciente ≥65a,</w:t>
      </w:r>
      <w:r>
        <w:t xml:space="preserve"> </w:t>
      </w:r>
      <w:r>
        <w:rPr>
          <w:rStyle w:val="VerbatimChar"/>
        </w:rPr>
        <w:t xml:space="preserve">saludStatus: "muyComplejo"</w:t>
      </w:r>
      <w:r>
        <w:t xml:space="preserve">).</w:t>
      </w:r>
    </w:p>
    <w:p>
      <w:pPr>
        <w:numPr>
          <w:ilvl w:val="0"/>
          <w:numId w:val="1125"/>
        </w:numPr>
        <w:pStyle w:val="Compact"/>
      </w:pPr>
      <w:r>
        <w:rPr>
          <w:b/>
        </w:rPr>
        <w:t xml:space="preserve">Qué excepciones tiene:</w:t>
      </w:r>
      <w:r>
        <w:t xml:space="preserve"> </w:t>
      </w:r>
      <w:r>
        <w:t xml:space="preserve">ninguna adicional documentada en el código más allá de los 5 niveles (</w:t>
      </w:r>
      <w:r>
        <w:rPr>
          <w:rStyle w:val="VerbatimChar"/>
        </w:rPr>
        <w:t xml:space="preserve">general</w:t>
      </w:r>
      <w:r>
        <w:t xml:space="preserve">,</w:t>
      </w:r>
      <w:r>
        <w:t xml:space="preserve"> </w:t>
      </w:r>
      <w:r>
        <w:rPr>
          <w:rStyle w:val="VerbatimChar"/>
        </w:rPr>
        <w:t xml:space="preserve">bajoRiesgo</w:t>
      </w:r>
      <w:r>
        <w:t xml:space="preserve">,</w:t>
      </w:r>
      <w:r>
        <w:t xml:space="preserve"> </w:t>
      </w:r>
      <w:r>
        <w:rPr>
          <w:rStyle w:val="VerbatimChar"/>
        </w:rPr>
        <w:t xml:space="preserve">sano</w:t>
      </w:r>
      <w:r>
        <w:t xml:space="preserve">,</w:t>
      </w:r>
      <w:r>
        <w:t xml:space="preserve"> </w:t>
      </w:r>
      <w:r>
        <w:rPr>
          <w:rStyle w:val="VerbatimChar"/>
        </w:rPr>
        <w:t xml:space="preserve">complejo</w:t>
      </w:r>
      <w:r>
        <w:t xml:space="preserve">,</w:t>
      </w:r>
      <w:r>
        <w:t xml:space="preserve"> </w:t>
      </w:r>
      <w:r>
        <w:rPr>
          <w:rStyle w:val="VerbatimChar"/>
        </w:rPr>
        <w:t xml:space="preserve">muyComplejo</w:t>
      </w:r>
      <w:r>
        <w:t xml:space="preserve">).</w:t>
      </w:r>
    </w:p>
    <w:p>
      <w:pPr>
        <w:numPr>
          <w:ilvl w:val="0"/>
          <w:numId w:val="1125"/>
        </w:numPr>
        <w:pStyle w:val="Compact"/>
      </w:pPr>
      <w:r>
        <w:rPr>
          <w:b/>
        </w:rPr>
        <w:t xml:space="preserve">Qué ocurre si faltan datos:</w:t>
      </w:r>
      <w:r>
        <w:t xml:space="preserve"> </w:t>
      </w:r>
      <w:r>
        <w:t xml:space="preserve">si</w:t>
      </w:r>
      <w:r>
        <w:t xml:space="preserve"> </w:t>
      </w:r>
      <w:r>
        <w:rPr>
          <w:rStyle w:val="VerbatimChar"/>
        </w:rPr>
        <w:t xml:space="preserve">parseRango(goals.ayuno)</w:t>
      </w:r>
      <w:r>
        <w:t xml:space="preserve"> </w:t>
      </w:r>
      <w:r>
        <w:t xml:space="preserve">no logra extraer un rango numérico del string devuelto por</w:t>
      </w:r>
      <w:r>
        <w:t xml:space="preserve"> </w:t>
      </w:r>
      <w:r>
        <w:rPr>
          <w:rStyle w:val="VerbatimChar"/>
        </w:rPr>
        <w:t xml:space="preserve">individualization.js</w:t>
      </w:r>
      <w:r>
        <w:t xml:space="preserve"> </w:t>
      </w:r>
      <w:r>
        <w:t xml:space="preserve">(formato inesperado o vacío), la función usa silenciosamente un</w:t>
      </w:r>
      <w:r>
        <w:t xml:space="preserve"> </w:t>
      </w:r>
      <w:r>
        <w:rPr>
          <w:b/>
        </w:rPr>
        <w:t xml:space="preserve">fallback fijo</w:t>
      </w:r>
      <w:r>
        <w:rPr>
          <w:b/>
        </w:rPr>
        <w:t xml:space="preserve"> </w:t>
      </w:r>
      <w:r>
        <w:rPr>
          <w:rStyle w:val="VerbatimChar"/>
          <w:b/>
        </w:rPr>
        <w:t xml:space="preserve">{min: 80, max: 130}</w:t>
      </w:r>
      <w:r>
        <w:t xml:space="preserve"> </w:t>
      </w:r>
      <w:r>
        <w:t xml:space="preserve">(línea 70) sin marcar ningún estado de</w:t>
      </w:r>
      <w:r>
        <w:t xml:space="preserve"> </w:t>
      </w:r>
      <w:r>
        <w:t xml:space="preserve">“</w:t>
      </w:r>
      <w:r>
        <w:t xml:space="preserve">sin dato</w:t>
      </w:r>
      <w:r>
        <w:t xml:space="preserve">”</w:t>
      </w:r>
      <w:r>
        <w:t xml:space="preserve"> </w:t>
      </w:r>
      <w:r>
        <w:t xml:space="preserve">ni alertar — es una guarda que evita que la app truene, pero también puede ocultar un problema real de datos malformados en la fuente de verdad de las metas.</w:t>
      </w:r>
    </w:p>
    <w:p>
      <w:pPr>
        <w:numPr>
          <w:ilvl w:val="0"/>
          <w:numId w:val="1125"/>
        </w:numPr>
        <w:pStyle w:val="Compact"/>
      </w:pPr>
      <w:r>
        <w:rPr>
          <w:b/>
        </w:rPr>
        <w:t xml:space="preserve">Qué ocurre si dos guías discrepan:</w:t>
      </w:r>
      <w:r>
        <w:t xml:space="preserve"> </w:t>
      </w:r>
      <w:r>
        <w:t xml:space="preserve">No aplica / sin discrepancia documentada para esta regla.</w:t>
      </w:r>
    </w:p>
    <w:p>
      <w:pPr>
        <w:pStyle w:val="Heading2"/>
      </w:pPr>
      <w:bookmarkStart w:id="171" w:name="Xa06f4298cc14e082efab6f45b910234275d8d71"/>
      <w:r>
        <w:t xml:space="preserve">Regla 5 — Clasificación de hipoglucemia por niveles (Nivel 1 / Nivel 2 ADA)</w:t>
      </w:r>
      <w:bookmarkEnd w:id="171"/>
    </w:p>
    <w:p>
      <w:pPr>
        <w:numPr>
          <w:ilvl w:val="0"/>
          <w:numId w:val="1126"/>
        </w:numPr>
        <w:pStyle w:val="Compact"/>
      </w:pPr>
      <w:r>
        <w:rPr>
          <w:b/>
        </w:rPr>
        <w:t xml:space="preserve">Qué hace:</w:t>
      </w:r>
      <w:r>
        <w:t xml:space="preserve"> </w:t>
      </w:r>
      <w:r>
        <w:rPr>
          <w:rStyle w:val="VerbatimChar"/>
        </w:rPr>
        <w:t xml:space="preserve">evaluarPunto(valor, min, max)</w:t>
      </w:r>
      <w:r>
        <w:t xml:space="preserve"> </w:t>
      </w:r>
      <w:r>
        <w:t xml:space="preserve">clasifica un valor de glucosa capturado:</w:t>
      </w:r>
      <w:r>
        <w:t xml:space="preserve"> </w:t>
      </w:r>
      <w:r>
        <w:rPr>
          <w:rStyle w:val="VerbatimChar"/>
        </w:rPr>
        <w:t xml:space="preserve">sin_dato</w:t>
      </w:r>
      <w:r>
        <w:t xml:space="preserve"> </w:t>
      </w:r>
      <w:r>
        <w:t xml:space="preserve">(≤0),</w:t>
      </w:r>
      <w:r>
        <w:t xml:space="preserve"> </w:t>
      </w:r>
      <w:r>
        <w:rPr>
          <w:rStyle w:val="VerbatimChar"/>
        </w:rPr>
        <w:t xml:space="preserve">hipoglucemia_nivel2</w:t>
      </w:r>
      <w:r>
        <w:t xml:space="preserve"> </w:t>
      </w:r>
      <w:r>
        <w:t xml:space="preserve">(&lt;54 mg/dL),</w:t>
      </w:r>
      <w:r>
        <w:t xml:space="preserve"> </w:t>
      </w:r>
      <w:r>
        <w:rPr>
          <w:rStyle w:val="VerbatimChar"/>
        </w:rPr>
        <w:t xml:space="preserve">hipoglucemia_nivel1</w:t>
      </w:r>
      <w:r>
        <w:t xml:space="preserve"> </w:t>
      </w:r>
      <w:r>
        <w:t xml:space="preserve">(54–69 mg/dL),</w:t>
      </w:r>
      <w:r>
        <w:t xml:space="preserve"> </w:t>
      </w:r>
      <w:r>
        <w:rPr>
          <w:rStyle w:val="VerbatimChar"/>
        </w:rPr>
        <w:t xml:space="preserve">bajo</w:t>
      </w:r>
      <w:r>
        <w:t xml:space="preserve"> </w:t>
      </w:r>
      <w:r>
        <w:t xml:space="preserve">(70 al mínimo de meta),</w:t>
      </w:r>
      <w:r>
        <w:t xml:space="preserve"> </w:t>
      </w:r>
      <w:r>
        <w:rPr>
          <w:rStyle w:val="VerbatimChar"/>
        </w:rPr>
        <w:t xml:space="preserve">en_meta</w:t>
      </w:r>
      <w:r>
        <w:t xml:space="preserve">,</w:t>
      </w:r>
      <w:r>
        <w:t xml:space="preserve"> </w:t>
      </w:r>
      <w:r>
        <w:rPr>
          <w:rStyle w:val="VerbatimChar"/>
        </w:rPr>
        <w:t xml:space="preserve">elevado</w:t>
      </w:r>
      <w:r>
        <w:t xml:space="preserve"> </w:t>
      </w:r>
      <w:r>
        <w:t xml:space="preserve">(&gt; máximo de meta).</w:t>
      </w:r>
    </w:p>
    <w:p>
      <w:pPr>
        <w:numPr>
          <w:ilvl w:val="0"/>
          <w:numId w:val="1126"/>
        </w:numPr>
        <w:pStyle w:val="Compact"/>
      </w:pPr>
      <w:r>
        <w:rPr>
          <w:b/>
        </w:rPr>
        <w:t xml:space="preserve">Por qué:</w:t>
      </w:r>
      <w:r>
        <w:t xml:space="preserve"> </w:t>
      </w:r>
      <w:r>
        <w:t xml:space="preserve">el corte histórico &lt;70 mg/dL para</w:t>
      </w:r>
      <w:r>
        <w:t xml:space="preserve"> </w:t>
      </w:r>
      <w:r>
        <w:t xml:space="preserve">“</w:t>
      </w:r>
      <w:r>
        <w:t xml:space="preserve">hipoglucemia</w:t>
      </w:r>
      <w:r>
        <w:t xml:space="preserve">”</w:t>
      </w:r>
      <w:r>
        <w:t xml:space="preserve"> </w:t>
      </w:r>
      <w:r>
        <w:t xml:space="preserve">no cambió; se agrega una subclasificación dentro de ese rango: Nivel 1 = alerta clínica/umbral de acción, Nivel 2 = clínicamente significativa/umbral de daño neuroglucopénico real.</w:t>
      </w:r>
    </w:p>
    <w:p>
      <w:pPr>
        <w:numPr>
          <w:ilvl w:val="0"/>
          <w:numId w:val="1126"/>
        </w:numPr>
        <w:pStyle w:val="Compact"/>
      </w:pPr>
      <w:r>
        <w:rPr>
          <w:b/>
        </w:rPr>
        <w:t xml:space="preserve">Fuente:</w:t>
      </w:r>
      <w:r>
        <w:t xml:space="preserve"> </w:t>
      </w:r>
      <w:r>
        <w:t xml:space="preserve">clasificación internacional de hipoglucemia —</w:t>
      </w:r>
      <w:r>
        <w:t xml:space="preserve"> </w:t>
      </w:r>
      <w:r>
        <w:t xml:space="preserve">“</w:t>
      </w:r>
      <w:r>
        <w:t xml:space="preserve">ADA Standards of Care 2026, adoptada también por ISPAD/Endocrine Society</w:t>
      </w:r>
      <w:r>
        <w:t xml:space="preserve">”</w:t>
      </w:r>
      <w:r>
        <w:t xml:space="preserve"> </w:t>
      </w:r>
      <w:r>
        <w:t xml:space="preserve">(citada explícitamente en el comentario, líneas 85-88).</w:t>
      </w:r>
    </w:p>
    <w:p>
      <w:pPr>
        <w:numPr>
          <w:ilvl w:val="0"/>
          <w:numId w:val="1126"/>
        </w:numPr>
        <w:pStyle w:val="Compact"/>
      </w:pPr>
      <w:r>
        <w:rPr>
          <w:b/>
        </w:rPr>
        <w:t xml:space="preserve">Versión de la fuente:</w:t>
      </w:r>
      <w:r>
        <w:t xml:space="preserve"> </w:t>
      </w:r>
      <w:r>
        <w:t xml:space="preserve">ADA Standards of Care 2026 (explícita).</w:t>
      </w:r>
    </w:p>
    <w:p>
      <w:pPr>
        <w:numPr>
          <w:ilvl w:val="0"/>
          <w:numId w:val="1126"/>
        </w:numPr>
        <w:pStyle w:val="Compact"/>
      </w:pPr>
      <w:r>
        <w:rPr>
          <w:b/>
        </w:rPr>
        <w:t xml:space="preserve">Fecha de revisión:</w:t>
      </w:r>
      <w:r>
        <w:t xml:space="preserve"> </w:t>
      </w:r>
      <w:r>
        <w:t xml:space="preserve">11-ago-2026, a petición explícita del Dr. Ortega.</w:t>
      </w:r>
    </w:p>
    <w:p>
      <w:pPr>
        <w:numPr>
          <w:ilvl w:val="0"/>
          <w:numId w:val="1126"/>
        </w:numPr>
        <w:pStyle w:val="Compact"/>
      </w:pPr>
      <w:r>
        <w:rPr>
          <w:b/>
        </w:rPr>
        <w:t xml:space="preserve">Quién revisó:</w:t>
      </w:r>
      <w:r>
        <w:t xml:space="preserve"> </w:t>
      </w:r>
      <w:r>
        <w:t xml:space="preserve">Dr. Ortega.</w:t>
      </w:r>
    </w:p>
    <w:p>
      <w:pPr>
        <w:numPr>
          <w:ilvl w:val="0"/>
          <w:numId w:val="1126"/>
        </w:numPr>
        <w:pStyle w:val="Compact"/>
      </w:pPr>
      <w:r>
        <w:rPr>
          <w:b/>
        </w:rPr>
        <w:t xml:space="preserve">Qué casos la validan:</w:t>
      </w:r>
      <w:r>
        <w:t xml:space="preserve"> </w:t>
      </w:r>
      <w:r>
        <w:rPr>
          <w:rStyle w:val="VerbatimChar"/>
        </w:rPr>
        <w:t xml:space="preserve">I13</w:t>
      </w:r>
      <w:r>
        <w:t xml:space="preserve"> </w:t>
      </w:r>
      <w:r>
        <w:t xml:space="preserve">(69 → Nivel 1, 70 →</w:t>
      </w:r>
      <w:r>
        <w:t xml:space="preserve"> </w:t>
      </w:r>
      <w:r>
        <w:t xml:space="preserve">“</w:t>
      </w:r>
      <w:r>
        <w:t xml:space="preserve">bajo</w:t>
      </w:r>
      <w:r>
        <w:t xml:space="preserve">”</w:t>
      </w:r>
      <w:r>
        <w:t xml:space="preserve">, no hipoglucemia) y</w:t>
      </w:r>
      <w:r>
        <w:t xml:space="preserve"> </w:t>
      </w:r>
      <w:r>
        <w:rPr>
          <w:rStyle w:val="VerbatimChar"/>
        </w:rPr>
        <w:t xml:space="preserve">I13b</w:t>
      </w:r>
      <w:r>
        <w:t xml:space="preserve"> </w:t>
      </w:r>
      <w:r>
        <w:t xml:space="preserve">(53 → Nivel 2, 54 → Nivel 1 borde inclusivo, 60 → Nivel 1).</w:t>
      </w:r>
    </w:p>
    <w:p>
      <w:pPr>
        <w:numPr>
          <w:ilvl w:val="0"/>
          <w:numId w:val="1126"/>
        </w:numPr>
        <w:pStyle w:val="Compact"/>
      </w:pPr>
      <w:r>
        <w:rPr>
          <w:b/>
        </w:rPr>
        <w:t xml:space="preserve">Qué excepciones tiene:</w:t>
      </w:r>
      <w:r>
        <w:t xml:space="preserve"> </w:t>
      </w:r>
      <w:r>
        <w:t xml:space="preserve">el Nivel 3 ADA (hipoglucemia severa, definida por alteración cognitiva/funcional que requiere asistencia de terceros) se excluye</w:t>
      </w:r>
      <w:r>
        <w:t xml:space="preserve"> </w:t>
      </w:r>
      <w:r>
        <w:rPr>
          <w:b/>
        </w:rPr>
        <w:t xml:space="preserve">explícita y deliberadamente</w:t>
      </w:r>
      <w:r>
        <w:t xml:space="preserve"> </w:t>
      </w:r>
      <w:r>
        <w:t xml:space="preserve">— el comentario aclara que depende de la presentación clínica del episodio, no de un valor numérico de automonitoreo, y este panel solo procesa datos numéricos.</w:t>
      </w:r>
    </w:p>
    <w:p>
      <w:pPr>
        <w:numPr>
          <w:ilvl w:val="0"/>
          <w:numId w:val="1126"/>
        </w:numPr>
        <w:pStyle w:val="Compact"/>
      </w:pPr>
      <w:r>
        <w:rPr>
          <w:b/>
        </w:rPr>
        <w:t xml:space="preserve">Qué ocurre si faltan datos:</w:t>
      </w:r>
      <w:r>
        <w:t xml:space="preserve"> </w:t>
      </w:r>
      <w:r>
        <w:rPr>
          <w:rStyle w:val="VerbatimChar"/>
        </w:rPr>
        <w:t xml:space="preserve">val &lt;= 0</w:t>
      </w:r>
      <w:r>
        <w:t xml:space="preserve"> </w:t>
      </w:r>
      <w:r>
        <w:t xml:space="preserve">→</w:t>
      </w:r>
      <w:r>
        <w:t xml:space="preserve"> </w:t>
      </w:r>
      <w:r>
        <w:rPr>
          <w:rStyle w:val="VerbatimChar"/>
        </w:rPr>
        <w:t xml:space="preserve">{ estado: "sin_dato", valor: null }</w:t>
      </w:r>
      <w:r>
        <w:t xml:space="preserve"> </w:t>
      </w:r>
      <w:r>
        <w:t xml:space="preserve">— no lanza error, no asume un valor.</w:t>
      </w:r>
    </w:p>
    <w:p>
      <w:pPr>
        <w:numPr>
          <w:ilvl w:val="0"/>
          <w:numId w:val="1126"/>
        </w:numPr>
        <w:pStyle w:val="Compact"/>
      </w:pPr>
      <w:r>
        <w:rPr>
          <w:b/>
        </w:rPr>
        <w:t xml:space="preserve">Qué ocurre si dos guías discrepan:</w:t>
      </w:r>
      <w:r>
        <w:t xml:space="preserve"> </w:t>
      </w:r>
      <w:r>
        <w:t xml:space="preserve">No aplica / sin discrepancia — el propio comentario aclara explícitamente que el corte histórico &lt;70 y la subclasificación ADA nueva son compatibles (una es subconjunto de la otra), no hay conflicto entre fuentes.</w:t>
      </w:r>
    </w:p>
    <w:p>
      <w:pPr>
        <w:pStyle w:val="Heading2"/>
      </w:pPr>
      <w:bookmarkStart w:id="172" w:name="Xeb386d69a9e5c1081716316e60cc669dacb312b"/>
      <w:r>
        <w:t xml:space="preserve">Regla 6 — Interpretación Basal vs. Bolo (Triada de Automonitoreo)</w:t>
      </w:r>
      <w:bookmarkEnd w:id="172"/>
    </w:p>
    <w:p>
      <w:pPr>
        <w:numPr>
          <w:ilvl w:val="0"/>
          <w:numId w:val="1127"/>
        </w:numPr>
        <w:pStyle w:val="Compact"/>
      </w:pPr>
      <w:r>
        <w:rPr>
          <w:b/>
        </w:rPr>
        <w:t xml:space="preserve">Qué hace:</w:t>
      </w:r>
      <w:r>
        <w:t xml:space="preserve"> </w:t>
      </w:r>
      <w:r>
        <w:rPr>
          <w:rStyle w:val="VerbatimChar"/>
        </w:rPr>
        <w:t xml:space="preserve">computeMonitoreo(p)</w:t>
      </w:r>
      <w:r>
        <w:t xml:space="preserve"> </w:t>
      </w:r>
      <w:r>
        <w:t xml:space="preserve">evalúa los 4 puntos de automonitoreo (ayuno, nocturna, preprandial, posprandial) y produce flags (</w:t>
      </w:r>
      <w:r>
        <w:rPr>
          <w:rStyle w:val="VerbatimChar"/>
        </w:rPr>
        <w:t xml:space="preserve">basalInsuficiente</w:t>
      </w:r>
      <w:r>
        <w:t xml:space="preserve">,</w:t>
      </w:r>
      <w:r>
        <w:t xml:space="preserve"> </w:t>
      </w:r>
      <w:r>
        <w:rPr>
          <w:rStyle w:val="VerbatimChar"/>
        </w:rPr>
        <w:t xml:space="preserve">basalExcesiva</w:t>
      </w:r>
      <w:r>
        <w:t xml:space="preserve">,</w:t>
      </w:r>
      <w:r>
        <w:t xml:space="preserve"> </w:t>
      </w:r>
      <w:r>
        <w:rPr>
          <w:rStyle w:val="VerbatimChar"/>
        </w:rPr>
        <w:t xml:space="preserve">bolusInsuficiente</w:t>
      </w:r>
      <w:r>
        <w:t xml:space="preserve">) más un mensaje de interpretación, con la siguiente prioridad de evaluación:</w:t>
      </w:r>
      <w:r>
        <w:t xml:space="preserve"> </w:t>
      </w:r>
      <w:r>
        <w:rPr>
          <w:rStyle w:val="VerbatimChar"/>
        </w:rPr>
        <w:t xml:space="preserve">basalExcesiva</w:t>
      </w:r>
      <w:r>
        <w:t xml:space="preserve"> </w:t>
      </w:r>
      <w:r>
        <w:t xml:space="preserve">&gt; (</w:t>
      </w:r>
      <w:r>
        <w:rPr>
          <w:rStyle w:val="VerbatimChar"/>
        </w:rPr>
        <w:t xml:space="preserve">basalInsuficiente</w:t>
      </w:r>
      <w:r>
        <w:t xml:space="preserve"> </w:t>
      </w:r>
      <w:r>
        <w:t xml:space="preserve">y</w:t>
      </w:r>
      <w:r>
        <w:t xml:space="preserve"> </w:t>
      </w:r>
      <w:r>
        <w:rPr>
          <w:rStyle w:val="VerbatimChar"/>
        </w:rPr>
        <w:t xml:space="preserve">bolusInsuficiente</w:t>
      </w:r>
      <w:r>
        <w:t xml:space="preserve"> </w:t>
      </w:r>
      <w:r>
        <w:t xml:space="preserve">juntos) &gt;</w:t>
      </w:r>
      <w:r>
        <w:t xml:space="preserve"> </w:t>
      </w:r>
      <w:r>
        <w:rPr>
          <w:rStyle w:val="VerbatimChar"/>
        </w:rPr>
        <w:t xml:space="preserve">basalInsuficiente</w:t>
      </w:r>
      <w:r>
        <w:t xml:space="preserve"> </w:t>
      </w:r>
      <w:r>
        <w:t xml:space="preserve">sola &gt;</w:t>
      </w:r>
      <w:r>
        <w:t xml:space="preserve"> </w:t>
      </w:r>
      <w:r>
        <w:rPr>
          <w:rStyle w:val="VerbatimChar"/>
        </w:rPr>
        <w:t xml:space="preserve">bolusInsuficiente</w:t>
      </w:r>
      <w:r>
        <w:t xml:space="preserve"> </w:t>
      </w:r>
      <w:r>
        <w:t xml:space="preserve">sola &gt; en meta &gt; sin datos.</w:t>
      </w:r>
    </w:p>
    <w:p>
      <w:pPr>
        <w:numPr>
          <w:ilvl w:val="0"/>
          <w:numId w:val="1127"/>
        </w:numPr>
        <w:pStyle w:val="Compact"/>
      </w:pPr>
      <w:r>
        <w:rPr>
          <w:b/>
        </w:rPr>
        <w:t xml:space="preserve">Por qué:</w:t>
      </w:r>
      <w:r>
        <w:t xml:space="preserve"> </w:t>
      </w:r>
      <w:r>
        <w:t xml:space="preserve">la insulina basal controla la glucosa en ayuno/nocturna; si esos puntos están en meta pero la pre/posprandial está elevada, el problema es el bolo, no la basal (razonamiento clínico dado directamente por el Dr. Ortega).</w:t>
      </w:r>
    </w:p>
    <w:p>
      <w:pPr>
        <w:numPr>
          <w:ilvl w:val="0"/>
          <w:numId w:val="1127"/>
        </w:numPr>
        <w:pStyle w:val="Compact"/>
      </w:pPr>
      <w:r>
        <w:rPr>
          <w:b/>
        </w:rPr>
        <w:t xml:space="preserve">Fuente:</w:t>
      </w:r>
      <w:r>
        <w:t xml:space="preserve"> </w:t>
      </w:r>
      <w:r>
        <w:t xml:space="preserve">razonamiento clínico del Dr. Ortega, transcrito en el encabezado del archivo (líneas 16-19). No se cita una guía externa para este árbol de decisión específico (es fisiología general de manejo basal-bolo).</w:t>
      </w:r>
    </w:p>
    <w:p>
      <w:pPr>
        <w:numPr>
          <w:ilvl w:val="0"/>
          <w:numId w:val="1127"/>
        </w:numPr>
        <w:pStyle w:val="Compact"/>
      </w:pPr>
      <w:r>
        <w:rPr>
          <w:b/>
        </w:rPr>
        <w:t xml:space="preserve">Versión de la fuente:</w:t>
      </w:r>
      <w:r>
        <w:t xml:space="preserve"> </w:t>
      </w:r>
      <w:r>
        <w:t xml:space="preserve">No especificada en el código — pendiente de documentar.</w:t>
      </w:r>
    </w:p>
    <w:p>
      <w:pPr>
        <w:numPr>
          <w:ilvl w:val="0"/>
          <w:numId w:val="1127"/>
        </w:numPr>
        <w:pStyle w:val="Compact"/>
      </w:pPr>
      <w:r>
        <w:rPr>
          <w:b/>
        </w:rPr>
        <w:t xml:space="preserve">Fecha de revisión:</w:t>
      </w:r>
      <w:r>
        <w:t xml:space="preserve"> </w:t>
      </w:r>
      <w:r>
        <w:t xml:space="preserve">10-ago-2026.</w:t>
      </w:r>
    </w:p>
    <w:p>
      <w:pPr>
        <w:numPr>
          <w:ilvl w:val="0"/>
          <w:numId w:val="1127"/>
        </w:numPr>
        <w:pStyle w:val="Compact"/>
      </w:pPr>
      <w:r>
        <w:rPr>
          <w:b/>
        </w:rPr>
        <w:t xml:space="preserve">Quién revisó:</w:t>
      </w:r>
      <w:r>
        <w:t xml:space="preserve"> </w:t>
      </w:r>
      <w:r>
        <w:t xml:space="preserve">Dr. Ortega.</w:t>
      </w:r>
    </w:p>
    <w:p>
      <w:pPr>
        <w:numPr>
          <w:ilvl w:val="0"/>
          <w:numId w:val="1127"/>
        </w:numPr>
        <w:pStyle w:val="Compact"/>
      </w:pPr>
      <w:r>
        <w:rPr>
          <w:b/>
        </w:rPr>
        <w:t xml:space="preserve">Qué casos la validan:</w:t>
      </w:r>
      <w:r>
        <w:t xml:space="preserve"> </w:t>
      </w:r>
      <w:r>
        <w:rPr>
          <w:rStyle w:val="VerbatimChar"/>
        </w:rPr>
        <w:t xml:space="preserve">I11</w:t>
      </w:r>
      <w:r>
        <w:t xml:space="preserve"> </w:t>
      </w:r>
      <w:r>
        <w:t xml:space="preserve">(ayuno elevado + posprandial en meta → basal insuficiente, color ámbar) y</w:t>
      </w:r>
      <w:r>
        <w:t xml:space="preserve"> </w:t>
      </w:r>
      <w:r>
        <w:rPr>
          <w:rStyle w:val="VerbatimChar"/>
        </w:rPr>
        <w:t xml:space="preserve">I12</w:t>
      </w:r>
      <w:r>
        <w:t xml:space="preserve"> </w:t>
      </w:r>
      <w:r>
        <w:t xml:space="preserve">(ayuno en meta + posprandial elevado → bolo insuficiente).</w:t>
      </w:r>
    </w:p>
    <w:p>
      <w:pPr>
        <w:numPr>
          <w:ilvl w:val="0"/>
          <w:numId w:val="1127"/>
        </w:numPr>
        <w:pStyle w:val="Compact"/>
      </w:pPr>
      <w:r>
        <w:rPr>
          <w:b/>
        </w:rPr>
        <w:t xml:space="preserve">Qué excepciones tiene:</w:t>
      </w:r>
      <w:r>
        <w:t xml:space="preserve"> </w:t>
      </w:r>
      <w:r>
        <w:t xml:space="preserve">cuando</w:t>
      </w:r>
      <w:r>
        <w:t xml:space="preserve"> </w:t>
      </w:r>
      <w:r>
        <w:rPr>
          <w:rStyle w:val="VerbatimChar"/>
        </w:rPr>
        <w:t xml:space="preserve">basalExcesiva</w:t>
      </w:r>
      <w:r>
        <w:t xml:space="preserve"> </w:t>
      </w:r>
      <w:r>
        <w:t xml:space="preserve">es verdadero, el mensaje de interpretación mostrado al médico solo habla de reducir la basal, aunque</w:t>
      </w:r>
      <w:r>
        <w:t xml:space="preserve"> </w:t>
      </w:r>
      <w:r>
        <w:rPr>
          <w:rStyle w:val="VerbatimChar"/>
        </w:rPr>
        <w:t xml:space="preserve">bolusInsuficiente</w:t>
      </w:r>
      <w:r>
        <w:t xml:space="preserve"> </w:t>
      </w:r>
      <w:r>
        <w:t xml:space="preserve">pueda ser simultáneamente</w:t>
      </w:r>
      <w:r>
        <w:t xml:space="preserve"> </w:t>
      </w:r>
      <w:r>
        <w:rPr>
          <w:rStyle w:val="VerbatimChar"/>
        </w:rPr>
        <w:t xml:space="preserve">true</w:t>
      </w:r>
      <w:r>
        <w:t xml:space="preserve"> </w:t>
      </w:r>
      <w:r>
        <w:t xml:space="preserve">internamente (el flag se retorna en el objeto, pero el texto de interpretación no lo menciona en ese caso) — riesgo de que la señal de bolo insuficiente pase inadvertida en un escenario mixto con hipoglucemia.</w:t>
      </w:r>
    </w:p>
    <w:p>
      <w:pPr>
        <w:numPr>
          <w:ilvl w:val="0"/>
          <w:numId w:val="1127"/>
        </w:numPr>
        <w:pStyle w:val="Compact"/>
      </w:pPr>
      <w:r>
        <w:rPr>
          <w:b/>
        </w:rPr>
        <w:t xml:space="preserve">Qué ocurre si faltan datos:</w:t>
      </w:r>
      <w:r>
        <w:t xml:space="preserve"> </w:t>
      </w:r>
      <w:r>
        <w:t xml:space="preserve">si los 4 puntos están</w:t>
      </w:r>
      <w:r>
        <w:t xml:space="preserve"> </w:t>
      </w:r>
      <w:r>
        <w:rPr>
          <w:rStyle w:val="VerbatimChar"/>
        </w:rPr>
        <w:t xml:space="preserve">sin_dato</w:t>
      </w:r>
      <w:r>
        <w:t xml:space="preserve">, la interpretación pide capturar datos (color slate) sin asumir ningún estado clínico.</w:t>
      </w:r>
    </w:p>
    <w:p>
      <w:pPr>
        <w:numPr>
          <w:ilvl w:val="0"/>
          <w:numId w:val="1127"/>
        </w:numPr>
        <w:pStyle w:val="Compact"/>
      </w:pPr>
      <w:r>
        <w:rPr>
          <w:b/>
        </w:rPr>
        <w:t xml:space="preserve">Qué ocurre si dos guías discrepan:</w:t>
      </w:r>
      <w:r>
        <w:t xml:space="preserve"> </w:t>
      </w:r>
      <w:r>
        <w:t xml:space="preserve">No aplica / sin discrepancia documentada para esta regla.</w:t>
      </w:r>
    </w:p>
    <w:p>
      <w:pPr>
        <w:pStyle w:val="Heading2"/>
      </w:pPr>
      <w:bookmarkStart w:id="173" w:name="Xe96cb2286eebbf7378a25456ff5e1f1af2611af"/>
      <w:r>
        <w:t xml:space="preserve">Regla 7 — Dosis prandial/bolo, rango de inicio por peso (0.05–0.1 UI/kg/comida)</w:t>
      </w:r>
      <w:bookmarkEnd w:id="173"/>
    </w:p>
    <w:p>
      <w:pPr>
        <w:numPr>
          <w:ilvl w:val="0"/>
          <w:numId w:val="1128"/>
        </w:numPr>
        <w:pStyle w:val="Compact"/>
      </w:pPr>
      <w:r>
        <w:rPr>
          <w:b/>
        </w:rPr>
        <w:t xml:space="preserve">Qué hace:</w:t>
      </w:r>
      <w:r>
        <w:t xml:space="preserve"> </w:t>
      </w:r>
      <w:r>
        <w:rPr>
          <w:rStyle w:val="VerbatimChar"/>
        </w:rPr>
        <w:t xml:space="preserve">computePrandialBaseRange</w:t>
      </w:r>
      <w:r>
        <w:t xml:space="preserve"> </w:t>
      </w:r>
      <w:r>
        <w:t xml:space="preserve">aplica si el paciente ya tiene bolo activo, o si tiene basal activa con basal en meta y</w:t>
      </w:r>
      <w:r>
        <w:t xml:space="preserve"> </w:t>
      </w:r>
      <w:r>
        <w:rPr>
          <w:rStyle w:val="VerbatimChar"/>
        </w:rPr>
        <w:t xml:space="preserve">bolusInsuficiente</w:t>
      </w:r>
      <w:r>
        <w:t xml:space="preserve">. Calcula</w:t>
      </w:r>
      <w:r>
        <w:t xml:space="preserve"> </w:t>
      </w:r>
      <w:r>
        <w:rPr>
          <w:rStyle w:val="VerbatimChar"/>
        </w:rPr>
        <w:t xml:space="preserve">dosisMinUI = peso × 0.05</w:t>
      </w:r>
      <w:r>
        <w:t xml:space="preserve">,</w:t>
      </w:r>
      <w:r>
        <w:t xml:space="preserve"> </w:t>
      </w:r>
      <w:r>
        <w:rPr>
          <w:rStyle w:val="VerbatimChar"/>
        </w:rPr>
        <w:t xml:space="preserve">dosisMaxUI = peso × 0.1</w:t>
      </w:r>
      <w:r>
        <w:t xml:space="preserve">.</w:t>
      </w:r>
    </w:p>
    <w:p>
      <w:pPr>
        <w:numPr>
          <w:ilvl w:val="0"/>
          <w:numId w:val="1128"/>
        </w:numPr>
        <w:pStyle w:val="Compact"/>
      </w:pPr>
      <w:r>
        <w:rPr>
          <w:b/>
        </w:rPr>
        <w:t xml:space="preserve">Por qué:</w:t>
      </w:r>
      <w:r>
        <w:t xml:space="preserve"> </w:t>
      </w:r>
      <w:r>
        <w:t xml:space="preserve">dosis de inicio estándar reutilizada de</w:t>
      </w:r>
      <w:r>
        <w:t xml:space="preserve"> </w:t>
      </w:r>
      <w:r>
        <w:rPr>
          <w:rStyle w:val="VerbatimChar"/>
        </w:rPr>
        <w:t xml:space="preserve">pharma-db.js</w:t>
      </w:r>
      <w:r>
        <w:t xml:space="preserve">; solo se sugiere bolo nuevo cuando la basal ya está funcionando, para no agregar un segundo componente antes de estabilizar el primero.</w:t>
      </w:r>
    </w:p>
    <w:p>
      <w:pPr>
        <w:numPr>
          <w:ilvl w:val="0"/>
          <w:numId w:val="1128"/>
        </w:numPr>
        <w:pStyle w:val="Compact"/>
      </w:pPr>
      <w:r>
        <w:rPr>
          <w:b/>
        </w:rPr>
        <w:t xml:space="preserve">Fuente:</w:t>
      </w:r>
      <w:r>
        <w:t xml:space="preserve"> </w:t>
      </w:r>
      <w:r>
        <w:t xml:space="preserve">reutilización de</w:t>
      </w:r>
      <w:r>
        <w:t xml:space="preserve"> </w:t>
      </w:r>
      <w:r>
        <w:rPr>
          <w:rStyle w:val="VerbatimChar"/>
        </w:rPr>
        <w:t xml:space="preserve">pharma-db.js</w:t>
      </w:r>
      <w:r>
        <w:t xml:space="preserve"> </w:t>
      </w:r>
      <w:r>
        <w:t xml:space="preserve">(Lispro/Aspart/Regular) — mismo patrón que la Regla 1; no se cita guía ADA/AACE específica para el rango numérico en</w:t>
      </w:r>
      <w:r>
        <w:t xml:space="preserve"> </w:t>
      </w:r>
      <w:r>
        <w:rPr>
          <w:rStyle w:val="VerbatimChar"/>
        </w:rPr>
        <w:t xml:space="preserve">insulin.js</w:t>
      </w:r>
      <w:r>
        <w:t xml:space="preserve">.</w:t>
      </w:r>
    </w:p>
    <w:p>
      <w:pPr>
        <w:numPr>
          <w:ilvl w:val="0"/>
          <w:numId w:val="1128"/>
        </w:numPr>
        <w:pStyle w:val="Compact"/>
      </w:pPr>
      <w:r>
        <w:rPr>
          <w:b/>
        </w:rPr>
        <w:t xml:space="preserve">Versión de la fuente:</w:t>
      </w:r>
      <w:r>
        <w:t xml:space="preserve"> </w:t>
      </w:r>
      <w:r>
        <w:t xml:space="preserve">No especificada en el código — pendiente de documentar.</w:t>
      </w:r>
    </w:p>
    <w:p>
      <w:pPr>
        <w:numPr>
          <w:ilvl w:val="0"/>
          <w:numId w:val="1128"/>
        </w:numPr>
        <w:pStyle w:val="Compact"/>
      </w:pPr>
      <w:r>
        <w:rPr>
          <w:b/>
        </w:rPr>
        <w:t xml:space="preserve">Fecha de revisión:</w:t>
      </w:r>
      <w:r>
        <w:t xml:space="preserve"> </w:t>
      </w:r>
      <w:r>
        <w:t xml:space="preserve">10-ago-2026 (regla base); 16-ago-2026 (lógica de indicación automática vía Triada, ver Regla 10).</w:t>
      </w:r>
    </w:p>
    <w:p>
      <w:pPr>
        <w:numPr>
          <w:ilvl w:val="0"/>
          <w:numId w:val="1128"/>
        </w:numPr>
        <w:pStyle w:val="Compact"/>
      </w:pPr>
      <w:r>
        <w:rPr>
          <w:b/>
        </w:rPr>
        <w:t xml:space="preserve">Quién revisó:</w:t>
      </w:r>
      <w:r>
        <w:t xml:space="preserve"> </w:t>
      </w:r>
      <w:r>
        <w:t xml:space="preserve">Dr. Ortega.</w:t>
      </w:r>
    </w:p>
    <w:p>
      <w:pPr>
        <w:numPr>
          <w:ilvl w:val="0"/>
          <w:numId w:val="1128"/>
        </w:numPr>
        <w:pStyle w:val="Compact"/>
      </w:pPr>
      <w:r>
        <w:rPr>
          <w:b/>
        </w:rPr>
        <w:t xml:space="preserve">Qué casos la validan:</w:t>
      </w:r>
      <w:r>
        <w:t xml:space="preserve"> </w:t>
      </w:r>
      <w:r>
        <w:rPr>
          <w:rStyle w:val="VerbatimChar"/>
        </w:rPr>
        <w:t xml:space="preserve">I7</w:t>
      </w:r>
      <w:r>
        <w:t xml:space="preserve"> </w:t>
      </w:r>
      <w:r>
        <w:t xml:space="preserve">(basal ok + posprandial elevada, sin bolo → sugerido nuevo, 4-8 UI/comida en 80 kg),</w:t>
      </w:r>
      <w:r>
        <w:t xml:space="preserve"> </w:t>
      </w:r>
      <w:r>
        <w:rPr>
          <w:rStyle w:val="VerbatimChar"/>
        </w:rPr>
        <w:t xml:space="preserve">I8</w:t>
      </w:r>
      <w:r>
        <w:t xml:space="preserve"> </w:t>
      </w:r>
      <w:r>
        <w:t xml:space="preserve">(bolo ya activo + posprandial elevada → reevaluar ajuste),</w:t>
      </w:r>
      <w:r>
        <w:t xml:space="preserve"> </w:t>
      </w:r>
      <w:r>
        <w:rPr>
          <w:rStyle w:val="VerbatimChar"/>
        </w:rPr>
        <w:t xml:space="preserve">I9</w:t>
      </w:r>
      <w:r>
        <w:t xml:space="preserve"> </w:t>
      </w:r>
      <w:r>
        <w:t xml:space="preserve">(virgen de basal + posprandial elevada → NO sugiere bolo),</w:t>
      </w:r>
      <w:r>
        <w:t xml:space="preserve"> </w:t>
      </w:r>
      <w:r>
        <w:rPr>
          <w:rStyle w:val="VerbatimChar"/>
        </w:rPr>
        <w:t xml:space="preserve">I10</w:t>
      </w:r>
      <w:r>
        <w:t xml:space="preserve"> </w:t>
      </w:r>
      <w:r>
        <w:t xml:space="preserve">(ayuno también elevado → NO sugiere bolo, prioriza corregir basal).</w:t>
      </w:r>
    </w:p>
    <w:p>
      <w:pPr>
        <w:numPr>
          <w:ilvl w:val="0"/>
          <w:numId w:val="1128"/>
        </w:numPr>
        <w:pStyle w:val="Compact"/>
      </w:pPr>
      <w:r>
        <w:rPr>
          <w:b/>
        </w:rPr>
        <w:t xml:space="preserve">Qué excepciones tiene:</w:t>
      </w:r>
      <w:r>
        <w:t xml:space="preserve"> </w:t>
      </w:r>
      <w:r>
        <w:t xml:space="preserve">por diseño (validado por pruebas), un paciente virgen de insulina basal NO recibe sugerencia de bolo aunque tenga posprandial elevada (requiere base basal primero); y si la basal también está insuficiente (ayuno elevado), tampoco se sugiere bolo nuevo — se prioriza corregir la basal.</w:t>
      </w:r>
    </w:p>
    <w:p>
      <w:pPr>
        <w:numPr>
          <w:ilvl w:val="0"/>
          <w:numId w:val="1128"/>
        </w:numPr>
        <w:pStyle w:val="Compact"/>
      </w:pPr>
      <w:r>
        <w:rPr>
          <w:b/>
        </w:rPr>
        <w:t xml:space="preserve">Qué ocurre si faltan datos:</w:t>
      </w:r>
      <w:r>
        <w:t xml:space="preserve"> </w:t>
      </w:r>
      <w:r>
        <w:t xml:space="preserve">si aplica pero</w:t>
      </w:r>
      <w:r>
        <w:t xml:space="preserve"> </w:t>
      </w:r>
      <w:r>
        <w:rPr>
          <w:rStyle w:val="VerbatimChar"/>
        </w:rPr>
        <w:t xml:space="preserve">peso &lt;= 0</w:t>
      </w:r>
      <w:r>
        <w:t xml:space="preserve">, retorna</w:t>
      </w:r>
      <w:r>
        <w:t xml:space="preserve"> </w:t>
      </w:r>
      <w:r>
        <w:rPr>
          <w:rStyle w:val="VerbatimChar"/>
        </w:rPr>
        <w:t xml:space="preserve">{ aplica: true, estado: "sin_peso" }</w:t>
      </w:r>
      <w:r>
        <w:t xml:space="preserve"> </w:t>
      </w:r>
      <w:r>
        <w:t xml:space="preserve">sin dosis numérica.</w:t>
      </w:r>
    </w:p>
    <w:p>
      <w:pPr>
        <w:numPr>
          <w:ilvl w:val="0"/>
          <w:numId w:val="1128"/>
        </w:numPr>
        <w:pStyle w:val="Compact"/>
      </w:pPr>
      <w:r>
        <w:rPr>
          <w:b/>
        </w:rPr>
        <w:t xml:space="preserve">Qué ocurre si dos guías discrepan:</w:t>
      </w:r>
      <w:r>
        <w:t xml:space="preserve"> </w:t>
      </w:r>
      <w:r>
        <w:t xml:space="preserve">No aplica / sin discrepancia documentada para esta regla.</w:t>
      </w:r>
    </w:p>
    <w:p>
      <w:pPr>
        <w:pStyle w:val="Heading2"/>
      </w:pPr>
      <w:bookmarkStart w:id="174" w:name="Xdd4e470125a7647d66955b0d12c9e461ff4c1af"/>
      <w:r>
        <w:t xml:space="preserve">Regla 8 — Factor de Sensibilidad a la Insulina (ISF) — reglas 1800/1500</w:t>
      </w:r>
      <w:bookmarkEnd w:id="174"/>
    </w:p>
    <w:p>
      <w:pPr>
        <w:numPr>
          <w:ilvl w:val="0"/>
          <w:numId w:val="1129"/>
        </w:numPr>
        <w:pStyle w:val="Compact"/>
      </w:pPr>
      <w:r>
        <w:rPr>
          <w:b/>
        </w:rPr>
        <w:t xml:space="preserve">Qué hace:</w:t>
      </w:r>
      <w:r>
        <w:t xml:space="preserve"> </w:t>
      </w:r>
      <w:r>
        <w:rPr>
          <w:rStyle w:val="VerbatimChar"/>
        </w:rPr>
        <w:t xml:space="preserve">computeISF(tdd, { insulinaRegular })</w:t>
      </w:r>
      <w:r>
        <w:t xml:space="preserve"> </w:t>
      </w:r>
      <w:r>
        <w:t xml:space="preserve">calcula</w:t>
      </w:r>
      <w:r>
        <w:t xml:space="preserve"> </w:t>
      </w:r>
      <w:r>
        <w:rPr>
          <w:rStyle w:val="VerbatimChar"/>
        </w:rPr>
        <w:t xml:space="preserve">ISF = 1800/TDD</w:t>
      </w:r>
      <w:r>
        <w:t xml:space="preserve"> </w:t>
      </w:r>
      <w:r>
        <w:t xml:space="preserve">(análogos rápidos, por defecto) o</w:t>
      </w:r>
      <w:r>
        <w:t xml:space="preserve"> </w:t>
      </w:r>
      <w:r>
        <w:rPr>
          <w:rStyle w:val="VerbatimChar"/>
        </w:rPr>
        <w:t xml:space="preserve">ISF = 1500/TDD</w:t>
      </w:r>
      <w:r>
        <w:t xml:space="preserve"> </w:t>
      </w:r>
      <w:r>
        <w:t xml:space="preserve">(insulina Regular), redondeado.</w:t>
      </w:r>
    </w:p>
    <w:p>
      <w:pPr>
        <w:numPr>
          <w:ilvl w:val="0"/>
          <w:numId w:val="1129"/>
        </w:numPr>
        <w:pStyle w:val="Compact"/>
      </w:pPr>
      <w:r>
        <w:rPr>
          <w:b/>
        </w:rPr>
        <w:t xml:space="preserve">Por qué:</w:t>
      </w:r>
      <w:r>
        <w:t xml:space="preserve"> </w:t>
      </w:r>
      <w:r>
        <w:t xml:space="preserve">estimar cuánto baja la glucosa 1 UI de insulina rápida, como punto de partida para dosis de corrección.</w:t>
      </w:r>
    </w:p>
    <w:p>
      <w:pPr>
        <w:numPr>
          <w:ilvl w:val="0"/>
          <w:numId w:val="1129"/>
        </w:numPr>
        <w:pStyle w:val="Compact"/>
      </w:pPr>
      <w:r>
        <w:rPr>
          <w:b/>
        </w:rPr>
        <w:t xml:space="preserve">Fuente:</w:t>
      </w:r>
      <w:r>
        <w:t xml:space="preserve"> </w:t>
      </w:r>
      <w:r>
        <w:t xml:space="preserve">“</w:t>
      </w:r>
      <w:r>
        <w:t xml:space="preserve">reglas prácticas estándar, ampliamente enseñadas en educación en diabetes (ej. American Association of Diabetes Educators; Walsh &amp; Roberts,</w:t>
      </w:r>
      <w:r>
        <w:t xml:space="preserve"> </w:t>
      </w:r>
      <w:r>
        <w:t xml:space="preserve">‘</w:t>
      </w:r>
      <w:r>
        <w:t xml:space="preserve">Pumping Insulin</w:t>
      </w:r>
      <w:r>
        <w:t xml:space="preserve">’</w:t>
      </w:r>
      <w:r>
        <w:t xml:space="preserve">)</w:t>
      </w:r>
      <w:r>
        <w:t xml:space="preserve">”</w:t>
      </w:r>
      <w:r>
        <w:t xml:space="preserve"> </w:t>
      </w:r>
      <w:r>
        <w:t xml:space="preserve">— el propio comentario aclara explícitamente que</w:t>
      </w:r>
      <w:r>
        <w:t xml:space="preserve"> </w:t>
      </w:r>
      <w:r>
        <w:rPr>
          <w:b/>
        </w:rPr>
        <w:t xml:space="preserve">no</w:t>
      </w:r>
      <w:r>
        <w:t xml:space="preserve"> </w:t>
      </w:r>
      <w:r>
        <w:t xml:space="preserve">son una fórmula de una guía ADA/AACE específica, sino una convención práctica establecida (líneas 253-258), equiparada a otros convencionalismos ya declarados en el proyecto (ej. techo de hemoglobina en</w:t>
      </w:r>
      <w:r>
        <w:t xml:space="preserve"> </w:t>
      </w:r>
      <w:r>
        <w:rPr>
          <w:rStyle w:val="VerbatimChar"/>
        </w:rPr>
        <w:t xml:space="preserve">borderline-labs.js</w:t>
      </w:r>
      <w:r>
        <w:t xml:space="preserve">).</w:t>
      </w:r>
    </w:p>
    <w:p>
      <w:pPr>
        <w:numPr>
          <w:ilvl w:val="0"/>
          <w:numId w:val="1129"/>
        </w:numPr>
        <w:pStyle w:val="Compact"/>
      </w:pPr>
      <w:r>
        <w:rPr>
          <w:b/>
        </w:rPr>
        <w:t xml:space="preserve">Versión de la fuente:</w:t>
      </w:r>
      <w:r>
        <w:t xml:space="preserve"> </w:t>
      </w:r>
      <w:r>
        <w:t xml:space="preserve">No especificada en el código — pendiente de documentar (no se cita edición de</w:t>
      </w:r>
      <w:r>
        <w:t xml:space="preserve"> </w:t>
      </w:r>
      <w:r>
        <w:t xml:space="preserve">“</w:t>
      </w:r>
      <w:r>
        <w:t xml:space="preserve">Pumping Insulin</w:t>
      </w:r>
      <w:r>
        <w:t xml:space="preserve">”</w:t>
      </w:r>
      <w:r>
        <w:t xml:space="preserve"> </w:t>
      </w:r>
      <w:r>
        <w:t xml:space="preserve">ni año de material de AADE).</w:t>
      </w:r>
    </w:p>
    <w:p>
      <w:pPr>
        <w:numPr>
          <w:ilvl w:val="0"/>
          <w:numId w:val="1129"/>
        </w:numPr>
        <w:pStyle w:val="Compact"/>
      </w:pPr>
      <w:r>
        <w:rPr>
          <w:b/>
        </w:rPr>
        <w:t xml:space="preserve">Fecha de revisión:</w:t>
      </w:r>
      <w:r>
        <w:t xml:space="preserve"> </w:t>
      </w:r>
      <w:r>
        <w:t xml:space="preserve">11-ago-2026.</w:t>
      </w:r>
    </w:p>
    <w:p>
      <w:pPr>
        <w:numPr>
          <w:ilvl w:val="0"/>
          <w:numId w:val="1129"/>
        </w:numPr>
        <w:pStyle w:val="Compact"/>
      </w:pPr>
      <w:r>
        <w:rPr>
          <w:b/>
        </w:rPr>
        <w:t xml:space="preserve">Quién revisó:</w:t>
      </w:r>
      <w:r>
        <w:t xml:space="preserve"> </w:t>
      </w:r>
      <w:r>
        <w:t xml:space="preserve">Dr. Ortega.</w:t>
      </w:r>
    </w:p>
    <w:p>
      <w:pPr>
        <w:numPr>
          <w:ilvl w:val="0"/>
          <w:numId w:val="1129"/>
        </w:numPr>
        <w:pStyle w:val="Compact"/>
      </w:pPr>
      <w:r>
        <w:rPr>
          <w:b/>
        </w:rPr>
        <w:t xml:space="preserve">Qué casos la validan:</w:t>
      </w:r>
      <w:r>
        <w:t xml:space="preserve"> </w:t>
      </w:r>
      <w:r>
        <w:rPr>
          <w:rStyle w:val="VerbatimChar"/>
        </w:rPr>
        <w:t xml:space="preserve">I18</w:t>
      </w:r>
      <w:r>
        <w:t xml:space="preserve"> </w:t>
      </w:r>
      <w:r>
        <w:t xml:space="preserve">— TDD=50, rápida → 36 mg/dL/UI; TDD=50, Regular → 30 mg/dL/UI; TDD=0 →</w:t>
      </w:r>
      <w:r>
        <w:t xml:space="preserve"> </w:t>
      </w:r>
      <w:r>
        <w:rPr>
          <w:rStyle w:val="VerbatimChar"/>
        </w:rPr>
        <w:t xml:space="preserve">null</w:t>
      </w:r>
      <w:r>
        <w:t xml:space="preserve">.</w:t>
      </w:r>
    </w:p>
    <w:p>
      <w:pPr>
        <w:numPr>
          <w:ilvl w:val="0"/>
          <w:numId w:val="1129"/>
        </w:numPr>
        <w:pStyle w:val="Compact"/>
      </w:pPr>
      <w:r>
        <w:rPr>
          <w:b/>
        </w:rPr>
        <w:t xml:space="preserve">Qué excepciones tiene:</w:t>
      </w:r>
      <w:r>
        <w:t xml:space="preserve"> </w:t>
      </w:r>
      <w:r>
        <w:t xml:space="preserve">ninguna ajustada automáticamente por función renal, hepatopatía o esquema de bomba — el desplegable educativo advierte textualmente que estas calculadoras</w:t>
      </w:r>
      <w:r>
        <w:t xml:space="preserve"> </w:t>
      </w:r>
      <w:r>
        <w:t xml:space="preserve">“</w:t>
      </w:r>
      <w:r>
        <w:t xml:space="preserve">no son válidas sin ajuste adicional</w:t>
      </w:r>
      <w:r>
        <w:t xml:space="preserve">”</w:t>
      </w:r>
      <w:r>
        <w:t xml:space="preserve"> </w:t>
      </w:r>
      <w:r>
        <w:t xml:space="preserve">en esos escenarios, pero es solo texto; el cálculo numérico no aplica ningún ajuste ni bloqueo.</w:t>
      </w:r>
    </w:p>
    <w:p>
      <w:pPr>
        <w:numPr>
          <w:ilvl w:val="0"/>
          <w:numId w:val="1129"/>
        </w:numPr>
        <w:pStyle w:val="Compact"/>
      </w:pPr>
      <w:r>
        <w:rPr>
          <w:b/>
        </w:rPr>
        <w:t xml:space="preserve">Qué ocurre si faltan datos:</w:t>
      </w:r>
      <w:r>
        <w:t xml:space="preserve"> </w:t>
      </w:r>
      <w:r>
        <w:rPr>
          <w:rStyle w:val="VerbatimChar"/>
        </w:rPr>
        <w:t xml:space="preserve">!(tdd &gt; 0)</w:t>
      </w:r>
      <w:r>
        <w:t xml:space="preserve"> </w:t>
      </w:r>
      <w:r>
        <w:t xml:space="preserve">→ retorna</w:t>
      </w:r>
      <w:r>
        <w:t xml:space="preserve"> </w:t>
      </w:r>
      <w:r>
        <w:rPr>
          <w:rStyle w:val="VerbatimChar"/>
        </w:rPr>
        <w:t xml:space="preserve">null</w:t>
      </w:r>
      <w:r>
        <w:t xml:space="preserve"> </w:t>
      </w:r>
      <w:r>
        <w:t xml:space="preserve">explícitamente, no truena, no inventa un ISF (validado por prueba).</w:t>
      </w:r>
    </w:p>
    <w:p>
      <w:pPr>
        <w:numPr>
          <w:ilvl w:val="0"/>
          <w:numId w:val="1129"/>
        </w:numPr>
        <w:pStyle w:val="Compact"/>
      </w:pPr>
      <w:r>
        <w:rPr>
          <w:b/>
        </w:rPr>
        <w:t xml:space="preserve">Qué ocurre si dos guías discrepan:</w:t>
      </w:r>
      <w:r>
        <w:t xml:space="preserve"> </w:t>
      </w:r>
      <w:r>
        <w:t xml:space="preserve">No aplica — el propio código se documenta como convención práctica, no como guía formal única; no hay conflicto declarado entre fuentes.</w:t>
      </w:r>
    </w:p>
    <w:p>
      <w:pPr>
        <w:pStyle w:val="Heading2"/>
      </w:pPr>
      <w:bookmarkStart w:id="175" w:name="Xf691f8b99c3a63a86c008753a59e5568aa67a8c"/>
      <w:r>
        <w:t xml:space="preserve">Regla 9 — Relación Insulina:Carbohidratos (ICR) — regla 500</w:t>
      </w:r>
      <w:bookmarkEnd w:id="175"/>
    </w:p>
    <w:p>
      <w:pPr>
        <w:numPr>
          <w:ilvl w:val="0"/>
          <w:numId w:val="1130"/>
        </w:numPr>
        <w:pStyle w:val="Compact"/>
      </w:pPr>
      <w:r>
        <w:rPr>
          <w:b/>
        </w:rPr>
        <w:t xml:space="preserve">Qué hace:</w:t>
      </w:r>
      <w:r>
        <w:t xml:space="preserve"> </w:t>
      </w:r>
      <w:r>
        <w:rPr>
          <w:rStyle w:val="VerbatimChar"/>
        </w:rPr>
        <w:t xml:space="preserve">computeICR(tdd)</w:t>
      </w:r>
      <w:r>
        <w:t xml:space="preserve"> </w:t>
      </w:r>
      <w:r>
        <w:t xml:space="preserve">calcula</w:t>
      </w:r>
      <w:r>
        <w:t xml:space="preserve"> </w:t>
      </w:r>
      <w:r>
        <w:rPr>
          <w:rStyle w:val="VerbatimChar"/>
        </w:rPr>
        <w:t xml:space="preserve">ICR = 500/TDD</w:t>
      </w:r>
      <w:r>
        <w:t xml:space="preserve">, redondeado, en gramos de carbohidrato por UI.</w:t>
      </w:r>
    </w:p>
    <w:p>
      <w:pPr>
        <w:numPr>
          <w:ilvl w:val="0"/>
          <w:numId w:val="1130"/>
        </w:numPr>
        <w:pStyle w:val="Compact"/>
      </w:pPr>
      <w:r>
        <w:rPr>
          <w:b/>
        </w:rPr>
        <w:t xml:space="preserve">Por qué:</w:t>
      </w:r>
      <w:r>
        <w:t xml:space="preserve"> </w:t>
      </w:r>
      <w:r>
        <w:t xml:space="preserve">estimar cuántos gramos de carbohidrato cubre 1 UI de insulina rápida.</w:t>
      </w:r>
    </w:p>
    <w:p>
      <w:pPr>
        <w:numPr>
          <w:ilvl w:val="0"/>
          <w:numId w:val="1130"/>
        </w:numPr>
        <w:pStyle w:val="Compact"/>
      </w:pPr>
      <w:r>
        <w:rPr>
          <w:b/>
        </w:rPr>
        <w:t xml:space="preserve">Fuente:</w:t>
      </w:r>
      <w:r>
        <w:t xml:space="preserve"> </w:t>
      </w:r>
      <w:r>
        <w:t xml:space="preserve">misma familia de reglas prácticas estándar de educación en diabetes que la Regla 8 (mismo bloque de comentario, líneas 228-263).</w:t>
      </w:r>
    </w:p>
    <w:p>
      <w:pPr>
        <w:numPr>
          <w:ilvl w:val="0"/>
          <w:numId w:val="1130"/>
        </w:numPr>
        <w:pStyle w:val="Compact"/>
      </w:pPr>
      <w:r>
        <w:rPr>
          <w:b/>
        </w:rPr>
        <w:t xml:space="preserve">Versión de la fuente:</w:t>
      </w:r>
      <w:r>
        <w:t xml:space="preserve"> </w:t>
      </w:r>
      <w:r>
        <w:t xml:space="preserve">No especificada en el código — pendiente de documentar.</w:t>
      </w:r>
    </w:p>
    <w:p>
      <w:pPr>
        <w:numPr>
          <w:ilvl w:val="0"/>
          <w:numId w:val="1130"/>
        </w:numPr>
        <w:pStyle w:val="Compact"/>
      </w:pPr>
      <w:r>
        <w:rPr>
          <w:b/>
        </w:rPr>
        <w:t xml:space="preserve">Fecha de revisión:</w:t>
      </w:r>
      <w:r>
        <w:t xml:space="preserve"> </w:t>
      </w:r>
      <w:r>
        <w:t xml:space="preserve">11-ago-2026.</w:t>
      </w:r>
    </w:p>
    <w:p>
      <w:pPr>
        <w:numPr>
          <w:ilvl w:val="0"/>
          <w:numId w:val="1130"/>
        </w:numPr>
        <w:pStyle w:val="Compact"/>
      </w:pPr>
      <w:r>
        <w:rPr>
          <w:b/>
        </w:rPr>
        <w:t xml:space="preserve">Quién revisó:</w:t>
      </w:r>
      <w:r>
        <w:t xml:space="preserve"> </w:t>
      </w:r>
      <w:r>
        <w:t xml:space="preserve">Dr. Ortega.</w:t>
      </w:r>
    </w:p>
    <w:p>
      <w:pPr>
        <w:numPr>
          <w:ilvl w:val="0"/>
          <w:numId w:val="1130"/>
        </w:numPr>
        <w:pStyle w:val="Compact"/>
      </w:pPr>
      <w:r>
        <w:rPr>
          <w:b/>
        </w:rPr>
        <w:t xml:space="preserve">Qué casos la validan:</w:t>
      </w:r>
      <w:r>
        <w:t xml:space="preserve"> </w:t>
      </w:r>
      <w:r>
        <w:rPr>
          <w:rStyle w:val="VerbatimChar"/>
        </w:rPr>
        <w:t xml:space="preserve">I19</w:t>
      </w:r>
      <w:r>
        <w:t xml:space="preserve"> </w:t>
      </w:r>
      <w:r>
        <w:t xml:space="preserve">— TDD=50 → 10 g/UI; TDD=</w:t>
      </w:r>
      <w:r>
        <w:rPr>
          <w:rStyle w:val="VerbatimChar"/>
        </w:rPr>
        <w:t xml:space="preserve">null</w:t>
      </w:r>
      <w:r>
        <w:t xml:space="preserve"> </w:t>
      </w:r>
      <w:r>
        <w:t xml:space="preserve">→</w:t>
      </w:r>
      <w:r>
        <w:t xml:space="preserve"> </w:t>
      </w:r>
      <w:r>
        <w:rPr>
          <w:rStyle w:val="VerbatimChar"/>
        </w:rPr>
        <w:t xml:space="preserve">null</w:t>
      </w:r>
      <w:r>
        <w:t xml:space="preserve">.</w:t>
      </w:r>
    </w:p>
    <w:p>
      <w:pPr>
        <w:numPr>
          <w:ilvl w:val="0"/>
          <w:numId w:val="1130"/>
        </w:numPr>
        <w:pStyle w:val="Compact"/>
      </w:pPr>
      <w:r>
        <w:rPr>
          <w:b/>
        </w:rPr>
        <w:t xml:space="preserve">Qué excepciones tiene:</w:t>
      </w:r>
      <w:r>
        <w:t xml:space="preserve"> </w:t>
      </w:r>
      <w:r>
        <w:t xml:space="preserve">ninguna ajustada automáticamente (mismo límite que la Regla 8, documentado solo como texto educativo).</w:t>
      </w:r>
    </w:p>
    <w:p>
      <w:pPr>
        <w:numPr>
          <w:ilvl w:val="0"/>
          <w:numId w:val="1130"/>
        </w:numPr>
        <w:pStyle w:val="Compact"/>
      </w:pPr>
      <w:r>
        <w:rPr>
          <w:b/>
        </w:rPr>
        <w:t xml:space="preserve">Qué ocurre si faltan datos:</w:t>
      </w:r>
      <w:r>
        <w:t xml:space="preserve"> </w:t>
      </w:r>
      <w:r>
        <w:rPr>
          <w:rStyle w:val="VerbatimChar"/>
        </w:rPr>
        <w:t xml:space="preserve">!(tdd &gt; 0)</w:t>
      </w:r>
      <w:r>
        <w:t xml:space="preserve"> </w:t>
      </w:r>
      <w:r>
        <w:t xml:space="preserve">→</w:t>
      </w:r>
      <w:r>
        <w:t xml:space="preserve"> </w:t>
      </w:r>
      <w:r>
        <w:rPr>
          <w:rStyle w:val="VerbatimChar"/>
        </w:rPr>
        <w:t xml:space="preserve">null</w:t>
      </w:r>
      <w:r>
        <w:t xml:space="preserve">, no truena.</w:t>
      </w:r>
    </w:p>
    <w:p>
      <w:pPr>
        <w:numPr>
          <w:ilvl w:val="0"/>
          <w:numId w:val="1130"/>
        </w:numPr>
        <w:pStyle w:val="Compact"/>
      </w:pPr>
      <w:r>
        <w:rPr>
          <w:b/>
        </w:rPr>
        <w:t xml:space="preserve">Qué ocurre si dos guías discrepan:</w:t>
      </w:r>
      <w:r>
        <w:t xml:space="preserve"> </w:t>
      </w:r>
      <w:r>
        <w:t xml:space="preserve">No aplica / sin discrepancia documentada para esta regla.</w:t>
      </w:r>
    </w:p>
    <w:p>
      <w:pPr>
        <w:pStyle w:val="Heading2"/>
      </w:pPr>
      <w:bookmarkStart w:id="176" w:name="Xf70c06b6b7f5ce7e02a1d796a1e0ac511576fb6"/>
      <w:r>
        <w:t xml:space="preserve">Regla 10 — Dosis de corrección del bolo: (glucosa actual − meta) / ISF, nunca negativa</w:t>
      </w:r>
      <w:bookmarkEnd w:id="176"/>
    </w:p>
    <w:p>
      <w:pPr>
        <w:numPr>
          <w:ilvl w:val="0"/>
          <w:numId w:val="1131"/>
        </w:numPr>
        <w:pStyle w:val="Compact"/>
      </w:pPr>
      <w:r>
        <w:rPr>
          <w:b/>
        </w:rPr>
        <w:t xml:space="preserve">Qué hace:</w:t>
      </w:r>
      <w:r>
        <w:t xml:space="preserve"> </w:t>
      </w:r>
      <w:r>
        <w:rPr>
          <w:rStyle w:val="VerbatimChar"/>
        </w:rPr>
        <w:t xml:space="preserve">computeCorrectionDose(glucosaActual, metaGlucosa, isf)</w:t>
      </w:r>
      <w:r>
        <w:t xml:space="preserve"> </w:t>
      </w:r>
      <w:r>
        <w:t xml:space="preserve">calcula</w:t>
      </w:r>
      <w:r>
        <w:t xml:space="preserve"> </w:t>
      </w:r>
      <w:r>
        <w:rPr>
          <w:rStyle w:val="VerbatimChar"/>
        </w:rPr>
        <w:t xml:space="preserve">(glucosa − meta) / ISF</w:t>
      </w:r>
      <w:r>
        <w:t xml:space="preserve">, redondeado a 1 decimal; si la diferencia es ≤0, retorna 0 (nunca negativo).</w:t>
      </w:r>
      <w:r>
        <w:t xml:space="preserve"> </w:t>
      </w:r>
      <w:r>
        <w:rPr>
          <w:rStyle w:val="VerbatimChar"/>
        </w:rPr>
        <w:t xml:space="preserve">computeBolusCorrection</w:t>
      </w:r>
      <w:r>
        <w:t xml:space="preserve"> </w:t>
      </w:r>
      <w:r>
        <w:t xml:space="preserve">aplica esta fórmula</w:t>
      </w:r>
      <w:r>
        <w:t xml:space="preserve"> </w:t>
      </w:r>
      <w:r>
        <w:rPr>
          <w:b/>
        </w:rPr>
        <w:t xml:space="preserve">automáticamente</w:t>
      </w:r>
      <w:r>
        <w:t xml:space="preserve"> </w:t>
      </w:r>
      <w:r>
        <w:t xml:space="preserve">a los puntos preprandial (meta = techo de ayuno) y posprandial (meta = techo posprandial)</w:t>
      </w:r>
      <w:r>
        <w:t xml:space="preserve"> </w:t>
      </w:r>
      <w:r>
        <w:rPr>
          <w:b/>
        </w:rPr>
        <w:t xml:space="preserve">solo cuando la Triada ya los marcó como</w:t>
      </w:r>
      <w:r>
        <w:rPr>
          <w:b/>
        </w:rPr>
        <w:t xml:space="preserve"> </w:t>
      </w:r>
      <w:r>
        <w:rPr>
          <w:b/>
        </w:rPr>
        <w:t xml:space="preserve">“</w:t>
      </w:r>
      <w:r>
        <w:rPr>
          <w:b/>
        </w:rPr>
        <w:t xml:space="preserve">elevado</w:t>
      </w:r>
      <w:r>
        <w:rPr>
          <w:b/>
        </w:rPr>
        <w:t xml:space="preserve">”</w:t>
      </w:r>
      <w:r>
        <w:t xml:space="preserve">, usando el TDD/ISF vigentes (override manual del médico o</w:t>
      </w:r>
      <w:r>
        <w:t xml:space="preserve"> </w:t>
      </w:r>
      <w:r>
        <w:rPr>
          <w:rStyle w:val="VerbatimChar"/>
        </w:rPr>
        <w:t xml:space="preserve">estimateTDD</w:t>
      </w:r>
      <w:r>
        <w:t xml:space="preserve">).</w:t>
      </w:r>
    </w:p>
    <w:p>
      <w:pPr>
        <w:numPr>
          <w:ilvl w:val="0"/>
          <w:numId w:val="1131"/>
        </w:numPr>
        <w:pStyle w:val="Compact"/>
      </w:pPr>
      <w:r>
        <w:rPr>
          <w:b/>
        </w:rPr>
        <w:t xml:space="preserve">Por qué:</w:t>
      </w:r>
      <w:r>
        <w:t xml:space="preserve"> </w:t>
      </w:r>
      <w:r>
        <w:t xml:space="preserve">agregado a petición explícita del Dr. Ortega (16-ago-2026:</w:t>
      </w:r>
      <w:r>
        <w:t xml:space="preserve"> </w:t>
      </w:r>
      <w:r>
        <w:t xml:space="preserve">“</w:t>
      </w:r>
      <w:r>
        <w:t xml:space="preserve">que dé el recuadro del bolo ya calculado</w:t>
      </w:r>
      <w:r>
        <w:t xml:space="preserve">”</w:t>
      </w:r>
      <w:r>
        <w:t xml:space="preserve">) para que el médico no tenga que volver a teclear los mismos valores en la calculadora manual de Titulación — reutiliza exactamente la fórmula ya existente.</w:t>
      </w:r>
    </w:p>
    <w:p>
      <w:pPr>
        <w:numPr>
          <w:ilvl w:val="0"/>
          <w:numId w:val="1131"/>
        </w:numPr>
        <w:pStyle w:val="Compact"/>
      </w:pPr>
      <w:r>
        <w:rPr>
          <w:b/>
        </w:rPr>
        <w:t xml:space="preserve">Fuente:</w:t>
      </w:r>
      <w:r>
        <w:t xml:space="preserve"> </w:t>
      </w:r>
      <w:r>
        <w:t xml:space="preserve">misma</w:t>
      </w:r>
      <w:r>
        <w:t xml:space="preserve"> </w:t>
      </w:r>
      <w:r>
        <w:t xml:space="preserve">“</w:t>
      </w:r>
      <w:r>
        <w:t xml:space="preserve">regla práctica estándar</w:t>
      </w:r>
      <w:r>
        <w:t xml:space="preserve">”</w:t>
      </w:r>
      <w:r>
        <w:t xml:space="preserve"> </w:t>
      </w:r>
      <w:r>
        <w:t xml:space="preserve">de ISF (1800/1500) aplicada a la fórmula clásica de dosis de corrección; no se cita una guía ADA específica para la fórmula de corrección en sí dentro de</w:t>
      </w:r>
      <w:r>
        <w:t xml:space="preserve"> </w:t>
      </w:r>
      <w:r>
        <w:rPr>
          <w:rStyle w:val="VerbatimChar"/>
        </w:rPr>
        <w:t xml:space="preserve">insulin.js</w:t>
      </w:r>
      <w:r>
        <w:t xml:space="preserve">.</w:t>
      </w:r>
    </w:p>
    <w:p>
      <w:pPr>
        <w:numPr>
          <w:ilvl w:val="0"/>
          <w:numId w:val="1131"/>
        </w:numPr>
        <w:pStyle w:val="Compact"/>
      </w:pPr>
      <w:r>
        <w:rPr>
          <w:b/>
        </w:rPr>
        <w:t xml:space="preserve">Versión de la fuente:</w:t>
      </w:r>
      <w:r>
        <w:t xml:space="preserve"> </w:t>
      </w:r>
      <w:r>
        <w:t xml:space="preserve">No especificada en el código — pendiente de documentar.</w:t>
      </w:r>
    </w:p>
    <w:p>
      <w:pPr>
        <w:numPr>
          <w:ilvl w:val="0"/>
          <w:numId w:val="1131"/>
        </w:numPr>
        <w:pStyle w:val="Compact"/>
      </w:pPr>
      <w:r>
        <w:rPr>
          <w:b/>
        </w:rPr>
        <w:t xml:space="preserve">Fecha de revisión:</w:t>
      </w:r>
      <w:r>
        <w:t xml:space="preserve"> </w:t>
      </w:r>
      <w:r>
        <w:t xml:space="preserve">16-ago-2026 (automatización); 11-ago-2026 (fórmula base en la calculadora manual de Titulación).</w:t>
      </w:r>
    </w:p>
    <w:p>
      <w:pPr>
        <w:numPr>
          <w:ilvl w:val="0"/>
          <w:numId w:val="1131"/>
        </w:numPr>
        <w:pStyle w:val="Compact"/>
      </w:pPr>
      <w:r>
        <w:rPr>
          <w:b/>
        </w:rPr>
        <w:t xml:space="preserve">Quién revisó:</w:t>
      </w:r>
      <w:r>
        <w:t xml:space="preserve"> </w:t>
      </w:r>
      <w:r>
        <w:t xml:space="preserve">Dr. Ortega.</w:t>
      </w:r>
    </w:p>
    <w:p>
      <w:pPr>
        <w:numPr>
          <w:ilvl w:val="0"/>
          <w:numId w:val="1131"/>
        </w:numPr>
        <w:pStyle w:val="Compact"/>
      </w:pPr>
      <w:r>
        <w:rPr>
          <w:b/>
        </w:rPr>
        <w:t xml:space="preserve">Qué casos la validan:</w:t>
      </w:r>
      <w:r>
        <w:t xml:space="preserve"> </w:t>
      </w:r>
      <w:r>
        <w:rPr>
          <w:rStyle w:val="VerbatimChar"/>
        </w:rPr>
        <w:t xml:space="preserve">I20</w:t>
      </w:r>
      <w:r>
        <w:t xml:space="preserve"> </w:t>
      </w:r>
      <w:r>
        <w:t xml:space="preserve">— glucosa 250, meta 120, ISF 36 → 3.6 UI; glucosa 100, meta 120 → 0 UI (nunca negativa); glucosa 0 →</w:t>
      </w:r>
      <w:r>
        <w:t xml:space="preserve"> </w:t>
      </w:r>
      <w:r>
        <w:rPr>
          <w:rStyle w:val="VerbatimChar"/>
        </w:rPr>
        <w:t xml:space="preserve">null</w:t>
      </w:r>
      <w:r>
        <w:t xml:space="preserve">.</w:t>
      </w:r>
    </w:p>
    <w:p>
      <w:pPr>
        <w:numPr>
          <w:ilvl w:val="0"/>
          <w:numId w:val="1131"/>
        </w:numPr>
        <w:pStyle w:val="Compact"/>
      </w:pPr>
      <w:r>
        <w:rPr>
          <w:b/>
        </w:rPr>
        <w:t xml:space="preserve">Qué excepciones tiene:</w:t>
      </w:r>
      <w:r>
        <w:t xml:space="preserve"> </w:t>
      </w:r>
      <w:r>
        <w:t xml:space="preserve">la corrección automática (</w:t>
      </w:r>
      <w:r>
        <w:rPr>
          <w:rStyle w:val="VerbatimChar"/>
        </w:rPr>
        <w:t xml:space="preserve">computeBolusCorrection</w:t>
      </w:r>
      <w:r>
        <w:t xml:space="preserve">) solo se activa si el punto (preprandial/posprandial) ya está marcado</w:t>
      </w:r>
      <w:r>
        <w:t xml:space="preserve"> </w:t>
      </w:r>
      <w:r>
        <w:t xml:space="preserve">“</w:t>
      </w:r>
      <w:r>
        <w:t xml:space="preserve">elevado</w:t>
      </w:r>
      <w:r>
        <w:t xml:space="preserve">”</w:t>
      </w:r>
      <w:r>
        <w:t xml:space="preserve"> </w:t>
      </w:r>
      <w:r>
        <w:t xml:space="preserve">por la Triada — si está en meta o bajo, no se calcula corrección para ese punto (comportamiento correcto y documentado).</w:t>
      </w:r>
    </w:p>
    <w:p>
      <w:pPr>
        <w:numPr>
          <w:ilvl w:val="0"/>
          <w:numId w:val="1131"/>
        </w:numPr>
        <w:pStyle w:val="Compact"/>
      </w:pPr>
      <w:r>
        <w:rPr>
          <w:b/>
        </w:rPr>
        <w:t xml:space="preserve">Qué ocurre si faltan datos:</w:t>
      </w:r>
      <w:r>
        <w:t xml:space="preserve"> </w:t>
      </w:r>
      <w:r>
        <w:rPr>
          <w:rStyle w:val="VerbatimChar"/>
        </w:rPr>
        <w:t xml:space="preserve">computeCorrectionDose</w:t>
      </w:r>
      <w:r>
        <w:t xml:space="preserve"> </w:t>
      </w:r>
      <w:r>
        <w:t xml:space="preserve">retorna</w:t>
      </w:r>
      <w:r>
        <w:t xml:space="preserve"> </w:t>
      </w:r>
      <w:r>
        <w:rPr>
          <w:rStyle w:val="VerbatimChar"/>
        </w:rPr>
        <w:t xml:space="preserve">null</w:t>
      </w:r>
      <w:r>
        <w:t xml:space="preserve"> </w:t>
      </w:r>
      <w:r>
        <w:t xml:space="preserve">si glucosa, meta o ISF no son válidos (&gt;0) — no truena, validado por prueba.</w:t>
      </w:r>
      <w:r>
        <w:t xml:space="preserve"> </w:t>
      </w:r>
      <w:r>
        <w:rPr>
          <w:rStyle w:val="VerbatimChar"/>
        </w:rPr>
        <w:t xml:space="preserve">computeBolusCorrection</w:t>
      </w:r>
      <w:r>
        <w:t xml:space="preserve"> </w:t>
      </w:r>
      <w:r>
        <w:t xml:space="preserve">retorna</w:t>
      </w:r>
      <w:r>
        <w:t xml:space="preserve"> </w:t>
      </w:r>
      <w:r>
        <w:rPr>
          <w:rStyle w:val="VerbatimChar"/>
        </w:rPr>
        <w:t xml:space="preserve">{ disponible: false }</w:t>
      </w:r>
      <w:r>
        <w:t xml:space="preserve"> </w:t>
      </w:r>
      <w:r>
        <w:t xml:space="preserve">si no hay ISF calculable (TDD no disponible), y la UI muestra un mensaje pidiendo capturar peso/TDD en vez de mostrar un número.</w:t>
      </w:r>
    </w:p>
    <w:p>
      <w:pPr>
        <w:numPr>
          <w:ilvl w:val="0"/>
          <w:numId w:val="1131"/>
        </w:numPr>
        <w:pStyle w:val="Compact"/>
      </w:pPr>
      <w:r>
        <w:rPr>
          <w:b/>
        </w:rPr>
        <w:t xml:space="preserve">Qué ocurre si dos guías discrepan:</w:t>
      </w:r>
      <w:r>
        <w:t xml:space="preserve"> </w:t>
      </w:r>
      <w:r>
        <w:t xml:space="preserve">No aplica / sin discrepancia documentada para esta regla.</w:t>
      </w:r>
      <w:r>
        <w:t xml:space="preserve"> </w:t>
      </w:r>
      <w:r>
        <w:rPr>
          <w:b/>
        </w:rPr>
        <w:t xml:space="preserve">Hueco de seguridad honesto identificado:</w:t>
      </w:r>
      <w:r>
        <w:t xml:space="preserve"> </w:t>
      </w:r>
      <w:r>
        <w:t xml:space="preserve">el contenido educativo del panel (líneas 709-711) advierte explícitamente sobre el riesgo de</w:t>
      </w:r>
      <w:r>
        <w:t xml:space="preserve"> </w:t>
      </w:r>
      <w:r>
        <w:t xml:space="preserve">“</w:t>
      </w:r>
      <w:r>
        <w:t xml:space="preserve">apilamiento</w:t>
      </w:r>
      <w:r>
        <w:t xml:space="preserve">”</w:t>
      </w:r>
      <w:r>
        <w:t xml:space="preserve"> </w:t>
      </w:r>
      <w:r>
        <w:t xml:space="preserve">(</w:t>
      </w:r>
      <w:r>
        <w:t xml:space="preserve">“</w:t>
      </w:r>
      <w:r>
        <w:t xml:space="preserve">stacking</w:t>
      </w:r>
      <w:r>
        <w:t xml:space="preserve">”</w:t>
      </w:r>
      <w:r>
        <w:t xml:space="preserve">) — no administrar una nueva corrección antes de 2-3 horas de la dosis rápida previa, por ser causa frecuente de hipoglucemia iatrogénica.</w:t>
      </w:r>
      <w:r>
        <w:t xml:space="preserve"> </w:t>
      </w:r>
      <w:r>
        <w:rPr>
          <w:b/>
        </w:rPr>
        <w:t xml:space="preserve">Esta regla de seguridad temporal es solo texto informativo; no existe ninguna validación en el código que registre la hora de la última dosis administrada ni que bloquee/advierta sobre una corrección repetida en ese plazo.</w:t>
      </w:r>
    </w:p>
    <w:p>
      <w:pPr>
        <w:pStyle w:val="Heading2"/>
      </w:pPr>
      <w:bookmarkStart w:id="177" w:name="X1fb4c4ca0546fa6942880d45af6e33181fef6a8"/>
      <w:r>
        <w:t xml:space="preserve">Regla 11 — Estimación de la Dosis Diaria Total (TDD)</w:t>
      </w:r>
      <w:bookmarkEnd w:id="177"/>
    </w:p>
    <w:p>
      <w:pPr>
        <w:numPr>
          <w:ilvl w:val="0"/>
          <w:numId w:val="1132"/>
        </w:numPr>
        <w:pStyle w:val="Compact"/>
      </w:pPr>
      <w:r>
        <w:rPr>
          <w:b/>
        </w:rPr>
        <w:t xml:space="preserve">Qué hace:</w:t>
      </w:r>
      <w:r>
        <w:t xml:space="preserve"> </w:t>
      </w:r>
      <w:r>
        <w:rPr>
          <w:rStyle w:val="VerbatimChar"/>
        </w:rPr>
        <w:t xml:space="preserve">estimateTDD(p)</w:t>
      </w:r>
      <w:r>
        <w:t xml:space="preserve"> </w:t>
      </w:r>
      <w:r>
        <w:t xml:space="preserve">retorna 0 si</w:t>
      </w:r>
      <w:r>
        <w:t xml:space="preserve"> </w:t>
      </w:r>
      <w:r>
        <w:rPr>
          <w:rStyle w:val="VerbatimChar"/>
        </w:rPr>
        <w:t xml:space="preserve">peso &lt;= 0</w:t>
      </w:r>
      <w:r>
        <w:t xml:space="preserve">; si no, suma una estimación de</w:t>
      </w:r>
      <w:r>
        <w:t xml:space="preserve"> </w:t>
      </w:r>
      <w:r>
        <w:rPr>
          <w:rStyle w:val="VerbatimChar"/>
        </w:rPr>
        <w:t xml:space="preserve">basalUI</w:t>
      </w:r>
      <w:r>
        <w:t xml:space="preserve"> </w:t>
      </w:r>
      <w:r>
        <w:t xml:space="preserve">(promedio del rango si es</w:t>
      </w:r>
      <w:r>
        <w:t xml:space="preserve"> </w:t>
      </w:r>
      <w:r>
        <w:t xml:space="preserve">“</w:t>
      </w:r>
      <w:r>
        <w:t xml:space="preserve">virgen</w:t>
      </w:r>
      <w:r>
        <w:t xml:space="preserve">”</w:t>
      </w:r>
      <w:r>
        <w:t xml:space="preserve">, el objetivo si es</w:t>
      </w:r>
      <w:r>
        <w:t xml:space="preserve"> </w:t>
      </w:r>
      <w:r>
        <w:t xml:space="preserve">“</w:t>
      </w:r>
      <w:r>
        <w:t xml:space="preserve">no en metas</w:t>
      </w:r>
      <w:r>
        <w:t xml:space="preserve">”</w:t>
      </w:r>
      <w:r>
        <w:t xml:space="preserve">, o</w:t>
      </w:r>
      <w:r>
        <w:t xml:space="preserve"> </w:t>
      </w:r>
      <w:r>
        <w:rPr>
          <w:rStyle w:val="VerbatimChar"/>
        </w:rPr>
        <w:t xml:space="preserve">peso × 0.15</w:t>
      </w:r>
      <w:r>
        <w:t xml:space="preserve"> </w:t>
      </w:r>
      <w:r>
        <w:t xml:space="preserve">como</w:t>
      </w:r>
      <w:r>
        <w:t xml:space="preserve"> </w:t>
      </w:r>
      <w:r>
        <w:t xml:space="preserve">“</w:t>
      </w:r>
      <w:r>
        <w:t xml:space="preserve">punto medio genérico</w:t>
      </w:r>
      <w:r>
        <w:t xml:space="preserve">”</w:t>
      </w:r>
      <w:r>
        <w:t xml:space="preserve"> </w:t>
      </w:r>
      <w:r>
        <w:t xml:space="preserve">para los demás estados) más</w:t>
      </w:r>
      <w:r>
        <w:t xml:space="preserve"> </w:t>
      </w:r>
      <w:r>
        <w:rPr>
          <w:rStyle w:val="VerbatimChar"/>
        </w:rPr>
        <w:t xml:space="preserve">prandialUI</w:t>
      </w:r>
      <w:r>
        <w:t xml:space="preserve"> </w:t>
      </w:r>
      <w:r>
        <w:t xml:space="preserve">(promedio del rango base × 3 comidas, si aplica bolo).</w:t>
      </w:r>
    </w:p>
    <w:p>
      <w:pPr>
        <w:numPr>
          <w:ilvl w:val="0"/>
          <w:numId w:val="1132"/>
        </w:numPr>
        <w:pStyle w:val="Compact"/>
      </w:pPr>
      <w:r>
        <w:rPr>
          <w:b/>
        </w:rPr>
        <w:t xml:space="preserve">Por qué:</w:t>
      </w:r>
      <w:r>
        <w:t xml:space="preserve"> </w:t>
      </w:r>
      <w:r>
        <w:t xml:space="preserve">ofrecer un punto de partida editable derivado de las mismas sugerencias basal/prandial ya calculadas por el módulo, en vez de introducir una fórmula nueva; asume 3 comidas como supuesto estándar. Se etiqueta explícitamente como estimación (</w:t>
      </w:r>
      <w:r>
        <w:rPr>
          <w:rStyle w:val="VerbatimChar"/>
        </w:rPr>
        <w:t xml:space="preserve">tddEsEstimado</w:t>
      </w:r>
      <w:r>
        <w:t xml:space="preserve">), nunca como TDD medida.</w:t>
      </w:r>
    </w:p>
    <w:p>
      <w:pPr>
        <w:numPr>
          <w:ilvl w:val="0"/>
          <w:numId w:val="1132"/>
        </w:numPr>
        <w:pStyle w:val="Compact"/>
      </w:pPr>
      <w:r>
        <w:rPr>
          <w:b/>
        </w:rPr>
        <w:t xml:space="preserve">Fuente:</w:t>
      </w:r>
      <w:r>
        <w:t xml:space="preserve"> </w:t>
      </w:r>
      <w:r>
        <w:t xml:space="preserve">derivación interna del propio módulo, no cita fuente externa adicional a las ya citadas para basal (Regla 1) y prandial (Regla 7).</w:t>
      </w:r>
    </w:p>
    <w:p>
      <w:pPr>
        <w:numPr>
          <w:ilvl w:val="0"/>
          <w:numId w:val="1132"/>
        </w:numPr>
        <w:pStyle w:val="Compact"/>
      </w:pPr>
      <w:r>
        <w:rPr>
          <w:b/>
        </w:rPr>
        <w:t xml:space="preserve">Versión de la fuente:</w:t>
      </w:r>
      <w:r>
        <w:t xml:space="preserve"> </w:t>
      </w:r>
      <w:r>
        <w:t xml:space="preserve">No aplica (regla interna del proyecto).</w:t>
      </w:r>
    </w:p>
    <w:p>
      <w:pPr>
        <w:numPr>
          <w:ilvl w:val="0"/>
          <w:numId w:val="1132"/>
        </w:numPr>
        <w:pStyle w:val="Compact"/>
      </w:pPr>
      <w:r>
        <w:rPr>
          <w:b/>
        </w:rPr>
        <w:t xml:space="preserve">Fecha de revisión:</w:t>
      </w:r>
      <w:r>
        <w:t xml:space="preserve"> </w:t>
      </w:r>
      <w:r>
        <w:t xml:space="preserve">11-ago-2026.</w:t>
      </w:r>
    </w:p>
    <w:p>
      <w:pPr>
        <w:numPr>
          <w:ilvl w:val="0"/>
          <w:numId w:val="1132"/>
        </w:numPr>
        <w:pStyle w:val="Compact"/>
      </w:pPr>
      <w:r>
        <w:rPr>
          <w:b/>
        </w:rPr>
        <w:t xml:space="preserve">Quién revisó:</w:t>
      </w:r>
      <w:r>
        <w:t xml:space="preserve"> </w:t>
      </w:r>
      <w:r>
        <w:t xml:space="preserve">Dr. Ortega.</w:t>
      </w:r>
    </w:p>
    <w:p>
      <w:pPr>
        <w:numPr>
          <w:ilvl w:val="0"/>
          <w:numId w:val="1132"/>
        </w:numPr>
        <w:pStyle w:val="Compact"/>
      </w:pPr>
      <w:r>
        <w:rPr>
          <w:b/>
        </w:rPr>
        <w:t xml:space="preserve">Qué casos la validan:</w:t>
      </w:r>
      <w:r>
        <w:t xml:space="preserve"> </w:t>
      </w:r>
      <w:r>
        <w:rPr>
          <w:rStyle w:val="VerbatimChar"/>
        </w:rPr>
        <w:t xml:space="preserve">I21</w:t>
      </w:r>
      <w:r>
        <w:t xml:space="preserve"> </w:t>
      </w:r>
      <w:r>
        <w:t xml:space="preserve">— virgen, 80 kg, sin bolo aplicable → TDD = 12 (promedio de 8-16 UI); sin peso → 0.</w:t>
      </w:r>
      <w:r>
        <w:t xml:space="preserve"> </w:t>
      </w:r>
      <w:r>
        <w:rPr>
          <w:rStyle w:val="VerbatimChar"/>
        </w:rPr>
        <w:t xml:space="preserve">I22</w:t>
      </w:r>
      <w:r>
        <w:t xml:space="preserve"> </w:t>
      </w:r>
      <w:r>
        <w:t xml:space="preserve">— respeta el override manual del médico (</w:t>
      </w:r>
      <w:r>
        <w:rPr>
          <w:rStyle w:val="VerbatimChar"/>
        </w:rPr>
        <w:t xml:space="preserve">setTDDOverride</w:t>
      </w:r>
      <w:r>
        <w:t xml:space="preserve">) sobre la estimación automática.</w:t>
      </w:r>
    </w:p>
    <w:p>
      <w:pPr>
        <w:numPr>
          <w:ilvl w:val="0"/>
          <w:numId w:val="1132"/>
        </w:numPr>
        <w:pStyle w:val="Compact"/>
      </w:pPr>
      <w:r>
        <w:rPr>
          <w:b/>
        </w:rPr>
        <w:t xml:space="preserve">Qué excepciones tiene:</w:t>
      </w:r>
      <w:r>
        <w:t xml:space="preserve"> </w:t>
      </w:r>
      <w:r>
        <w:t xml:space="preserve">cuando el estado basal es</w:t>
      </w:r>
      <w:r>
        <w:t xml:space="preserve"> </w:t>
      </w:r>
      <w:r>
        <w:t xml:space="preserve">“</w:t>
      </w:r>
      <w:r>
        <w:t xml:space="preserve">en metas</w:t>
      </w:r>
      <w:r>
        <w:t xml:space="preserve">”</w:t>
      </w:r>
      <w:r>
        <w:t xml:space="preserve">,</w:t>
      </w:r>
      <w:r>
        <w:t xml:space="preserve"> </w:t>
      </w:r>
      <w:r>
        <w:t xml:space="preserve">“</w:t>
      </w:r>
      <w:r>
        <w:t xml:space="preserve">riesgo de hipoglucemia</w:t>
      </w:r>
      <w:r>
        <w:t xml:space="preserve">”</w:t>
      </w:r>
      <w:r>
        <w:t xml:space="preserve"> </w:t>
      </w:r>
      <w:r>
        <w:t xml:space="preserve">o</w:t>
      </w:r>
      <w:r>
        <w:t xml:space="preserve"> </w:t>
      </w:r>
      <w:r>
        <w:t xml:space="preserve">“</w:t>
      </w:r>
      <w:r>
        <w:t xml:space="preserve">sin datos de control</w:t>
      </w:r>
      <w:r>
        <w:t xml:space="preserve">”</w:t>
      </w:r>
      <w:r>
        <w:t xml:space="preserve">, el código usa</w:t>
      </w:r>
      <w:r>
        <w:t xml:space="preserve"> </w:t>
      </w:r>
      <w:r>
        <w:rPr>
          <w:rStyle w:val="VerbatimChar"/>
        </w:rPr>
        <w:t xml:space="preserve">peso × 0.15</w:t>
      </w:r>
      <w:r>
        <w:t xml:space="preserve"> </w:t>
      </w:r>
      <w:r>
        <w:t xml:space="preserve">como aproximación genérica, con un comentario propio que reconoce</w:t>
      </w:r>
      <w:r>
        <w:t xml:space="preserve"> </w:t>
      </w:r>
      <w:r>
        <w:t xml:space="preserve">“</w:t>
      </w:r>
      <w:r>
        <w:t xml:space="preserve">sin otro número mejor</w:t>
      </w:r>
      <w:r>
        <w:t xml:space="preserve">”</w:t>
      </w:r>
      <w:r>
        <w:t xml:space="preserve"> </w:t>
      </w:r>
      <w:r>
        <w:t xml:space="preserve">(línea 281) — es decir, en esos tres estados la estimación de TDD</w:t>
      </w:r>
      <w:r>
        <w:t xml:space="preserve"> </w:t>
      </w:r>
      <w:r>
        <w:rPr>
          <w:b/>
        </w:rPr>
        <w:t xml:space="preserve">no</w:t>
      </w:r>
      <w:r>
        <w:t xml:space="preserve"> </w:t>
      </w:r>
      <w:r>
        <w:t xml:space="preserve">se basa en ningún dato real de control del paciente, solo en el peso. Esto puede sesgar el ISF/ICR/dosis de corrección derivados aguas abajo si el médico no captura o corrige la TDD manualmente.</w:t>
      </w:r>
    </w:p>
    <w:p>
      <w:pPr>
        <w:numPr>
          <w:ilvl w:val="0"/>
          <w:numId w:val="1132"/>
        </w:numPr>
        <w:pStyle w:val="Compact"/>
      </w:pPr>
      <w:r>
        <w:rPr>
          <w:b/>
        </w:rPr>
        <w:t xml:space="preserve">Qué ocurre si faltan datos:</w:t>
      </w:r>
      <w:r>
        <w:t xml:space="preserve"> </w:t>
      </w:r>
      <w:r>
        <w:rPr>
          <w:rStyle w:val="VerbatimChar"/>
        </w:rPr>
        <w:t xml:space="preserve">peso &lt;= 0</w:t>
      </w:r>
      <w:r>
        <w:t xml:space="preserve"> </w:t>
      </w:r>
      <w:r>
        <w:t xml:space="preserve">→ retorna 0 (no</w:t>
      </w:r>
      <w:r>
        <w:t xml:space="preserve"> </w:t>
      </w:r>
      <w:r>
        <w:rPr>
          <w:rStyle w:val="VerbatimChar"/>
        </w:rPr>
        <w:t xml:space="preserve">null</w:t>
      </w:r>
      <w:r>
        <w:t xml:space="preserve">); esto es consistente porque</w:t>
      </w:r>
      <w:r>
        <w:t xml:space="preserve"> </w:t>
      </w:r>
      <w:r>
        <w:rPr>
          <w:rStyle w:val="VerbatimChar"/>
        </w:rPr>
        <w:t xml:space="preserve">computeISF</w:t>
      </w:r>
      <w:r>
        <w:t xml:space="preserve">/</w:t>
      </w:r>
      <w:r>
        <w:rPr>
          <w:rStyle w:val="VerbatimChar"/>
        </w:rPr>
        <w:t xml:space="preserve">computeICR</w:t>
      </w:r>
      <w:r>
        <w:t xml:space="preserve"> </w:t>
      </w:r>
      <w:r>
        <w:t xml:space="preserve">tratan</w:t>
      </w:r>
      <w:r>
        <w:t xml:space="preserve"> </w:t>
      </w:r>
      <w:r>
        <w:rPr>
          <w:rStyle w:val="VerbatimChar"/>
        </w:rPr>
        <w:t xml:space="preserve">0</w:t>
      </w:r>
      <w:r>
        <w:t xml:space="preserve"> </w:t>
      </w:r>
      <w:r>
        <w:t xml:space="preserve">igual que</w:t>
      </w:r>
      <w:r>
        <w:t xml:space="preserve"> </w:t>
      </w:r>
      <w:r>
        <w:t xml:space="preserve">“</w:t>
      </w:r>
      <w:r>
        <w:t xml:space="preserve">sin dato</w:t>
      </w:r>
      <w:r>
        <w:t xml:space="preserve">”</w:t>
      </w:r>
      <w:r>
        <w:t xml:space="preserve"> </w:t>
      </w:r>
      <w:r>
        <w:t xml:space="preserve">(</w:t>
      </w:r>
      <w:r>
        <w:rPr>
          <w:rStyle w:val="VerbatimChar"/>
        </w:rPr>
        <w:t xml:space="preserve">!(tdd&gt;0)</w:t>
      </w:r>
      <w:r>
        <w:t xml:space="preserve"> </w:t>
      </w:r>
      <w:r>
        <w:t xml:space="preserve">→</w:t>
      </w:r>
      <w:r>
        <w:t xml:space="preserve"> </w:t>
      </w:r>
      <w:r>
        <w:rPr>
          <w:rStyle w:val="VerbatimChar"/>
        </w:rPr>
        <w:t xml:space="preserve">null</w:t>
      </w:r>
      <w:r>
        <w:t xml:space="preserve">), así que no se propaga un número inventado, pero vale la pena notar que el tipo de retorno</w:t>
      </w:r>
      <w:r>
        <w:t xml:space="preserve"> </w:t>
      </w:r>
      <w:r>
        <w:t xml:space="preserve">“</w:t>
      </w:r>
      <w:r>
        <w:t xml:space="preserve">vacío</w:t>
      </w:r>
      <w:r>
        <w:t xml:space="preserve">”</w:t>
      </w:r>
      <w:r>
        <w:t xml:space="preserve"> </w:t>
      </w:r>
      <w:r>
        <w:t xml:space="preserve">no es uniforme (</w:t>
      </w:r>
      <w:r>
        <w:rPr>
          <w:rStyle w:val="VerbatimChar"/>
        </w:rPr>
        <w:t xml:space="preserve">0</w:t>
      </w:r>
      <w:r>
        <w:t xml:space="preserve"> </w:t>
      </w:r>
      <w:r>
        <w:t xml:space="preserve">aquí vs. </w:t>
      </w:r>
      <w:r>
        <w:rPr>
          <w:rStyle w:val="VerbatimChar"/>
        </w:rPr>
        <w:t xml:space="preserve">null</w:t>
      </w:r>
      <w:r>
        <w:t xml:space="preserve"> </w:t>
      </w:r>
      <w:r>
        <w:t xml:space="preserve">en otras funciones del mismo módulo).</w:t>
      </w:r>
    </w:p>
    <w:p>
      <w:pPr>
        <w:numPr>
          <w:ilvl w:val="0"/>
          <w:numId w:val="1132"/>
        </w:numPr>
        <w:pStyle w:val="Compact"/>
      </w:pPr>
      <w:r>
        <w:rPr>
          <w:b/>
        </w:rPr>
        <w:t xml:space="preserve">Qué ocurre si dos guías discrepan:</w:t>
      </w:r>
      <w:r>
        <w:t xml:space="preserve"> </w:t>
      </w:r>
      <w:r>
        <w:t xml:space="preserve">No aplica / sin discrepancia documentada para esta regla.</w:t>
      </w:r>
    </w:p>
    <w:p>
      <w:pPr>
        <w:pStyle w:val="Heading2"/>
      </w:pPr>
      <w:bookmarkStart w:id="178" w:name="X14fafc861d708a406a1ee68c746cfabc6495e28"/>
      <w:r>
        <w:t xml:space="preserve">Regla 12 — Umbral de aplicabilidad de EndoInsulin sin diagnóstico de diabetes (A1c &gt; 9%)</w:t>
      </w:r>
      <w:bookmarkEnd w:id="178"/>
    </w:p>
    <w:p>
      <w:pPr>
        <w:numPr>
          <w:ilvl w:val="0"/>
          <w:numId w:val="1133"/>
        </w:numPr>
        <w:pStyle w:val="Compact"/>
      </w:pPr>
      <w:r>
        <w:rPr>
          <w:b/>
        </w:rPr>
        <w:t xml:space="preserve">Qué hace:</w:t>
      </w:r>
      <w:r>
        <w:t xml:space="preserve"> </w:t>
      </w:r>
      <w:r>
        <w:rPr>
          <w:rStyle w:val="VerbatimChar"/>
        </w:rPr>
        <w:t xml:space="preserve">computeInsulinAssessment(p)</w:t>
      </w:r>
      <w:r>
        <w:t xml:space="preserve"> </w:t>
      </w:r>
      <w:r>
        <w:t xml:space="preserve">determina si el panel EndoInsulin aplica: si</w:t>
      </w:r>
      <w:r>
        <w:t xml:space="preserve"> </w:t>
      </w:r>
      <w:r>
        <w:rPr>
          <w:rStyle w:val="VerbatimChar"/>
        </w:rPr>
        <w:t xml:space="preserve">tipoDM</w:t>
      </w:r>
      <w:r>
        <w:t xml:space="preserve"> </w:t>
      </w:r>
      <w:r>
        <w:t xml:space="preserve">es DM1/DM2, o ya hay basal/prandial activa, o</w:t>
      </w:r>
      <w:r>
        <w:t xml:space="preserve"> </w:t>
      </w:r>
      <w:r>
        <w:rPr>
          <w:rStyle w:val="VerbatimChar"/>
        </w:rPr>
        <w:t xml:space="preserve">getA1cEfectiva(p).value &gt; 9</w:t>
      </w:r>
      <w:r>
        <w:t xml:space="preserve"> </w:t>
      </w:r>
      <w:r>
        <w:t xml:space="preserve">(estrictamente mayor, no ≥9).</w:t>
      </w:r>
    </w:p>
    <w:p>
      <w:pPr>
        <w:numPr>
          <w:ilvl w:val="0"/>
          <w:numId w:val="1133"/>
        </w:numPr>
        <w:pStyle w:val="Compact"/>
      </w:pPr>
      <w:r>
        <w:rPr>
          <w:b/>
        </w:rPr>
        <w:t xml:space="preserve">Por qué:</w:t>
      </w:r>
      <w:r>
        <w:t xml:space="preserve"> </w:t>
      </w:r>
      <w:r>
        <w:t xml:space="preserve">actualización del 11-ago-2026 — el corte de 6.5% es solo el umbral</w:t>
      </w:r>
      <w:r>
        <w:t xml:space="preserve"> </w:t>
      </w:r>
      <w:r>
        <w:rPr>
          <w:b/>
        </w:rPr>
        <w:t xml:space="preserve">diagnóstico</w:t>
      </w:r>
      <w:r>
        <w:t xml:space="preserve"> </w:t>
      </w:r>
      <w:r>
        <w:t xml:space="preserve">de diabetes de la ADA,</w:t>
      </w:r>
      <w:r>
        <w:t xml:space="preserve"> </w:t>
      </w:r>
      <w:r>
        <w:t xml:space="preserve">“</w:t>
      </w:r>
      <w:r>
        <w:t xml:space="preserve">demasiado bajo para implicar que el paciente probablemente necesita insulina</w:t>
      </w:r>
      <w:r>
        <w:t xml:space="preserve">”</w:t>
      </w:r>
      <w:r>
        <w:t xml:space="preserve">; se sube a &gt;9%, más cercano al umbral que la propia</w:t>
      </w:r>
      <w:r>
        <w:t xml:space="preserve"> </w:t>
      </w:r>
      <w:r>
        <w:rPr>
          <w:rStyle w:val="VerbatimChar"/>
        </w:rPr>
        <w:t xml:space="preserve">pharma-db.js</w:t>
      </w:r>
      <w:r>
        <w:t xml:space="preserve"> </w:t>
      </w:r>
      <w:r>
        <w:t xml:space="preserve">ya usa para iniciar Glargina (</w:t>
      </w:r>
      <w:r>
        <w:t xml:space="preserve">“</w:t>
      </w:r>
      <w:r>
        <w:t xml:space="preserve">Iniciar si A1c &gt;10% o glucosa &gt;300</w:t>
      </w:r>
      <w:r>
        <w:t xml:space="preserve">”</w:t>
      </w:r>
      <w:r>
        <w:t xml:space="preserve">).</w:t>
      </w:r>
    </w:p>
    <w:p>
      <w:pPr>
        <w:numPr>
          <w:ilvl w:val="0"/>
          <w:numId w:val="1133"/>
        </w:numPr>
        <w:pStyle w:val="Compact"/>
      </w:pPr>
      <w:r>
        <w:rPr>
          <w:b/>
        </w:rPr>
        <w:t xml:space="preserve">Fuente:</w:t>
      </w:r>
      <w:r>
        <w:t xml:space="preserve"> </w:t>
      </w:r>
      <w:r>
        <w:t xml:space="preserve">ADA Standards of Care (citada para el umbral diagnóstico de 6.5%, como contraste) + alineación interna con el umbral de inicio de Glargina definido en</w:t>
      </w:r>
      <w:r>
        <w:t xml:space="preserve"> </w:t>
      </w:r>
      <w:r>
        <w:rPr>
          <w:rStyle w:val="VerbatimChar"/>
        </w:rPr>
        <w:t xml:space="preserve">pharma-db.js</w:t>
      </w:r>
      <w:r>
        <w:t xml:space="preserve">. El valor final elegido (&gt;9%) es una decisión clínica explícita del Dr. Ortega, no una cita textual de una guía para ese número exacto.</w:t>
      </w:r>
    </w:p>
    <w:p>
      <w:pPr>
        <w:numPr>
          <w:ilvl w:val="0"/>
          <w:numId w:val="1133"/>
        </w:numPr>
        <w:pStyle w:val="Compact"/>
      </w:pPr>
      <w:r>
        <w:rPr>
          <w:b/>
        </w:rPr>
        <w:t xml:space="preserve">Versión de la fuente:</w:t>
      </w:r>
      <w:r>
        <w:t xml:space="preserve"> </w:t>
      </w:r>
      <w:r>
        <w:t xml:space="preserve">ADA Standards of Care (sin edición/año especificado para el umbral diagnóstico 6.5% en este comentario); No especificada para el corte 9% en sí (decisión interna del proyecto).</w:t>
      </w:r>
    </w:p>
    <w:p>
      <w:pPr>
        <w:numPr>
          <w:ilvl w:val="0"/>
          <w:numId w:val="1133"/>
        </w:numPr>
        <w:pStyle w:val="Compact"/>
      </w:pPr>
      <w:r>
        <w:rPr>
          <w:b/>
        </w:rPr>
        <w:t xml:space="preserve">Fecha de revisión:</w:t>
      </w:r>
      <w:r>
        <w:t xml:space="preserve"> </w:t>
      </w:r>
      <w:r>
        <w:t xml:space="preserve">11-ago-2026.</w:t>
      </w:r>
    </w:p>
    <w:p>
      <w:pPr>
        <w:numPr>
          <w:ilvl w:val="0"/>
          <w:numId w:val="1133"/>
        </w:numPr>
        <w:pStyle w:val="Compact"/>
      </w:pPr>
      <w:r>
        <w:rPr>
          <w:b/>
        </w:rPr>
        <w:t xml:space="preserve">Quién revisó:</w:t>
      </w:r>
      <w:r>
        <w:t xml:space="preserve"> </w:t>
      </w:r>
      <w:r>
        <w:t xml:space="preserve">Dr. Ortega.</w:t>
      </w:r>
    </w:p>
    <w:p>
      <w:pPr>
        <w:numPr>
          <w:ilvl w:val="0"/>
          <w:numId w:val="1133"/>
        </w:numPr>
        <w:pStyle w:val="Compact"/>
      </w:pPr>
      <w:r>
        <w:rPr>
          <w:b/>
        </w:rPr>
        <w:t xml:space="preserve">Qué casos la validan:</w:t>
      </w:r>
      <w:r>
        <w:t xml:space="preserve"> </w:t>
      </w:r>
      <w:r>
        <w:rPr>
          <w:rStyle w:val="VerbatimChar"/>
        </w:rPr>
        <w:t xml:space="preserve">I15</w:t>
      </w:r>
      <w:r>
        <w:t xml:space="preserve"> </w:t>
      </w:r>
      <w:r>
        <w:t xml:space="preserve">(sin DM/insulina/A1c normal → no aplica),</w:t>
      </w:r>
      <w:r>
        <w:t xml:space="preserve"> </w:t>
      </w:r>
      <w:r>
        <w:rPr>
          <w:rStyle w:val="VerbatimChar"/>
        </w:rPr>
        <w:t xml:space="preserve">I16</w:t>
      </w:r>
      <w:r>
        <w:t xml:space="preserve"> </w:t>
      </w:r>
      <w:r>
        <w:t xml:space="preserve">(DM2 capturado → aplica independientemente del A1c),</w:t>
      </w:r>
      <w:r>
        <w:t xml:space="preserve"> </w:t>
      </w:r>
      <w:r>
        <w:rPr>
          <w:rStyle w:val="VerbatimChar"/>
        </w:rPr>
        <w:t xml:space="preserve">I16b</w:t>
      </w:r>
      <w:r>
        <w:t xml:space="preserve"> </w:t>
      </w:r>
      <w:r>
        <w:t xml:space="preserve">(A1c 8.0% → no aplica; 9.5% → sí aplica;</w:t>
      </w:r>
      <w:r>
        <w:t xml:space="preserve"> </w:t>
      </w:r>
      <w:r>
        <w:rPr>
          <w:b/>
        </w:rPr>
        <w:t xml:space="preserve">9.0% exacto → NO aplica</w:t>
      </w:r>
      <w:r>
        <w:t xml:space="preserve">, corte estricto</w:t>
      </w:r>
      <w:r>
        <w:t xml:space="preserve"> </w:t>
      </w:r>
      <w:r>
        <w:rPr>
          <w:rStyle w:val="VerbatimChar"/>
        </w:rPr>
        <w:t xml:space="preserve">&gt;9</w:t>
      </w:r>
      <w:r>
        <w:t xml:space="preserve">, no</w:t>
      </w:r>
      <w:r>
        <w:t xml:space="preserve"> </w:t>
      </w:r>
      <w:r>
        <w:rPr>
          <w:rStyle w:val="VerbatimChar"/>
        </w:rPr>
        <w:t xml:space="preserve">≥9</w:t>
      </w:r>
      <w:r>
        <w:t xml:space="preserve">).</w:t>
      </w:r>
    </w:p>
    <w:p>
      <w:pPr>
        <w:numPr>
          <w:ilvl w:val="0"/>
          <w:numId w:val="1133"/>
        </w:numPr>
        <w:pStyle w:val="Compact"/>
      </w:pPr>
      <w:r>
        <w:rPr>
          <w:b/>
        </w:rPr>
        <w:t xml:space="preserve">Qué excepciones tiene:</w:t>
      </w:r>
      <w:r>
        <w:t xml:space="preserve"> </w:t>
      </w:r>
      <w:r>
        <w:t xml:space="preserve">el corte es estrictamente</w:t>
      </w:r>
      <w:r>
        <w:t xml:space="preserve"> </w:t>
      </w:r>
      <w:r>
        <w:rPr>
          <w:rStyle w:val="VerbatimChar"/>
        </w:rPr>
        <w:t xml:space="preserve">&gt;9</w:t>
      </w:r>
      <w:r>
        <w:t xml:space="preserve"> </w:t>
      </w:r>
      <w:r>
        <w:t xml:space="preserve">(no</w:t>
      </w:r>
      <w:r>
        <w:t xml:space="preserve"> </w:t>
      </w:r>
      <w:r>
        <w:rPr>
          <w:rStyle w:val="VerbatimChar"/>
        </w:rPr>
        <w:t xml:space="preserve">≥9</w:t>
      </w:r>
      <w:r>
        <w:t xml:space="preserve">) — comportamiento intencional y explícitamente testeado (</w:t>
      </w:r>
      <w:r>
        <w:rPr>
          <w:rStyle w:val="VerbatimChar"/>
        </w:rPr>
        <w:t xml:space="preserve">I16b</w:t>
      </w:r>
      <w:r>
        <w:t xml:space="preserve">), no un descuido.</w:t>
      </w:r>
    </w:p>
    <w:p>
      <w:pPr>
        <w:numPr>
          <w:ilvl w:val="0"/>
          <w:numId w:val="1133"/>
        </w:numPr>
        <w:pStyle w:val="Compact"/>
      </w:pPr>
      <w:r>
        <w:rPr>
          <w:b/>
        </w:rPr>
        <w:t xml:space="preserve">Qué ocurre si faltan datos:</w:t>
      </w:r>
      <w:r>
        <w:t xml:space="preserve"> </w:t>
      </w:r>
      <w:r>
        <w:t xml:space="preserve">si no hay A1c capturada,</w:t>
      </w:r>
      <w:r>
        <w:t xml:space="preserve"> </w:t>
      </w:r>
      <w:r>
        <w:rPr>
          <w:rStyle w:val="VerbatimChar"/>
        </w:rPr>
        <w:t xml:space="preserve">getA1cEfectiva(p).value</w:t>
      </w:r>
      <w:r>
        <w:t xml:space="preserve"> </w:t>
      </w:r>
      <w:r>
        <w:t xml:space="preserve">es 0 (u otro valor por defecto de</w:t>
      </w:r>
      <w:r>
        <w:t xml:space="preserve"> </w:t>
      </w:r>
      <w:r>
        <w:rPr>
          <w:rStyle w:val="VerbatimChar"/>
        </w:rPr>
        <w:t xml:space="preserve">calculations.js</w:t>
      </w:r>
      <w:r>
        <w:t xml:space="preserve">, no verificado en este análisis) →</w:t>
      </w:r>
      <w:r>
        <w:t xml:space="preserve"> </w:t>
      </w:r>
      <w:r>
        <w:rPr>
          <w:rStyle w:val="VerbatimChar"/>
        </w:rPr>
        <w:t xml:space="preserve">0 &gt; 9</w:t>
      </w:r>
      <w:r>
        <w:t xml:space="preserve"> </w:t>
      </w:r>
      <w:r>
        <w:t xml:space="preserve">es falso → el panel no aplica por defecto, comportamiento seguro (no fuerza el panel sin evidencia).</w:t>
      </w:r>
    </w:p>
    <w:p>
      <w:pPr>
        <w:numPr>
          <w:ilvl w:val="0"/>
          <w:numId w:val="1133"/>
        </w:numPr>
        <w:pStyle w:val="Compact"/>
      </w:pPr>
      <w:r>
        <w:rPr>
          <w:b/>
        </w:rPr>
        <w:t xml:space="preserve">Qué ocurre si dos guías discrepan:</w:t>
      </w:r>
      <w:r>
        <w:t xml:space="preserve"> </w:t>
      </w:r>
      <w:r>
        <w:t xml:space="preserve">No aplica / sin discrepancia documentada para esta regla.</w:t>
      </w:r>
    </w:p>
    <w:p>
      <w:r>
        <w:pict>
          <v:rect style="width:0;height:1.5pt" o:hralign="center" o:hrstd="t" o:hr="t"/>
        </w:pict>
      </w:r>
    </w:p>
    <w:p>
      <w:pPr>
        <w:pStyle w:val="Heading1"/>
      </w:pPr>
      <w:bookmarkStart w:id="179" w:name="X8f54f697cadf354084eb0882866e7fd25d7aa5f"/>
      <w:r>
        <w:t xml:space="preserve">SECCIÓN 2 — EndoScreen (tamizaje de complicaciones crónicas)</w:t>
      </w:r>
      <w:bookmarkEnd w:id="179"/>
    </w:p>
    <w:p>
      <w:pPr>
        <w:pStyle w:val="Heading2"/>
      </w:pPr>
      <w:bookmarkStart w:id="180" w:name="X73f754eb578653333961a84955d322beb95f414"/>
      <w:r>
        <w:t xml:space="preserve">Regla 13 — Retinopatía Diabética: periodicidad de tamizaje</w:t>
      </w:r>
      <w:bookmarkEnd w:id="180"/>
    </w:p>
    <w:p>
      <w:pPr>
        <w:numPr>
          <w:ilvl w:val="0"/>
          <w:numId w:val="1134"/>
        </w:numPr>
        <w:pStyle w:val="Compact"/>
      </w:pPr>
      <w:r>
        <w:rPr>
          <w:b/>
        </w:rPr>
        <w:t xml:space="preserve">Qué hace:</w:t>
      </w:r>
      <w:r>
        <w:t xml:space="preserve"> </w:t>
      </w:r>
      <w:r>
        <w:rPr>
          <w:rStyle w:val="VerbatimChar"/>
        </w:rPr>
        <w:t xml:space="preserve">computeScreeningItems(p)</w:t>
      </w:r>
      <w:r>
        <w:t xml:space="preserve"> </w:t>
      </w:r>
      <w:r>
        <w:t xml:space="preserve">fija</w:t>
      </w:r>
      <w:r>
        <w:t xml:space="preserve"> </w:t>
      </w:r>
      <w:r>
        <w:rPr>
          <w:rStyle w:val="VerbatimChar"/>
        </w:rPr>
        <w:t xml:space="preserve">aplicaDesdeAnios = 5</w:t>
      </w:r>
      <w:r>
        <w:t xml:space="preserve"> </w:t>
      </w:r>
      <w:r>
        <w:t xml:space="preserve">si el paciente es DM1, o</w:t>
      </w:r>
      <w:r>
        <w:t xml:space="preserve"> </w:t>
      </w:r>
      <w:r>
        <w:rPr>
          <w:rStyle w:val="VerbatimChar"/>
        </w:rPr>
        <w:t xml:space="preserve">0</w:t>
      </w:r>
      <w:r>
        <w:t xml:space="preserve"> </w:t>
      </w:r>
      <w:r>
        <w:t xml:space="preserve">(desde el diagnóstico) para cualquier otro caso (DM2/Prediabetes); intervalo de reevaluación 12 meses. El estado (</w:t>
      </w:r>
      <w:r>
        <w:rPr>
          <w:rStyle w:val="VerbatimChar"/>
        </w:rPr>
        <w:t xml:space="preserve">sin_dato</w:t>
      </w:r>
      <w:r>
        <w:t xml:space="preserve">,</w:t>
      </w:r>
      <w:r>
        <w:t xml:space="preserve"> </w:t>
      </w:r>
      <w:r>
        <w:rPr>
          <w:rStyle w:val="VerbatimChar"/>
        </w:rPr>
        <w:t xml:space="preserve">no_indicado</w:t>
      </w:r>
      <w:r>
        <w:t xml:space="preserve">,</w:t>
      </w:r>
      <w:r>
        <w:t xml:space="preserve"> </w:t>
      </w:r>
      <w:r>
        <w:rPr>
          <w:rStyle w:val="VerbatimChar"/>
        </w:rPr>
        <w:t xml:space="preserve">indicado_sin_registro</w:t>
      </w:r>
      <w:r>
        <w:t xml:space="preserve">,</w:t>
      </w:r>
      <w:r>
        <w:t xml:space="preserve"> </w:t>
      </w:r>
      <w:r>
        <w:rPr>
          <w:rStyle w:val="VerbatimChar"/>
        </w:rPr>
        <w:t xml:space="preserve">al_dia</w:t>
      </w:r>
      <w:r>
        <w:t xml:space="preserve">,</w:t>
      </w:r>
      <w:r>
        <w:t xml:space="preserve"> </w:t>
      </w:r>
      <w:r>
        <w:rPr>
          <w:rStyle w:val="VerbatimChar"/>
        </w:rPr>
        <w:t xml:space="preserve">atrasado</w:t>
      </w:r>
      <w:r>
        <w:t xml:space="preserve">) se calcula con</w:t>
      </w:r>
      <w:r>
        <w:t xml:space="preserve"> </w:t>
      </w:r>
      <w:r>
        <w:rPr>
          <w:rStyle w:val="VerbatimChar"/>
        </w:rPr>
        <w:t xml:space="preserve">computeItemStatus</w:t>
      </w:r>
      <w:r>
        <w:t xml:space="preserve">.</w:t>
      </w:r>
    </w:p>
    <w:p>
      <w:pPr>
        <w:numPr>
          <w:ilvl w:val="0"/>
          <w:numId w:val="1134"/>
        </w:numPr>
        <w:pStyle w:val="Compact"/>
      </w:pPr>
      <w:r>
        <w:rPr>
          <w:b/>
        </w:rPr>
        <w:t xml:space="preserve">Por qué:</w:t>
      </w:r>
      <w:r>
        <w:t xml:space="preserve"> </w:t>
      </w:r>
      <w:r>
        <w:t xml:space="preserve">en DM2 la fase silente antes de que aparezcan complicaciones es larga y desconocida en su inicio real (se tamiza desde el diagnóstico); en DM1 la fase silente es mucho más corta y un paciente recién diagnosticado casi nunca tiene complicaciones ya establecidas (se tamiza a partir de los 5 años).</w:t>
      </w:r>
    </w:p>
    <w:p>
      <w:pPr>
        <w:numPr>
          <w:ilvl w:val="0"/>
          <w:numId w:val="1134"/>
        </w:numPr>
        <w:pStyle w:val="Compact"/>
      </w:pPr>
      <w:r>
        <w:rPr>
          <w:b/>
        </w:rPr>
        <w:t xml:space="preserve">Fuente:</w:t>
      </w:r>
      <w:r>
        <w:t xml:space="preserve"> </w:t>
      </w:r>
      <w:r>
        <w:t xml:space="preserve">ADA Standards of Care in Diabetes — 2026, Sección 12 (Retinopathy, Neuropathy, and Foot Care), citada explícitamente en el encabezado del archivo (líneas 8-16).</w:t>
      </w:r>
    </w:p>
    <w:p>
      <w:pPr>
        <w:numPr>
          <w:ilvl w:val="0"/>
          <w:numId w:val="1134"/>
        </w:numPr>
        <w:pStyle w:val="Compact"/>
      </w:pPr>
      <w:r>
        <w:rPr>
          <w:b/>
        </w:rPr>
        <w:t xml:space="preserve">Versión de la fuente:</w:t>
      </w:r>
      <w:r>
        <w:t xml:space="preserve"> </w:t>
      </w:r>
      <w:r>
        <w:t xml:space="preserve">ADA Standards of Care in Diabetes — 2026 (edición explícita en el código).</w:t>
      </w:r>
    </w:p>
    <w:p>
      <w:pPr>
        <w:numPr>
          <w:ilvl w:val="0"/>
          <w:numId w:val="1134"/>
        </w:numPr>
        <w:pStyle w:val="Compact"/>
      </w:pPr>
      <w:r>
        <w:rPr>
          <w:b/>
        </w:rPr>
        <w:t xml:space="preserve">Fecha de revisión:</w:t>
      </w:r>
      <w:r>
        <w:t xml:space="preserve"> </w:t>
      </w:r>
      <w:r>
        <w:t xml:space="preserve">10-ago-2026 (módulo creado a petición del Dr. Ortega).</w:t>
      </w:r>
    </w:p>
    <w:p>
      <w:pPr>
        <w:numPr>
          <w:ilvl w:val="0"/>
          <w:numId w:val="1134"/>
        </w:numPr>
        <w:pStyle w:val="Compact"/>
      </w:pPr>
      <w:r>
        <w:rPr>
          <w:b/>
        </w:rPr>
        <w:t xml:space="preserve">Quién revisó:</w:t>
      </w:r>
      <w:r>
        <w:t xml:space="preserve"> </w:t>
      </w:r>
      <w:r>
        <w:t xml:space="preserve">Dr. Ortega — el comentario del encabezado documenta explícitamente una</w:t>
      </w:r>
      <w:r>
        <w:t xml:space="preserve"> </w:t>
      </w:r>
      <w:r>
        <w:t xml:space="preserve">“</w:t>
      </w:r>
      <w:r>
        <w:t xml:space="preserve">corrección clínica comunicada al Dr. Ortega</w:t>
      </w:r>
      <w:r>
        <w:t xml:space="preserve">”</w:t>
      </w:r>
      <w:r>
        <w:t xml:space="preserve"> </w:t>
      </w:r>
      <w:r>
        <w:t xml:space="preserve">sobre esta regla (líneas 25-29: la regla de</w:t>
      </w:r>
      <w:r>
        <w:t xml:space="preserve"> </w:t>
      </w:r>
      <w:r>
        <w:t xml:space="preserve">“</w:t>
      </w:r>
      <w:r>
        <w:t xml:space="preserve">X años dispara el tamizaje</w:t>
      </w:r>
      <w:r>
        <w:t xml:space="preserve">”</w:t>
      </w:r>
      <w:r>
        <w:t xml:space="preserve"> </w:t>
      </w:r>
      <w:r>
        <w:t xml:space="preserve">pedida inicialmente aplicaba solo a DM1, no a DM2).</w:t>
      </w:r>
    </w:p>
    <w:p>
      <w:pPr>
        <w:numPr>
          <w:ilvl w:val="0"/>
          <w:numId w:val="1134"/>
        </w:numPr>
        <w:pStyle w:val="Compact"/>
      </w:pPr>
      <w:r>
        <w:rPr>
          <w:b/>
        </w:rPr>
        <w:t xml:space="preserve">Qué casos la validan:</w:t>
      </w:r>
      <w:r>
        <w:t xml:space="preserve"> </w:t>
      </w:r>
      <w:r>
        <w:rPr>
          <w:rStyle w:val="VerbatimChar"/>
        </w:rPr>
        <w:t xml:space="preserve">D1</w:t>
      </w:r>
      <w:r>
        <w:t xml:space="preserve"> </w:t>
      </w:r>
      <w:r>
        <w:t xml:space="preserve">(DM2 día 1 → ya indicado),</w:t>
      </w:r>
      <w:r>
        <w:t xml:space="preserve"> </w:t>
      </w:r>
      <w:r>
        <w:rPr>
          <w:rStyle w:val="VerbatimChar"/>
        </w:rPr>
        <w:t xml:space="preserve">D2</w:t>
      </w:r>
      <w:r>
        <w:t xml:space="preserve"> </w:t>
      </w:r>
      <w:r>
        <w:t xml:space="preserve">(DM2, tamizaje hace 3 meses → al día),</w:t>
      </w:r>
      <w:r>
        <w:t xml:space="preserve"> </w:t>
      </w:r>
      <w:r>
        <w:rPr>
          <w:rStyle w:val="VerbatimChar"/>
        </w:rPr>
        <w:t xml:space="preserve">D3</w:t>
      </w:r>
      <w:r>
        <w:t xml:space="preserve"> </w:t>
      </w:r>
      <w:r>
        <w:t xml:space="preserve">(DM2, tamizaje hace ~20 meses → atrasado),</w:t>
      </w:r>
      <w:r>
        <w:t xml:space="preserve"> </w:t>
      </w:r>
      <w:r>
        <w:rPr>
          <w:rStyle w:val="VerbatimChar"/>
        </w:rPr>
        <w:t xml:space="preserve">D4</w:t>
      </w:r>
      <w:r>
        <w:t xml:space="preserve"> </w:t>
      </w:r>
      <w:r>
        <w:t xml:space="preserve">(DM1, 2 años → aún no indicado, faltan 3 años),</w:t>
      </w:r>
      <w:r>
        <w:t xml:space="preserve"> </w:t>
      </w:r>
      <w:r>
        <w:rPr>
          <w:rStyle w:val="VerbatimChar"/>
        </w:rPr>
        <w:t xml:space="preserve">D5</w:t>
      </w:r>
      <w:r>
        <w:t xml:space="preserve"> </w:t>
      </w:r>
      <w:r>
        <w:t xml:space="preserve">(DM1, exactamente 5 años → ya corresponde, límite inclusivo),</w:t>
      </w:r>
      <w:r>
        <w:t xml:space="preserve"> </w:t>
      </w:r>
      <w:r>
        <w:rPr>
          <w:rStyle w:val="VerbatimChar"/>
        </w:rPr>
        <w:t xml:space="preserve">D6</w:t>
      </w:r>
      <w:r>
        <w:t xml:space="preserve"> </w:t>
      </w:r>
      <w:r>
        <w:t xml:space="preserve">(DM1, 4.9 años → aún no corresponde).</w:t>
      </w:r>
    </w:p>
    <w:p>
      <w:pPr>
        <w:numPr>
          <w:ilvl w:val="0"/>
          <w:numId w:val="1134"/>
        </w:numPr>
        <w:pStyle w:val="Compact"/>
      </w:pPr>
      <w:r>
        <w:rPr>
          <w:b/>
        </w:rPr>
        <w:t xml:space="preserve">Qué excepciones tiene:</w:t>
      </w:r>
      <w:r>
        <w:t xml:space="preserve"> </w:t>
      </w:r>
      <w:r>
        <w:t xml:space="preserve">ninguna adicional en el código más allá de la distinción DM1 (5 años) vs. DM2/Prediabetes (0 años) — la corrección ya mencionada en el campo 6 está incorporada en la implementación actual, no es una excepción pendiente.</w:t>
      </w:r>
    </w:p>
    <w:p>
      <w:pPr>
        <w:numPr>
          <w:ilvl w:val="0"/>
          <w:numId w:val="1134"/>
        </w:numPr>
        <w:pStyle w:val="Compact"/>
      </w:pPr>
      <w:r>
        <w:rPr>
          <w:b/>
        </w:rPr>
        <w:t xml:space="preserve">Qué ocurre si faltan datos:</w:t>
      </w:r>
      <w:r>
        <w:t xml:space="preserve"> </w:t>
      </w:r>
      <w:r>
        <w:t xml:space="preserve">si no hay</w:t>
      </w:r>
      <w:r>
        <w:t xml:space="preserve"> </w:t>
      </w:r>
      <w:r>
        <w:rPr>
          <w:rStyle w:val="VerbatimChar"/>
        </w:rPr>
        <w:t xml:space="preserve">tipoDM</w:t>
      </w:r>
      <w:r>
        <w:t xml:space="preserve"> </w:t>
      </w:r>
      <w:r>
        <w:t xml:space="preserve">ni duración capturada (</w:t>
      </w:r>
      <w:r>
        <w:rPr>
          <w:rStyle w:val="VerbatimChar"/>
        </w:rPr>
        <w:t xml:space="preserve">aniosDM === null</w:t>
      </w:r>
      <w:r>
        <w:t xml:space="preserve">), el ítem queda</w:t>
      </w:r>
      <w:r>
        <w:t xml:space="preserve"> </w:t>
      </w:r>
      <w:r>
        <w:rPr>
          <w:rStyle w:val="VerbatimChar"/>
        </w:rPr>
        <w:t xml:space="preserve">sin_dato</w:t>
      </w:r>
      <w:r>
        <w:t xml:space="preserve"> </w:t>
      </w:r>
      <w:r>
        <w:t xml:space="preserve">(validado en</w:t>
      </w:r>
      <w:r>
        <w:t xml:space="preserve"> </w:t>
      </w:r>
      <w:r>
        <w:rPr>
          <w:rStyle w:val="VerbatimChar"/>
        </w:rPr>
        <w:t xml:space="preserve">D10</w:t>
      </w:r>
      <w:r>
        <w:t xml:space="preserve">). Si el tamizaje ya corresponde pero no hay fecha de último tamizaje registrada, el estado es</w:t>
      </w:r>
      <w:r>
        <w:t xml:space="preserve"> </w:t>
      </w:r>
      <w:r>
        <w:rPr>
          <w:rStyle w:val="VerbatimChar"/>
        </w:rPr>
        <w:t xml:space="preserve">indicado_sin_registro</w:t>
      </w:r>
      <w:r>
        <w:t xml:space="preserve">,</w:t>
      </w:r>
      <w:r>
        <w:t xml:space="preserve"> </w:t>
      </w:r>
      <w:r>
        <w:rPr>
          <w:b/>
        </w:rPr>
        <w:t xml:space="preserve">no</w:t>
      </w:r>
      <w:r>
        <w:t xml:space="preserve"> </w:t>
      </w:r>
      <w:r>
        <w:rPr>
          <w:rStyle w:val="VerbatimChar"/>
        </w:rPr>
        <w:t xml:space="preserve">atrasado</w:t>
      </w:r>
      <w:r>
        <w:t xml:space="preserve"> </w:t>
      </w:r>
      <w:r>
        <w:t xml:space="preserve">— decisión honesta documentada explícitamente en el encabezado (líneas 33-35):</w:t>
      </w:r>
      <w:r>
        <w:t xml:space="preserve"> </w:t>
      </w:r>
      <w:r>
        <w:t xml:space="preserve">“</w:t>
      </w:r>
      <w:r>
        <w:t xml:space="preserve">sin esa fecha, el estado es</w:t>
      </w:r>
      <w:r>
        <w:t xml:space="preserve"> </w:t>
      </w:r>
      <w:r>
        <w:t xml:space="preserve">‘</w:t>
      </w:r>
      <w:r>
        <w:t xml:space="preserve">corresponde realizar</w:t>
      </w:r>
      <w:r>
        <w:t xml:space="preserve">’</w:t>
      </w:r>
      <w:r>
        <w:t xml:space="preserve"> </w:t>
      </w:r>
      <w:r>
        <w:t xml:space="preserve">en vez de</w:t>
      </w:r>
      <w:r>
        <w:t xml:space="preserve"> </w:t>
      </w:r>
      <w:r>
        <w:t xml:space="preserve">‘</w:t>
      </w:r>
      <w:r>
        <w:t xml:space="preserve">atrasado</w:t>
      </w:r>
      <w:r>
        <w:t xml:space="preserve">’</w:t>
      </w:r>
      <w:r>
        <w:t xml:space="preserve">, porque no hay evidencia de que nunca se haya hecho</w:t>
      </w:r>
      <w:r>
        <w:t xml:space="preserve">”</w:t>
      </w:r>
      <w:r>
        <w:t xml:space="preserve">.</w:t>
      </w:r>
    </w:p>
    <w:p>
      <w:pPr>
        <w:numPr>
          <w:ilvl w:val="0"/>
          <w:numId w:val="1134"/>
        </w:numPr>
        <w:pStyle w:val="Compact"/>
      </w:pPr>
      <w:r>
        <w:rPr>
          <w:b/>
        </w:rPr>
        <w:t xml:space="preserve">Qué ocurre si dos guías discrepan:</w:t>
      </w:r>
      <w:r>
        <w:t xml:space="preserve"> </w:t>
      </w:r>
      <w:r>
        <w:t xml:space="preserve">No aplica / sin discrepancia documentada para esta regla.</w:t>
      </w:r>
    </w:p>
    <w:p>
      <w:pPr>
        <w:pStyle w:val="Heading2"/>
      </w:pPr>
      <w:bookmarkStart w:id="181" w:name="X7e54b9b078ad710dcb8396e7a4708b7a0c70ab4"/>
      <w:r>
        <w:t xml:space="preserve">Regla 14 — Nefropatía Diabética: periodicidad de tamizaje</w:t>
      </w:r>
      <w:bookmarkEnd w:id="181"/>
    </w:p>
    <w:p>
      <w:pPr>
        <w:numPr>
          <w:ilvl w:val="0"/>
          <w:numId w:val="1135"/>
        </w:numPr>
        <w:pStyle w:val="Compact"/>
      </w:pPr>
      <w:r>
        <w:rPr>
          <w:b/>
        </w:rPr>
        <w:t xml:space="preserve">Qué hace:</w:t>
      </w:r>
      <w:r>
        <w:t xml:space="preserve"> </w:t>
      </w:r>
      <w:r>
        <w:t xml:space="preserve">misma lógica que Retinopatía (Regla 13):</w:t>
      </w:r>
      <w:r>
        <w:t xml:space="preserve"> </w:t>
      </w:r>
      <w:r>
        <w:rPr>
          <w:rStyle w:val="VerbatimChar"/>
        </w:rPr>
        <w:t xml:space="preserve">aplicaDesdeAnios = 5</w:t>
      </w:r>
      <w:r>
        <w:t xml:space="preserve"> </w:t>
      </w:r>
      <w:r>
        <w:t xml:space="preserve">(DM1) o</w:t>
      </w:r>
      <w:r>
        <w:t xml:space="preserve"> </w:t>
      </w:r>
      <w:r>
        <w:rPr>
          <w:rStyle w:val="VerbatimChar"/>
        </w:rPr>
        <w:t xml:space="preserve">0</w:t>
      </w:r>
      <w:r>
        <w:t xml:space="preserve"> </w:t>
      </w:r>
      <w:r>
        <w:t xml:space="preserve">(DM2/Prediabetes), intervalo 12 meses. Combina UACR + eGFR según el comentario del encabezado.</w:t>
      </w:r>
    </w:p>
    <w:p>
      <w:pPr>
        <w:numPr>
          <w:ilvl w:val="0"/>
          <w:numId w:val="1135"/>
        </w:numPr>
        <w:pStyle w:val="Compact"/>
      </w:pPr>
      <w:r>
        <w:rPr>
          <w:b/>
        </w:rPr>
        <w:t xml:space="preserve">Por qué:</w:t>
      </w:r>
      <w:r>
        <w:t xml:space="preserve"> </w:t>
      </w:r>
      <w:r>
        <w:t xml:space="preserve">mismo razonamiento de fase silente DM1 vs. DM2 que la Regla 13.</w:t>
      </w:r>
    </w:p>
    <w:p>
      <w:pPr>
        <w:numPr>
          <w:ilvl w:val="0"/>
          <w:numId w:val="1135"/>
        </w:numPr>
        <w:pStyle w:val="Compact"/>
      </w:pPr>
      <w:r>
        <w:rPr>
          <w:b/>
        </w:rPr>
        <w:t xml:space="preserve">Fuente:</w:t>
      </w:r>
      <w:r>
        <w:t xml:space="preserve"> </w:t>
      </w:r>
      <w:r>
        <w:t xml:space="preserve">ADA Standards of Care in Diabetes — 2026,</w:t>
      </w:r>
      <w:r>
        <w:t xml:space="preserve"> </w:t>
      </w:r>
      <w:r>
        <w:rPr>
          <w:b/>
        </w:rPr>
        <w:t xml:space="preserve">Sección 11 (Chronic Kidney Disease)</w:t>
      </w:r>
      <w:r>
        <w:t xml:space="preserve">, citada explícitamente.</w:t>
      </w:r>
    </w:p>
    <w:p>
      <w:pPr>
        <w:numPr>
          <w:ilvl w:val="0"/>
          <w:numId w:val="1135"/>
        </w:numPr>
        <w:pStyle w:val="Compact"/>
      </w:pPr>
      <w:r>
        <w:rPr>
          <w:b/>
        </w:rPr>
        <w:t xml:space="preserve">Versión de la fuente:</w:t>
      </w:r>
      <w:r>
        <w:t xml:space="preserve"> </w:t>
      </w:r>
      <w:r>
        <w:t xml:space="preserve">ADA Standards of Care in Diabetes — 2026.</w:t>
      </w:r>
    </w:p>
    <w:p>
      <w:pPr>
        <w:numPr>
          <w:ilvl w:val="0"/>
          <w:numId w:val="1135"/>
        </w:numPr>
        <w:pStyle w:val="Compact"/>
      </w:pPr>
      <w:r>
        <w:rPr>
          <w:b/>
        </w:rPr>
        <w:t xml:space="preserve">Fecha de revisión:</w:t>
      </w:r>
      <w:r>
        <w:t xml:space="preserve"> </w:t>
      </w:r>
      <w:r>
        <w:t xml:space="preserve">10-ago-2026.</w:t>
      </w:r>
    </w:p>
    <w:p>
      <w:pPr>
        <w:numPr>
          <w:ilvl w:val="0"/>
          <w:numId w:val="1135"/>
        </w:numPr>
        <w:pStyle w:val="Compact"/>
      </w:pPr>
      <w:r>
        <w:rPr>
          <w:b/>
        </w:rPr>
        <w:t xml:space="preserve">Quién revisó:</w:t>
      </w:r>
      <w:r>
        <w:t xml:space="preserve"> </w:t>
      </w:r>
      <w:r>
        <w:t xml:space="preserve">Dr. Ortega.</w:t>
      </w:r>
    </w:p>
    <w:p>
      <w:pPr>
        <w:numPr>
          <w:ilvl w:val="0"/>
          <w:numId w:val="1135"/>
        </w:numPr>
        <w:pStyle w:val="Compact"/>
      </w:pPr>
      <w:r>
        <w:rPr>
          <w:b/>
        </w:rPr>
        <w:t xml:space="preserve">Qué casos la validan:</w:t>
      </w:r>
      <w:r>
        <w:t xml:space="preserve"> </w:t>
      </w:r>
      <w:r>
        <w:rPr>
          <w:rStyle w:val="VerbatimChar"/>
        </w:rPr>
        <w:t xml:space="preserve">D1</w:t>
      </w:r>
      <w:r>
        <w:t xml:space="preserve"> </w:t>
      </w:r>
      <w:r>
        <w:t xml:space="preserve">(DM2 día 1 → ya indicada),</w:t>
      </w:r>
      <w:r>
        <w:t xml:space="preserve"> </w:t>
      </w:r>
      <w:r>
        <w:rPr>
          <w:rStyle w:val="VerbatimChar"/>
        </w:rPr>
        <w:t xml:space="preserve">D3</w:t>
      </w:r>
      <w:r>
        <w:t xml:space="preserve"> </w:t>
      </w:r>
      <w:r>
        <w:t xml:space="preserve">(DM2, nefropatía tamizada hace ~20 meses → atrasado),</w:t>
      </w:r>
      <w:r>
        <w:t xml:space="preserve"> </w:t>
      </w:r>
      <w:r>
        <w:rPr>
          <w:rStyle w:val="VerbatimChar"/>
        </w:rPr>
        <w:t xml:space="preserve">D4</w:t>
      </w:r>
      <w:r>
        <w:t xml:space="preserve">/</w:t>
      </w:r>
      <w:r>
        <w:rPr>
          <w:rStyle w:val="VerbatimChar"/>
        </w:rPr>
        <w:t xml:space="preserve">D5</w:t>
      </w:r>
      <w:r>
        <w:t xml:space="preserve">/</w:t>
      </w:r>
      <w:r>
        <w:rPr>
          <w:rStyle w:val="VerbatimChar"/>
        </w:rPr>
        <w:t xml:space="preserve">D6</w:t>
      </w:r>
      <w:r>
        <w:t xml:space="preserve"> </w:t>
      </w:r>
      <w:r>
        <w:t xml:space="preserve">(DM1, umbral de 5 años, compartido con retinopatía/neuropatía en el mismo assert).</w:t>
      </w:r>
    </w:p>
    <w:p>
      <w:pPr>
        <w:numPr>
          <w:ilvl w:val="0"/>
          <w:numId w:val="1135"/>
        </w:numPr>
        <w:pStyle w:val="Compact"/>
      </w:pPr>
      <w:r>
        <w:rPr>
          <w:b/>
        </w:rPr>
        <w:t xml:space="preserve">Qué excepciones tiene:</w:t>
      </w:r>
      <w:r>
        <w:t xml:space="preserve"> </w:t>
      </w:r>
      <w:r>
        <w:t xml:space="preserve">ninguna adicional documentada.</w:t>
      </w:r>
    </w:p>
    <w:p>
      <w:pPr>
        <w:numPr>
          <w:ilvl w:val="0"/>
          <w:numId w:val="1135"/>
        </w:numPr>
        <w:pStyle w:val="Compact"/>
      </w:pPr>
      <w:r>
        <w:rPr>
          <w:b/>
        </w:rPr>
        <w:t xml:space="preserve">Qué ocurre si faltan datos:</w:t>
      </w:r>
      <w:r>
        <w:t xml:space="preserve"> </w:t>
      </w:r>
      <w:r>
        <w:t xml:space="preserve">idéntico a Regla 13 (</w:t>
      </w:r>
      <w:r>
        <w:rPr>
          <w:rStyle w:val="VerbatimChar"/>
        </w:rPr>
        <w:t xml:space="preserve">sin_dato</w:t>
      </w:r>
      <w:r>
        <w:t xml:space="preserve"> </w:t>
      </w:r>
      <w:r>
        <w:t xml:space="preserve">sin duración;</w:t>
      </w:r>
      <w:r>
        <w:t xml:space="preserve"> </w:t>
      </w:r>
      <w:r>
        <w:rPr>
          <w:rStyle w:val="VerbatimChar"/>
        </w:rPr>
        <w:t xml:space="preserve">indicado_sin_registro</w:t>
      </w:r>
      <w:r>
        <w:t xml:space="preserve"> </w:t>
      </w:r>
      <w:r>
        <w:t xml:space="preserve">sin fecha de último tamizaje, nunca se asume</w:t>
      </w:r>
      <w:r>
        <w:t xml:space="preserve"> </w:t>
      </w:r>
      <w:r>
        <w:t xml:space="preserve">“</w:t>
      </w:r>
      <w:r>
        <w:t xml:space="preserve">atrasado</w:t>
      </w:r>
      <w:r>
        <w:t xml:space="preserve">”</w:t>
      </w:r>
      <w:r>
        <w:t xml:space="preserve"> </w:t>
      </w:r>
      <w:r>
        <w:t xml:space="preserve">sin evidencia).</w:t>
      </w:r>
    </w:p>
    <w:p>
      <w:pPr>
        <w:numPr>
          <w:ilvl w:val="0"/>
          <w:numId w:val="1135"/>
        </w:numPr>
        <w:pStyle w:val="Compact"/>
      </w:pPr>
      <w:r>
        <w:rPr>
          <w:b/>
        </w:rPr>
        <w:t xml:space="preserve">Qué ocurre si dos guías discrepan:</w:t>
      </w:r>
      <w:r>
        <w:t xml:space="preserve"> </w:t>
      </w:r>
      <w:r>
        <w:t xml:space="preserve">No aplica / sin discrepancia documentada para esta regla.</w:t>
      </w:r>
    </w:p>
    <w:p>
      <w:pPr>
        <w:pStyle w:val="Heading2"/>
      </w:pPr>
      <w:bookmarkStart w:id="182" w:name="X4f8b075c2b52913f54b2f6f1a8700a4517daeb7"/>
      <w:r>
        <w:t xml:space="preserve">Regla 15 — Neuropatía Periférica: periodicidad de tamizaje</w:t>
      </w:r>
      <w:bookmarkEnd w:id="182"/>
    </w:p>
    <w:p>
      <w:pPr>
        <w:numPr>
          <w:ilvl w:val="0"/>
          <w:numId w:val="1136"/>
        </w:numPr>
        <w:pStyle w:val="Compact"/>
      </w:pPr>
      <w:r>
        <w:rPr>
          <w:b/>
        </w:rPr>
        <w:t xml:space="preserve">Qué hace:</w:t>
      </w:r>
      <w:r>
        <w:t xml:space="preserve"> </w:t>
      </w:r>
      <w:r>
        <w:t xml:space="preserve">misma lógica que Retinopatía y Nefropatía:</w:t>
      </w:r>
      <w:r>
        <w:t xml:space="preserve"> </w:t>
      </w:r>
      <w:r>
        <w:rPr>
          <w:rStyle w:val="VerbatimChar"/>
        </w:rPr>
        <w:t xml:space="preserve">aplicaDesdeAnios = 5</w:t>
      </w:r>
      <w:r>
        <w:t xml:space="preserve"> </w:t>
      </w:r>
      <w:r>
        <w:t xml:space="preserve">(DM1) o</w:t>
      </w:r>
      <w:r>
        <w:t xml:space="preserve"> </w:t>
      </w:r>
      <w:r>
        <w:rPr>
          <w:rStyle w:val="VerbatimChar"/>
        </w:rPr>
        <w:t xml:space="preserve">0</w:t>
      </w:r>
      <w:r>
        <w:t xml:space="preserve"> </w:t>
      </w:r>
      <w:r>
        <w:t xml:space="preserve">(DM2/Prediabetes), intervalo 12 meses.</w:t>
      </w:r>
    </w:p>
    <w:p>
      <w:pPr>
        <w:numPr>
          <w:ilvl w:val="0"/>
          <w:numId w:val="1136"/>
        </w:numPr>
        <w:pStyle w:val="Compact"/>
      </w:pPr>
      <w:r>
        <w:rPr>
          <w:b/>
        </w:rPr>
        <w:t xml:space="preserve">Por qué:</w:t>
      </w:r>
      <w:r>
        <w:t xml:space="preserve"> </w:t>
      </w:r>
      <w:r>
        <w:t xml:space="preserve">mismo razonamiento de fase silente DM1 vs. DM2.</w:t>
      </w:r>
    </w:p>
    <w:p>
      <w:pPr>
        <w:numPr>
          <w:ilvl w:val="0"/>
          <w:numId w:val="1136"/>
        </w:numPr>
        <w:pStyle w:val="Compact"/>
      </w:pPr>
      <w:r>
        <w:rPr>
          <w:b/>
        </w:rPr>
        <w:t xml:space="preserve">Fuente:</w:t>
      </w:r>
      <w:r>
        <w:t xml:space="preserve"> </w:t>
      </w:r>
      <w:r>
        <w:t xml:space="preserve">ADA Standards of Care in Diabetes — 2026, Sección 12 (Retinopathy, Neuropathy, and Foot Care), citada explícitamente (agrupada con retinopatía y pie diabético en la misma sección de la guía según el comentario).</w:t>
      </w:r>
    </w:p>
    <w:p>
      <w:pPr>
        <w:numPr>
          <w:ilvl w:val="0"/>
          <w:numId w:val="1136"/>
        </w:numPr>
        <w:pStyle w:val="Compact"/>
      </w:pPr>
      <w:r>
        <w:rPr>
          <w:b/>
        </w:rPr>
        <w:t xml:space="preserve">Versión de la fuente:</w:t>
      </w:r>
      <w:r>
        <w:t xml:space="preserve"> </w:t>
      </w:r>
      <w:r>
        <w:t xml:space="preserve">ADA Standards of Care in Diabetes — 2026.</w:t>
      </w:r>
    </w:p>
    <w:p>
      <w:pPr>
        <w:numPr>
          <w:ilvl w:val="0"/>
          <w:numId w:val="1136"/>
        </w:numPr>
        <w:pStyle w:val="Compact"/>
      </w:pPr>
      <w:r>
        <w:rPr>
          <w:b/>
        </w:rPr>
        <w:t xml:space="preserve">Fecha de revisión:</w:t>
      </w:r>
      <w:r>
        <w:t xml:space="preserve"> </w:t>
      </w:r>
      <w:r>
        <w:t xml:space="preserve">10-ago-2026.</w:t>
      </w:r>
    </w:p>
    <w:p>
      <w:pPr>
        <w:numPr>
          <w:ilvl w:val="0"/>
          <w:numId w:val="1136"/>
        </w:numPr>
        <w:pStyle w:val="Compact"/>
      </w:pPr>
      <w:r>
        <w:rPr>
          <w:b/>
        </w:rPr>
        <w:t xml:space="preserve">Quién revisó:</w:t>
      </w:r>
      <w:r>
        <w:t xml:space="preserve"> </w:t>
      </w:r>
      <w:r>
        <w:t xml:space="preserve">Dr. Ortega.</w:t>
      </w:r>
    </w:p>
    <w:p>
      <w:pPr>
        <w:numPr>
          <w:ilvl w:val="0"/>
          <w:numId w:val="1136"/>
        </w:numPr>
        <w:pStyle w:val="Compact"/>
      </w:pPr>
      <w:r>
        <w:rPr>
          <w:b/>
        </w:rPr>
        <w:t xml:space="preserve">Qué casos la validan:</w:t>
      </w:r>
      <w:r>
        <w:t xml:space="preserve"> </w:t>
      </w:r>
      <w:r>
        <w:rPr>
          <w:rStyle w:val="VerbatimChar"/>
        </w:rPr>
        <w:t xml:space="preserve">D1</w:t>
      </w:r>
      <w:r>
        <w:t xml:space="preserve"> </w:t>
      </w:r>
      <w:r>
        <w:t xml:space="preserve">y</w:t>
      </w:r>
      <w:r>
        <w:t xml:space="preserve"> </w:t>
      </w:r>
      <w:r>
        <w:rPr>
          <w:rStyle w:val="VerbatimChar"/>
        </w:rPr>
        <w:t xml:space="preserve">D4</w:t>
      </w:r>
      <w:r>
        <w:t xml:space="preserve">/</w:t>
      </w:r>
      <w:r>
        <w:rPr>
          <w:rStyle w:val="VerbatimChar"/>
        </w:rPr>
        <w:t xml:space="preserve">D5</w:t>
      </w:r>
      <w:r>
        <w:t xml:space="preserve">/</w:t>
      </w:r>
      <w:r>
        <w:rPr>
          <w:rStyle w:val="VerbatimChar"/>
        </w:rPr>
        <w:t xml:space="preserve">D6</w:t>
      </w:r>
      <w:r>
        <w:t xml:space="preserve"> </w:t>
      </w:r>
      <w:r>
        <w:t xml:space="preserve">(compartidos con retinopatía/nefropatía en el mismo assert de</w:t>
      </w:r>
      <w:r>
        <w:t xml:space="preserve"> </w:t>
      </w:r>
      <w:r>
        <w:rPr>
          <w:rStyle w:val="VerbatimChar"/>
        </w:rPr>
        <w:t xml:space="preserve">computeScreeningItems</w:t>
      </w:r>
      <w:r>
        <w:t xml:space="preserve">).</w:t>
      </w:r>
    </w:p>
    <w:p>
      <w:pPr>
        <w:numPr>
          <w:ilvl w:val="0"/>
          <w:numId w:val="1136"/>
        </w:numPr>
        <w:pStyle w:val="Compact"/>
      </w:pPr>
      <w:r>
        <w:rPr>
          <w:b/>
        </w:rPr>
        <w:t xml:space="preserve">Qué excepciones tiene:</w:t>
      </w:r>
      <w:r>
        <w:t xml:space="preserve"> </w:t>
      </w:r>
      <w:r>
        <w:t xml:space="preserve">ninguna adicional documentada. Nota: el flag</w:t>
      </w:r>
      <w:r>
        <w:t xml:space="preserve"> </w:t>
      </w:r>
      <w:r>
        <w:rPr>
          <w:rStyle w:val="VerbatimChar"/>
        </w:rPr>
        <w:t xml:space="preserve">altoRiesgoPie</w:t>
      </w:r>
      <w:r>
        <w:t xml:space="preserve"> </w:t>
      </w:r>
      <w:r>
        <w:t xml:space="preserve">usa</w:t>
      </w:r>
      <w:r>
        <w:t xml:space="preserve"> </w:t>
      </w:r>
      <w:r>
        <w:rPr>
          <w:rStyle w:val="VerbatimChar"/>
        </w:rPr>
        <w:t xml:space="preserve">NEUROPATIA_PERIFERICA</w:t>
      </w:r>
      <w:r>
        <w:t xml:space="preserve"> </w:t>
      </w:r>
      <w:r>
        <w:t xml:space="preserve">como criterio de alto riesgo para el tamizaje de</w:t>
      </w:r>
      <w:r>
        <w:t xml:space="preserve"> </w:t>
      </w:r>
      <w:r>
        <w:rPr>
          <w:b/>
        </w:rPr>
        <w:t xml:space="preserve">pie</w:t>
      </w:r>
      <w:r>
        <w:t xml:space="preserve"> </w:t>
      </w:r>
      <w:r>
        <w:t xml:space="preserve">(Regla 16), pero la neuropatía periférica como ítem de tamizaje en sí misma no tiene un intervalo diferenciado por riesgo (siempre 12 meses).</w:t>
      </w:r>
    </w:p>
    <w:p>
      <w:pPr>
        <w:numPr>
          <w:ilvl w:val="0"/>
          <w:numId w:val="1136"/>
        </w:numPr>
        <w:pStyle w:val="Compact"/>
      </w:pPr>
      <w:r>
        <w:rPr>
          <w:b/>
        </w:rPr>
        <w:t xml:space="preserve">Qué ocurre si faltan datos:</w:t>
      </w:r>
      <w:r>
        <w:t xml:space="preserve"> </w:t>
      </w:r>
      <w:r>
        <w:t xml:space="preserve">idéntico a Reglas 13/14.</w:t>
      </w:r>
    </w:p>
    <w:p>
      <w:pPr>
        <w:numPr>
          <w:ilvl w:val="0"/>
          <w:numId w:val="1136"/>
        </w:numPr>
        <w:pStyle w:val="Compact"/>
      </w:pPr>
      <w:r>
        <w:rPr>
          <w:b/>
        </w:rPr>
        <w:t xml:space="preserve">Qué ocurre si dos guías discrepan:</w:t>
      </w:r>
      <w:r>
        <w:t xml:space="preserve"> </w:t>
      </w:r>
      <w:r>
        <w:t xml:space="preserve">No aplica / sin discrepancia documentada para esta regla.</w:t>
      </w:r>
    </w:p>
    <w:p>
      <w:pPr>
        <w:pStyle w:val="Heading2"/>
      </w:pPr>
      <w:bookmarkStart w:id="183" w:name="X91172727a9e7c8fdcac8fa549887fd70a3cc955"/>
      <w:r>
        <w:t xml:space="preserve">Regla 16 — Pie Diabético: periodicidad de tamizaje (anual / 6 meses si alto riesgo)</w:t>
      </w:r>
      <w:bookmarkEnd w:id="183"/>
    </w:p>
    <w:p>
      <w:pPr>
        <w:numPr>
          <w:ilvl w:val="0"/>
          <w:numId w:val="1137"/>
        </w:numPr>
        <w:pStyle w:val="Compact"/>
      </w:pPr>
      <w:r>
        <w:rPr>
          <w:b/>
        </w:rPr>
        <w:t xml:space="preserve">Qué hace:</w:t>
      </w:r>
      <w:r>
        <w:t xml:space="preserve"> </w:t>
      </w:r>
      <w:r>
        <w:rPr>
          <w:rStyle w:val="VerbatimChar"/>
        </w:rPr>
        <w:t xml:space="preserve">aplicaDesdeAnios = 0</w:t>
      </w:r>
      <w:r>
        <w:t xml:space="preserve"> </w:t>
      </w:r>
      <w:r>
        <w:t xml:space="preserve">siempre (no aplica la regla de 5 años, a diferencia de las 3 anteriores);</w:t>
      </w:r>
      <w:r>
        <w:t xml:space="preserve"> </w:t>
      </w:r>
      <w:r>
        <w:rPr>
          <w:rStyle w:val="VerbatimChar"/>
        </w:rPr>
        <w:t xml:space="preserve">intervaloMeses = 6</w:t>
      </w:r>
      <w:r>
        <w:t xml:space="preserve"> </w:t>
      </w:r>
      <w:r>
        <w:t xml:space="preserve">si</w:t>
      </w:r>
      <w:r>
        <w:t xml:space="preserve"> </w:t>
      </w:r>
      <w:r>
        <w:rPr>
          <w:rStyle w:val="VerbatimChar"/>
        </w:rPr>
        <w:t xml:space="preserve">altoRiesgoPie</w:t>
      </w:r>
      <w:r>
        <w:t xml:space="preserve"> </w:t>
      </w:r>
      <w:r>
        <w:t xml:space="preserve">(comorbilidades incluyen</w:t>
      </w:r>
      <w:r>
        <w:t xml:space="preserve"> </w:t>
      </w:r>
      <w:r>
        <w:rPr>
          <w:rStyle w:val="VerbatimChar"/>
        </w:rPr>
        <w:t xml:space="preserve">NEUROPATIA_PERIFERICA</w:t>
      </w:r>
      <w:r>
        <w:t xml:space="preserve">,</w:t>
      </w:r>
      <w:r>
        <w:t xml:space="preserve"> </w:t>
      </w:r>
      <w:r>
        <w:rPr>
          <w:rStyle w:val="VerbatimChar"/>
        </w:rPr>
        <w:t xml:space="preserve">PIE_ALTO_RIESGO</w:t>
      </w:r>
      <w:r>
        <w:t xml:space="preserve"> </w:t>
      </w:r>
      <w:r>
        <w:t xml:space="preserve">o</w:t>
      </w:r>
      <w:r>
        <w:t xml:space="preserve"> </w:t>
      </w:r>
      <w:r>
        <w:rPr>
          <w:rStyle w:val="VerbatimChar"/>
        </w:rPr>
        <w:t xml:space="preserve">EAP</w:t>
      </w:r>
      <w:r>
        <w:t xml:space="preserve">), si no</w:t>
      </w:r>
      <w:r>
        <w:t xml:space="preserve"> </w:t>
      </w:r>
      <w:r>
        <w:rPr>
          <w:rStyle w:val="VerbatimChar"/>
        </w:rPr>
        <w:t xml:space="preserve">12</w:t>
      </w:r>
      <w:r>
        <w:t xml:space="preserve">.</w:t>
      </w:r>
    </w:p>
    <w:p>
      <w:pPr>
        <w:numPr>
          <w:ilvl w:val="0"/>
          <w:numId w:val="1137"/>
        </w:numPr>
        <w:pStyle w:val="Compact"/>
      </w:pPr>
      <w:r>
        <w:rPr>
          <w:b/>
        </w:rPr>
        <w:t xml:space="preserve">Por qué:</w:t>
      </w:r>
      <w:r>
        <w:t xml:space="preserve"> </w:t>
      </w:r>
      <w:r>
        <w:t xml:space="preserve">el riesgo de úlcera/amputación es relevante desde el diagnóstico en ambos tipos de diabetes (no hay</w:t>
      </w:r>
      <w:r>
        <w:t xml:space="preserve"> </w:t>
      </w:r>
      <w:r>
        <w:t xml:space="preserve">“</w:t>
      </w:r>
      <w:r>
        <w:t xml:space="preserve">fase silente</w:t>
      </w:r>
      <w:r>
        <w:t xml:space="preserve">”</w:t>
      </w:r>
      <w:r>
        <w:t xml:space="preserve"> </w:t>
      </w:r>
      <w:r>
        <w:t xml:space="preserve">equivalente a la de retinopatía/nefropatía); los pacientes de alto riesgo requieren vigilancia más frecuente.</w:t>
      </w:r>
    </w:p>
    <w:p>
      <w:pPr>
        <w:numPr>
          <w:ilvl w:val="0"/>
          <w:numId w:val="1137"/>
        </w:numPr>
        <w:pStyle w:val="Compact"/>
      </w:pPr>
      <w:r>
        <w:rPr>
          <w:b/>
        </w:rPr>
        <w:t xml:space="preserve">Fuente:</w:t>
      </w:r>
      <w:r>
        <w:t xml:space="preserve"> </w:t>
      </w:r>
      <w:r>
        <w:t xml:space="preserve">ADA Standards of Care in Diabetes — 2026, Sección 12 —</w:t>
      </w:r>
      <w:r>
        <w:t xml:space="preserve"> </w:t>
      </w:r>
      <w:r>
        <w:t xml:space="preserve">“</w:t>
      </w:r>
      <w:r>
        <w:t xml:space="preserve">examen visual en cada consulta + examen integral ANUAL para todos… (no aplica la regla de 5 años); cada 3-6 meses (aquí: 6) si el paciente es de alto riesgo</w:t>
      </w:r>
      <w:r>
        <w:t xml:space="preserve">”</w:t>
      </w:r>
      <w:r>
        <w:t xml:space="preserve">, citada explícitamente en el encabezado del archivo.</w:t>
      </w:r>
    </w:p>
    <w:p>
      <w:pPr>
        <w:numPr>
          <w:ilvl w:val="0"/>
          <w:numId w:val="1137"/>
        </w:numPr>
        <w:pStyle w:val="Compact"/>
      </w:pPr>
      <w:r>
        <w:rPr>
          <w:b/>
        </w:rPr>
        <w:t xml:space="preserve">Versión de la fuente:</w:t>
      </w:r>
      <w:r>
        <w:t xml:space="preserve"> </w:t>
      </w:r>
      <w:r>
        <w:t xml:space="preserve">ADA Standards of Care in Diabetes — 2026.</w:t>
      </w:r>
    </w:p>
    <w:p>
      <w:pPr>
        <w:numPr>
          <w:ilvl w:val="0"/>
          <w:numId w:val="1137"/>
        </w:numPr>
        <w:pStyle w:val="Compact"/>
      </w:pPr>
      <w:r>
        <w:rPr>
          <w:b/>
        </w:rPr>
        <w:t xml:space="preserve">Fecha de revisión:</w:t>
      </w:r>
      <w:r>
        <w:t xml:space="preserve"> </w:t>
      </w:r>
      <w:r>
        <w:t xml:space="preserve">10-ago-2026.</w:t>
      </w:r>
    </w:p>
    <w:p>
      <w:pPr>
        <w:numPr>
          <w:ilvl w:val="0"/>
          <w:numId w:val="1137"/>
        </w:numPr>
        <w:pStyle w:val="Compact"/>
      </w:pPr>
      <w:r>
        <w:rPr>
          <w:b/>
        </w:rPr>
        <w:t xml:space="preserve">Quién revisó:</w:t>
      </w:r>
      <w:r>
        <w:t xml:space="preserve"> </w:t>
      </w:r>
      <w:r>
        <w:t xml:space="preserve">Dr. Ortega.</w:t>
      </w:r>
    </w:p>
    <w:p>
      <w:pPr>
        <w:numPr>
          <w:ilvl w:val="0"/>
          <w:numId w:val="1137"/>
        </w:numPr>
        <w:pStyle w:val="Compact"/>
      </w:pPr>
      <w:r>
        <w:rPr>
          <w:b/>
        </w:rPr>
        <w:t xml:space="preserve">Qué casos la validan:</w:t>
      </w:r>
      <w:r>
        <w:t xml:space="preserve"> </w:t>
      </w:r>
      <w:r>
        <w:rPr>
          <w:rStyle w:val="VerbatimChar"/>
        </w:rPr>
        <w:t xml:space="preserve">D7</w:t>
      </w:r>
      <w:r>
        <w:t xml:space="preserve"> </w:t>
      </w:r>
      <w:r>
        <w:t xml:space="preserve">(DM1, 2 años → pie ya indicado, sin regla de 5 años),</w:t>
      </w:r>
      <w:r>
        <w:t xml:space="preserve"> </w:t>
      </w:r>
      <w:r>
        <w:rPr>
          <w:rStyle w:val="VerbatimChar"/>
        </w:rPr>
        <w:t xml:space="preserve">D8</w:t>
      </w:r>
      <w:r>
        <w:t xml:space="preserve"> </w:t>
      </w:r>
      <w:r>
        <w:t xml:space="preserve">(alto riesgo, examen hace ~8 meses → atrasado, intervalo 6m),</w:t>
      </w:r>
      <w:r>
        <w:t xml:space="preserve"> </w:t>
      </w:r>
      <w:r>
        <w:rPr>
          <w:rStyle w:val="VerbatimChar"/>
        </w:rPr>
        <w:t xml:space="preserve">D9</w:t>
      </w:r>
      <w:r>
        <w:t xml:space="preserve"> </w:t>
      </w:r>
      <w:r>
        <w:t xml:space="preserve">(sin alto riesgo, mismo escenario → al día, intervalo 12m).</w:t>
      </w:r>
    </w:p>
    <w:p>
      <w:pPr>
        <w:numPr>
          <w:ilvl w:val="0"/>
          <w:numId w:val="1137"/>
        </w:numPr>
        <w:pStyle w:val="Compact"/>
      </w:pPr>
      <w:r>
        <w:rPr>
          <w:b/>
        </w:rPr>
        <w:t xml:space="preserve">Qué excepciones tiene:</w:t>
      </w:r>
      <w:r>
        <w:t xml:space="preserve"> </w:t>
      </w:r>
      <w:r>
        <w:t xml:space="preserve">la guía citada permite un rango de 3-6 meses para pacientes de alto riesgo; el código fija un único valor de 6 meses, decisión de implementación explícitamente reconocida en el propio comentario (</w:t>
      </w:r>
      <w:r>
        <w:t xml:space="preserve">“</w:t>
      </w:r>
      <w:r>
        <w:t xml:space="preserve">cada 3-6 meses (aquí: 6)</w:t>
      </w:r>
      <w:r>
        <w:t xml:space="preserve">”</w:t>
      </w:r>
      <w:r>
        <w:t xml:space="preserve">) — no es una discrepancia entre guías, es una elección dentro del rango permitido por la misma guía. Además, el</w:t>
      </w:r>
      <w:r>
        <w:t xml:space="preserve"> </w:t>
      </w:r>
      <w:r>
        <w:t xml:space="preserve">“</w:t>
      </w:r>
      <w:r>
        <w:t xml:space="preserve">examen visual en cada consulta</w:t>
      </w:r>
      <w:r>
        <w:t xml:space="preserve">”</w:t>
      </w:r>
      <w:r>
        <w:t xml:space="preserve"> </w:t>
      </w:r>
      <w:r>
        <w:t xml:space="preserve">que menciona el encabezado</w:t>
      </w:r>
      <w:r>
        <w:t xml:space="preserve"> </w:t>
      </w:r>
      <w:r>
        <w:rPr>
          <w:b/>
        </w:rPr>
        <w:t xml:space="preserve">no está modelado como un ítem de estado separado</w:t>
      </w:r>
      <w:r>
        <w:t xml:space="preserve"> </w:t>
      </w:r>
      <w:r>
        <w:t xml:space="preserve">en</w:t>
      </w:r>
      <w:r>
        <w:t xml:space="preserve"> </w:t>
      </w:r>
      <w:r>
        <w:rPr>
          <w:rStyle w:val="VerbatimChar"/>
        </w:rPr>
        <w:t xml:space="preserve">computeScreeningItems</w:t>
      </w:r>
      <w:r>
        <w:t xml:space="preserve"> </w:t>
      </w:r>
      <w:r>
        <w:t xml:space="preserve">— solo se modela el examen integral (6 o 12 meses); el examen visual en cada consulta queda como contenido puramente informativo sin lógica de seguimiento.</w:t>
      </w:r>
    </w:p>
    <w:p>
      <w:pPr>
        <w:numPr>
          <w:ilvl w:val="0"/>
          <w:numId w:val="1137"/>
        </w:numPr>
        <w:pStyle w:val="Compact"/>
      </w:pPr>
      <w:r>
        <w:rPr>
          <w:b/>
        </w:rPr>
        <w:t xml:space="preserve">Qué ocurre si faltan datos:</w:t>
      </w:r>
      <w:r>
        <w:t xml:space="preserve"> </w:t>
      </w:r>
      <w:r>
        <w:t xml:space="preserve">idéntico patrón a las Reglas 13-15 (</w:t>
      </w:r>
      <w:r>
        <w:rPr>
          <w:rStyle w:val="VerbatimChar"/>
        </w:rPr>
        <w:t xml:space="preserve">sin_dato</w:t>
      </w:r>
      <w:r>
        <w:t xml:space="preserve"> </w:t>
      </w:r>
      <w:r>
        <w:t xml:space="preserve">/</w:t>
      </w:r>
      <w:r>
        <w:t xml:space="preserve"> </w:t>
      </w:r>
      <w:r>
        <w:rPr>
          <w:rStyle w:val="VerbatimChar"/>
        </w:rPr>
        <w:t xml:space="preserve">indicado_sin_registro</w:t>
      </w:r>
      <w:r>
        <w:t xml:space="preserve">, nunca</w:t>
      </w:r>
      <w:r>
        <w:t xml:space="preserve"> </w:t>
      </w:r>
      <w:r>
        <w:t xml:space="preserve">“</w:t>
      </w:r>
      <w:r>
        <w:t xml:space="preserve">atrasado</w:t>
      </w:r>
      <w:r>
        <w:t xml:space="preserve">”</w:t>
      </w:r>
      <w:r>
        <w:t xml:space="preserve"> </w:t>
      </w:r>
      <w:r>
        <w:t xml:space="preserve">sin fecha registrada).</w:t>
      </w:r>
    </w:p>
    <w:p>
      <w:pPr>
        <w:numPr>
          <w:ilvl w:val="0"/>
          <w:numId w:val="1137"/>
        </w:numPr>
        <w:pStyle w:val="Compact"/>
      </w:pPr>
      <w:r>
        <w:rPr>
          <w:b/>
        </w:rPr>
        <w:t xml:space="preserve">Qué ocurre si dos guías discrepan:</w:t>
      </w:r>
      <w:r>
        <w:t xml:space="preserve"> </w:t>
      </w:r>
      <w:r>
        <w:t xml:space="preserve">No aplica / sin discrepancia entre guías — es una elección de implementación dentro del rango que la misma guía permite, documentada explícitamente en el código.</w:t>
      </w:r>
    </w:p>
    <w:p>
      <w:pPr>
        <w:pStyle w:val="Heading2"/>
      </w:pPr>
      <w:bookmarkStart w:id="184" w:name="X4f6d7d195159a534a6824b381aebadc7a10bdca"/>
      <w:r>
        <w:t xml:space="preserve">Regla 17 — Riesgo Cardiovascular / perfil lipídico: periodicidad de tamizaje</w:t>
      </w:r>
      <w:bookmarkEnd w:id="184"/>
    </w:p>
    <w:p>
      <w:pPr>
        <w:numPr>
          <w:ilvl w:val="0"/>
          <w:numId w:val="1138"/>
        </w:numPr>
        <w:pStyle w:val="Compact"/>
      </w:pPr>
      <w:r>
        <w:rPr>
          <w:b/>
        </w:rPr>
        <w:t xml:space="preserve">Qué hace:</w:t>
      </w:r>
      <w:r>
        <w:t xml:space="preserve"> </w:t>
      </w:r>
      <w:r>
        <w:rPr>
          <w:rStyle w:val="VerbatimChar"/>
        </w:rPr>
        <w:t xml:space="preserve">aplicaDesdeAnios = 0</w:t>
      </w:r>
      <w:r>
        <w:t xml:space="preserve"> </w:t>
      </w:r>
      <w:r>
        <w:t xml:space="preserve">(desde el diagnóstico, sin distinción DM1/DM2),</w:t>
      </w:r>
      <w:r>
        <w:t xml:space="preserve"> </w:t>
      </w:r>
      <w:r>
        <w:rPr>
          <w:rStyle w:val="VerbatimChar"/>
        </w:rPr>
        <w:t xml:space="preserve">intervaloMeses = 12</w:t>
      </w:r>
      <w:r>
        <w:t xml:space="preserve"> </w:t>
      </w:r>
      <w:r>
        <w:t xml:space="preserve">fijo, sin diferenciar por nivel de riesgo del paciente.</w:t>
      </w:r>
    </w:p>
    <w:p>
      <w:pPr>
        <w:numPr>
          <w:ilvl w:val="0"/>
          <w:numId w:val="1138"/>
        </w:numPr>
        <w:pStyle w:val="Compact"/>
      </w:pPr>
      <w:r>
        <w:rPr>
          <w:b/>
        </w:rPr>
        <w:t xml:space="preserve">Por qué:</w:t>
      </w:r>
      <w:r>
        <w:t xml:space="preserve"> </w:t>
      </w:r>
      <w:r>
        <w:t xml:space="preserve">la guía indica evaluación de perfil lipídico y riesgo CV al diagnóstico, luego periódica.</w:t>
      </w:r>
    </w:p>
    <w:p>
      <w:pPr>
        <w:numPr>
          <w:ilvl w:val="0"/>
          <w:numId w:val="1138"/>
        </w:numPr>
        <w:pStyle w:val="Compact"/>
      </w:pPr>
      <w:r>
        <w:rPr>
          <w:b/>
        </w:rPr>
        <w:t xml:space="preserve">Fuente:</w:t>
      </w:r>
      <w:r>
        <w:t xml:space="preserve"> </w:t>
      </w:r>
      <w:r>
        <w:t xml:space="preserve">“</w:t>
      </w:r>
      <w:r>
        <w:t xml:space="preserve">ADA Standards of Care 2026 — perfil lipídico y riesgo CV al diagnóstico, luego periódico (anual si en tratamiento o LDL fuera de meta)</w:t>
      </w:r>
      <w:r>
        <w:t xml:space="preserve">”</w:t>
      </w:r>
      <w:r>
        <w:t xml:space="preserve">, citada en el</w:t>
      </w:r>
      <w:r>
        <w:t xml:space="preserve"> </w:t>
      </w:r>
      <w:r>
        <w:rPr>
          <w:rStyle w:val="VerbatimChar"/>
        </w:rPr>
        <w:t xml:space="preserve">fuente</w:t>
      </w:r>
      <w:r>
        <w:t xml:space="preserve"> </w:t>
      </w:r>
      <w:r>
        <w:t xml:space="preserve">del propio ítem (línea 146) y en el encabezado del archivo.</w:t>
      </w:r>
    </w:p>
    <w:p>
      <w:pPr>
        <w:numPr>
          <w:ilvl w:val="0"/>
          <w:numId w:val="1138"/>
        </w:numPr>
        <w:pStyle w:val="Compact"/>
      </w:pPr>
      <w:r>
        <w:rPr>
          <w:b/>
        </w:rPr>
        <w:t xml:space="preserve">Versión de la fuente:</w:t>
      </w:r>
      <w:r>
        <w:t xml:space="preserve"> </w:t>
      </w:r>
      <w:r>
        <w:t xml:space="preserve">ADA Standards of Care in Diabetes — 2026.</w:t>
      </w:r>
    </w:p>
    <w:p>
      <w:pPr>
        <w:numPr>
          <w:ilvl w:val="0"/>
          <w:numId w:val="1138"/>
        </w:numPr>
        <w:pStyle w:val="Compact"/>
      </w:pPr>
      <w:r>
        <w:rPr>
          <w:b/>
        </w:rPr>
        <w:t xml:space="preserve">Fecha de revisión:</w:t>
      </w:r>
      <w:r>
        <w:t xml:space="preserve"> </w:t>
      </w:r>
      <w:r>
        <w:t xml:space="preserve">10-ago-2026.</w:t>
      </w:r>
    </w:p>
    <w:p>
      <w:pPr>
        <w:numPr>
          <w:ilvl w:val="0"/>
          <w:numId w:val="1138"/>
        </w:numPr>
        <w:pStyle w:val="Compact"/>
      </w:pPr>
      <w:r>
        <w:rPr>
          <w:b/>
        </w:rPr>
        <w:t xml:space="preserve">Quién revisó:</w:t>
      </w:r>
      <w:r>
        <w:t xml:space="preserve"> </w:t>
      </w:r>
      <w:r>
        <w:t xml:space="preserve">Dr. Ortega.</w:t>
      </w:r>
    </w:p>
    <w:p>
      <w:pPr>
        <w:numPr>
          <w:ilvl w:val="0"/>
          <w:numId w:val="1138"/>
        </w:numPr>
        <w:pStyle w:val="Compact"/>
      </w:pPr>
      <w:r>
        <w:rPr>
          <w:b/>
        </w:rPr>
        <w:t xml:space="preserve">Qué casos la validan:</w:t>
      </w:r>
      <w:r>
        <w:t xml:space="preserve"> </w:t>
      </w:r>
      <w:r>
        <w:rPr>
          <w:rStyle w:val="VerbatimChar"/>
        </w:rPr>
        <w:t xml:space="preserve">D7</w:t>
      </w:r>
      <w:r>
        <w:t xml:space="preserve"> </w:t>
      </w:r>
      <w:r>
        <w:t xml:space="preserve">(riesgoCV ya indicado con DM1 a 2 años, sin regla de 5 años),</w:t>
      </w:r>
      <w:r>
        <w:t xml:space="preserve"> </w:t>
      </w:r>
      <w:r>
        <w:rPr>
          <w:rStyle w:val="VerbatimChar"/>
        </w:rPr>
        <w:t xml:space="preserve">D8</w:t>
      </w:r>
      <w:r>
        <w:t xml:space="preserve"> </w:t>
      </w:r>
      <w:r>
        <w:t xml:space="preserve">(riesgoCV al día a los ~8 meses con intervalo 12m).</w:t>
      </w:r>
    </w:p>
    <w:p>
      <w:pPr>
        <w:numPr>
          <w:ilvl w:val="0"/>
          <w:numId w:val="1138"/>
        </w:numPr>
        <w:pStyle w:val="Compact"/>
      </w:pPr>
      <w:r>
        <w:rPr>
          <w:b/>
        </w:rPr>
        <w:t xml:space="preserve">Qué excepciones tiene:</w:t>
      </w:r>
      <w:r>
        <w:t xml:space="preserve"> </w:t>
      </w:r>
      <w:r>
        <w:rPr>
          <w:b/>
        </w:rPr>
        <w:t xml:space="preserve">el encabezado del archivo reconoce explícitamente (línea 22-23) que</w:t>
      </w:r>
      <w:r>
        <w:rPr>
          <w:b/>
        </w:rPr>
        <w:t xml:space="preserve"> </w:t>
      </w:r>
      <w:r>
        <w:rPr>
          <w:b/>
        </w:rPr>
        <w:t xml:space="preserve">“</w:t>
      </w:r>
      <w:r>
        <w:rPr>
          <w:b/>
        </w:rPr>
        <w:t xml:space="preserve">la guía permite hasta 24 meses en bajo riesgo</w:t>
      </w:r>
      <w:r>
        <w:rPr>
          <w:b/>
        </w:rPr>
        <w:t xml:space="preserve">”</w:t>
      </w:r>
      <w:r>
        <w:t xml:space="preserve">, pero el código implementa un intervalo fijo de 12 meses</w:t>
      </w:r>
      <w:r>
        <w:t xml:space="preserve"> </w:t>
      </w:r>
      <w:r>
        <w:rPr>
          <w:b/>
        </w:rPr>
        <w:t xml:space="preserve">sin ninguna lógica que distinga el nivel de riesgo del paciente</w:t>
      </w:r>
      <w:r>
        <w:t xml:space="preserve"> </w:t>
      </w:r>
      <w:r>
        <w:t xml:space="preserve">para este ítem en particular. Esto puede marcar como</w:t>
      </w:r>
      <w:r>
        <w:t xml:space="preserve"> </w:t>
      </w:r>
      <w:r>
        <w:t xml:space="preserve">“</w:t>
      </w:r>
      <w:r>
        <w:t xml:space="preserve">atrasado</w:t>
      </w:r>
      <w:r>
        <w:t xml:space="preserve">”</w:t>
      </w:r>
      <w:r>
        <w:t xml:space="preserve"> </w:t>
      </w:r>
      <w:r>
        <w:t xml:space="preserve">a un paciente de bajo riesgo que en realidad sigue dentro de la ventana de 24 meses que la misma guía permitiría.</w:t>
      </w:r>
    </w:p>
    <w:p>
      <w:pPr>
        <w:numPr>
          <w:ilvl w:val="0"/>
          <w:numId w:val="1138"/>
        </w:numPr>
        <w:pStyle w:val="Compact"/>
      </w:pPr>
      <w:r>
        <w:rPr>
          <w:b/>
        </w:rPr>
        <w:t xml:space="preserve">Qué ocurre si faltan datos:</w:t>
      </w:r>
      <w:r>
        <w:t xml:space="preserve"> </w:t>
      </w:r>
      <w:r>
        <w:t xml:space="preserve">idéntico patrón a las reglas anteriores.</w:t>
      </w:r>
    </w:p>
    <w:p>
      <w:pPr>
        <w:numPr>
          <w:ilvl w:val="0"/>
          <w:numId w:val="1138"/>
        </w:numPr>
        <w:pStyle w:val="Compact"/>
      </w:pPr>
      <w:r>
        <w:rPr>
          <w:b/>
        </w:rPr>
        <w:t xml:space="preserve">Qué ocurre si dos guías discrepan:</w:t>
      </w:r>
      <w:r>
        <w:t xml:space="preserve"> </w:t>
      </w:r>
      <w:r>
        <w:t xml:space="preserve">No aplica / sin discrepancia entre guías distintas — es una simplificación de implementación reconocida explícitamente por el propio comentario del código frente al rango que la misma guía (ADA 2026) permite.</w:t>
      </w:r>
    </w:p>
    <w:p>
      <w:pPr>
        <w:pStyle w:val="Heading2"/>
      </w:pPr>
      <w:bookmarkStart w:id="185" w:name="X87d360cb2165ed1df42cc5e8ec0c5255bafdbd6"/>
      <w:r>
        <w:t xml:space="preserve">Regla 18 — Cálculo de años con diabetes: prioridad de fecha exacta sobre años aproximados</w:t>
      </w:r>
      <w:bookmarkEnd w:id="185"/>
    </w:p>
    <w:p>
      <w:pPr>
        <w:numPr>
          <w:ilvl w:val="0"/>
          <w:numId w:val="1139"/>
        </w:numPr>
        <w:pStyle w:val="Compact"/>
      </w:pPr>
      <w:r>
        <w:rPr>
          <w:b/>
        </w:rPr>
        <w:t xml:space="preserve">Qué hace:</w:t>
      </w:r>
      <w:r>
        <w:t xml:space="preserve"> </w:t>
      </w:r>
      <w:r>
        <w:rPr>
          <w:rStyle w:val="VerbatimChar"/>
        </w:rPr>
        <w:t xml:space="preserve">getAniosConDM(p)</w:t>
      </w:r>
      <w:r>
        <w:t xml:space="preserve"> </w:t>
      </w:r>
      <w:r>
        <w:t xml:space="preserve">calcula los años transcurridos desde</w:t>
      </w:r>
      <w:r>
        <w:t xml:space="preserve"> </w:t>
      </w:r>
      <w:r>
        <w:rPr>
          <w:rStyle w:val="VerbatimChar"/>
        </w:rPr>
        <w:t xml:space="preserve">fechaDxDM</w:t>
      </w:r>
      <w:r>
        <w:t xml:space="preserve"> </w:t>
      </w:r>
      <w:r>
        <w:t xml:space="preserve">si esta es una fecha válida (redondeado a 1 decimal, nunca negativo); si no hay fecha, usa</w:t>
      </w:r>
      <w:r>
        <w:t xml:space="preserve"> </w:t>
      </w:r>
      <w:r>
        <w:rPr>
          <w:rStyle w:val="VerbatimChar"/>
        </w:rPr>
        <w:t xml:space="preserve">aniosDxDM</w:t>
      </w:r>
      <w:r>
        <w:t xml:space="preserve"> </w:t>
      </w:r>
      <w:r>
        <w:t xml:space="preserve">(años aproximados) si es un número válido; si no hay ninguno de los dos, retorna</w:t>
      </w:r>
      <w:r>
        <w:t xml:space="preserve"> </w:t>
      </w:r>
      <w:r>
        <w:rPr>
          <w:rStyle w:val="VerbatimChar"/>
        </w:rPr>
        <w:t xml:space="preserve">null</w:t>
      </w:r>
      <w:r>
        <w:t xml:space="preserve">.</w:t>
      </w:r>
    </w:p>
    <w:p>
      <w:pPr>
        <w:numPr>
          <w:ilvl w:val="0"/>
          <w:numId w:val="1139"/>
        </w:numPr>
        <w:pStyle w:val="Compact"/>
      </w:pPr>
      <w:r>
        <w:rPr>
          <w:b/>
        </w:rPr>
        <w:t xml:space="preserve">Por qué:</w:t>
      </w:r>
      <w:r>
        <w:t xml:space="preserve"> </w:t>
      </w:r>
      <w:r>
        <w:t xml:space="preserve">decisión explícita del Dr. Ortega (10-ago-2026):</w:t>
      </w:r>
      <w:r>
        <w:t xml:space="preserve"> </w:t>
      </w:r>
      <w:r>
        <w:t xml:space="preserve">“</w:t>
      </w:r>
      <w:r>
        <w:t xml:space="preserve">fecha exacta + años aprox., recomendado</w:t>
      </w:r>
      <w:r>
        <w:t xml:space="preserve">”</w:t>
      </w:r>
      <w:r>
        <w:t xml:space="preserve"> </w:t>
      </w:r>
      <w:r>
        <w:t xml:space="preserve">— preferir el dato que se mantiene preciso con el tiempo (la fecha) sobre uno que puede quedar obsoleto (los años aproximados capturados en algún momento del pasado).</w:t>
      </w:r>
    </w:p>
    <w:p>
      <w:pPr>
        <w:numPr>
          <w:ilvl w:val="0"/>
          <w:numId w:val="1139"/>
        </w:numPr>
        <w:pStyle w:val="Compact"/>
      </w:pPr>
      <w:r>
        <w:rPr>
          <w:b/>
        </w:rPr>
        <w:t xml:space="preserve">Fuente:</w:t>
      </w:r>
      <w:r>
        <w:t xml:space="preserve"> </w:t>
      </w:r>
      <w:r>
        <w:t xml:space="preserve">decisión de diseño del Dr. Ortega, no una guía clínica externa.</w:t>
      </w:r>
    </w:p>
    <w:p>
      <w:pPr>
        <w:numPr>
          <w:ilvl w:val="0"/>
          <w:numId w:val="1139"/>
        </w:numPr>
        <w:pStyle w:val="Compact"/>
      </w:pPr>
      <w:r>
        <w:rPr>
          <w:b/>
        </w:rPr>
        <w:t xml:space="preserve">Versión de la fuente:</w:t>
      </w:r>
      <w:r>
        <w:t xml:space="preserve"> </w:t>
      </w:r>
      <w:r>
        <w:t xml:space="preserve">No aplica (decisión de diseño interna, no una fuente clínica externa).</w:t>
      </w:r>
    </w:p>
    <w:p>
      <w:pPr>
        <w:numPr>
          <w:ilvl w:val="0"/>
          <w:numId w:val="1139"/>
        </w:numPr>
        <w:pStyle w:val="Compact"/>
      </w:pPr>
      <w:r>
        <w:rPr>
          <w:b/>
        </w:rPr>
        <w:t xml:space="preserve">Fecha de revisión:</w:t>
      </w:r>
      <w:r>
        <w:t xml:space="preserve"> </w:t>
      </w:r>
      <w:r>
        <w:t xml:space="preserve">10-ago-2026.</w:t>
      </w:r>
    </w:p>
    <w:p>
      <w:pPr>
        <w:numPr>
          <w:ilvl w:val="0"/>
          <w:numId w:val="1139"/>
        </w:numPr>
        <w:pStyle w:val="Compact"/>
      </w:pPr>
      <w:r>
        <w:rPr>
          <w:b/>
        </w:rPr>
        <w:t xml:space="preserve">Quién revisó:</w:t>
      </w:r>
      <w:r>
        <w:t xml:space="preserve"> </w:t>
      </w:r>
      <w:r>
        <w:t xml:space="preserve">Dr. Ortega.</w:t>
      </w:r>
    </w:p>
    <w:p>
      <w:pPr>
        <w:numPr>
          <w:ilvl w:val="0"/>
          <w:numId w:val="1139"/>
        </w:numPr>
        <w:pStyle w:val="Compact"/>
      </w:pPr>
      <w:r>
        <w:rPr>
          <w:b/>
        </w:rPr>
        <w:t xml:space="preserve">Qué casos la validan:</w:t>
      </w:r>
      <w:r>
        <w:t xml:space="preserve"> </w:t>
      </w:r>
      <w:r>
        <w:rPr>
          <w:rStyle w:val="VerbatimChar"/>
        </w:rPr>
        <w:t xml:space="preserve">S1</w:t>
      </w:r>
      <w:r>
        <w:t xml:space="preserve"> </w:t>
      </w:r>
      <w:r>
        <w:t xml:space="preserve">(prioriza fecha exacta sobre años aproximados cuando ambos existen),</w:t>
      </w:r>
      <w:r>
        <w:t xml:space="preserve"> </w:t>
      </w:r>
      <w:r>
        <w:rPr>
          <w:rStyle w:val="VerbatimChar"/>
        </w:rPr>
        <w:t xml:space="preserve">S2</w:t>
      </w:r>
      <w:r>
        <w:t xml:space="preserve"> </w:t>
      </w:r>
      <w:r>
        <w:t xml:space="preserve">(usa años aproximados como respaldo si no hay fecha),</w:t>
      </w:r>
      <w:r>
        <w:t xml:space="preserve"> </w:t>
      </w:r>
      <w:r>
        <w:rPr>
          <w:rStyle w:val="VerbatimChar"/>
        </w:rPr>
        <w:t xml:space="preserve">S3</w:t>
      </w:r>
      <w:r>
        <w:t xml:space="preserve"> </w:t>
      </w:r>
      <w:r>
        <w:t xml:space="preserve">(sin fecha ni años →</w:t>
      </w:r>
      <w:r>
        <w:t xml:space="preserve"> </w:t>
      </w:r>
      <w:r>
        <w:rPr>
          <w:rStyle w:val="VerbatimChar"/>
        </w:rPr>
        <w:t xml:space="preserve">null</w:t>
      </w:r>
      <w:r>
        <w:t xml:space="preserve">, no inventa un valor).</w:t>
      </w:r>
    </w:p>
    <w:p>
      <w:pPr>
        <w:numPr>
          <w:ilvl w:val="0"/>
          <w:numId w:val="1139"/>
        </w:numPr>
        <w:pStyle w:val="Compact"/>
      </w:pPr>
      <w:r>
        <w:rPr>
          <w:b/>
        </w:rPr>
        <w:t xml:space="preserve">Qué excepciones tiene:</w:t>
      </w:r>
      <w:r>
        <w:t xml:space="preserve"> </w:t>
      </w:r>
      <w:r>
        <w:t xml:space="preserve">ninguna excepción clínica; existe una guarda técnica (ver campo 9).</w:t>
      </w:r>
    </w:p>
    <w:p>
      <w:pPr>
        <w:numPr>
          <w:ilvl w:val="0"/>
          <w:numId w:val="1139"/>
        </w:numPr>
        <w:pStyle w:val="Compact"/>
      </w:pPr>
      <w:r>
        <w:rPr>
          <w:b/>
        </w:rPr>
        <w:t xml:space="preserve">Qué ocurre si faltan datos:</w:t>
      </w:r>
      <w:r>
        <w:t xml:space="preserve"> </w:t>
      </w:r>
      <w:r>
        <w:t xml:space="preserve">sin</w:t>
      </w:r>
      <w:r>
        <w:t xml:space="preserve"> </w:t>
      </w:r>
      <w:r>
        <w:rPr>
          <w:rStyle w:val="VerbatimChar"/>
        </w:rPr>
        <w:t xml:space="preserve">fechaDxDM</w:t>
      </w:r>
      <w:r>
        <w:t xml:space="preserve"> </w:t>
      </w:r>
      <w:r>
        <w:t xml:space="preserve">ni</w:t>
      </w:r>
      <w:r>
        <w:t xml:space="preserve"> </w:t>
      </w:r>
      <w:r>
        <w:rPr>
          <w:rStyle w:val="VerbatimChar"/>
        </w:rPr>
        <w:t xml:space="preserve">aniosDxDM</w:t>
      </w:r>
      <w:r>
        <w:t xml:space="preserve"> </w:t>
      </w:r>
      <w:r>
        <w:t xml:space="preserve">válido →</w:t>
      </w:r>
      <w:r>
        <w:t xml:space="preserve"> </w:t>
      </w:r>
      <w:r>
        <w:rPr>
          <w:rStyle w:val="VerbatimChar"/>
        </w:rPr>
        <w:t xml:space="preserve">null</w:t>
      </w:r>
      <w:r>
        <w:t xml:space="preserve"> </w:t>
      </w:r>
      <w:r>
        <w:t xml:space="preserve">(validado por</w:t>
      </w:r>
      <w:r>
        <w:t xml:space="preserve"> </w:t>
      </w:r>
      <w:r>
        <w:rPr>
          <w:rStyle w:val="VerbatimChar"/>
        </w:rPr>
        <w:t xml:space="preserve">S3</w:t>
      </w:r>
      <w:r>
        <w:t xml:space="preserve">); todos los ítems de tamizaje pasan a</w:t>
      </w:r>
      <w:r>
        <w:t xml:space="preserve"> </w:t>
      </w:r>
      <w:r>
        <w:rPr>
          <w:rStyle w:val="VerbatimChar"/>
        </w:rPr>
        <w:t xml:space="preserve">sin_dato</w:t>
      </w:r>
      <w:r>
        <w:t xml:space="preserve">, comportamiento seguro.</w:t>
      </w:r>
      <w:r>
        <w:t xml:space="preserve"> </w:t>
      </w:r>
      <w:r>
        <w:rPr>
          <w:b/>
        </w:rPr>
        <w:t xml:space="preserve">Hueco honesto:</w:t>
      </w:r>
      <w:r>
        <w:t xml:space="preserve"> </w:t>
      </w:r>
      <w:r>
        <w:t xml:space="preserve">si</w:t>
      </w:r>
      <w:r>
        <w:t xml:space="preserve"> </w:t>
      </w:r>
      <w:r>
        <w:rPr>
          <w:rStyle w:val="VerbatimChar"/>
        </w:rPr>
        <w:t xml:space="preserve">fechaDxDM</w:t>
      </w:r>
      <w:r>
        <w:t xml:space="preserve"> </w:t>
      </w:r>
      <w:r>
        <w:t xml:space="preserve">resulta ser una fecha futura (posible error de captura), la función retorna silenciosamente</w:t>
      </w:r>
      <w:r>
        <w:t xml:space="preserve"> </w:t>
      </w:r>
      <w:r>
        <w:rPr>
          <w:rStyle w:val="VerbatimChar"/>
        </w:rPr>
        <w:t xml:space="preserve">0</w:t>
      </w:r>
      <w:r>
        <w:t xml:space="preserve"> </w:t>
      </w:r>
      <w:r>
        <w:t xml:space="preserve">años en vez de un número negativo (línea 61:</w:t>
      </w:r>
      <w:r>
        <w:t xml:space="preserve"> </w:t>
      </w:r>
      <w:r>
        <w:rPr>
          <w:rStyle w:val="VerbatimChar"/>
        </w:rPr>
        <w:t xml:space="preserve">anios &gt;= 0 ? ... : 0</w:t>
      </w:r>
      <w:r>
        <w:t xml:space="preserve">) — no hay ninguna alerta ni marca de error que indique al médico que la fecha de diagnóstico capturada es inconsistente; simplemente se trata como</w:t>
      </w:r>
      <w:r>
        <w:t xml:space="preserve"> </w:t>
      </w:r>
      <w:r>
        <w:t xml:space="preserve">“</w:t>
      </w:r>
      <w:r>
        <w:t xml:space="preserve">diagnóstico recién hecho hoy</w:t>
      </w:r>
      <w:r>
        <w:t xml:space="preserve">”</w:t>
      </w:r>
      <w:r>
        <w:t xml:space="preserve">.</w:t>
      </w:r>
    </w:p>
    <w:p>
      <w:pPr>
        <w:numPr>
          <w:ilvl w:val="0"/>
          <w:numId w:val="1139"/>
        </w:numPr>
        <w:pStyle w:val="Compact"/>
      </w:pPr>
      <w:r>
        <w:rPr>
          <w:b/>
        </w:rPr>
        <w:t xml:space="preserve">Qué ocurre si dos guías discrepan:</w:t>
      </w:r>
      <w:r>
        <w:t xml:space="preserve"> </w:t>
      </w:r>
      <w:r>
        <w:t xml:space="preserve">No aplica / sin discrepancia documentada para esta regla.</w:t>
      </w:r>
    </w:p>
    <w:p>
      <w:r>
        <w:pict>
          <v:rect style="width:0;height:1.5pt" o:hralign="center" o:hrstd="t" o:hr="t"/>
        </w:pict>
      </w:r>
    </w:p>
    <w:p>
      <w:pPr>
        <w:pStyle w:val="Heading1"/>
      </w:pPr>
      <w:bookmarkStart w:id="186" w:name="resumen-de-huecos-honestos-identificados"/>
      <w:r>
        <w:t xml:space="preserve">Resumen de huecos honestos identificados</w:t>
      </w:r>
      <w:bookmarkEnd w:id="186"/>
    </w:p>
    <w:p>
      <w:pPr>
        <w:pStyle w:val="FirstParagraph"/>
      </w:pPr>
      <w:r>
        <w:t xml:space="preserve">Estos son los comportamientos silenciosos, simplificaciones no forzadas por guardas explícitas, o guardas que son solo texto educativo (no lógica ejecutable) encontrados durante la lectura completa de</w:t>
      </w:r>
      <w:r>
        <w:t xml:space="preserve"> </w:t>
      </w:r>
      <w:r>
        <w:rPr>
          <w:rStyle w:val="VerbatimChar"/>
        </w:rPr>
        <w:t xml:space="preserve">insulin.js</w:t>
      </w:r>
      <w:r>
        <w:t xml:space="preserve"> </w:t>
      </w:r>
      <w:r>
        <w:t xml:space="preserve">y</w:t>
      </w:r>
      <w:r>
        <w:t xml:space="preserve"> </w:t>
      </w:r>
      <w:r>
        <w:rPr>
          <w:rStyle w:val="VerbatimChar"/>
        </w:rPr>
        <w:t xml:space="preserve">screening.js</w:t>
      </w:r>
      <w:r>
        <w:t xml:space="preserve">:</w:t>
      </w:r>
    </w:p>
    <w:p>
      <w:pPr>
        <w:numPr>
          <w:ilvl w:val="0"/>
          <w:numId w:val="1140"/>
        </w:numPr>
        <w:pStyle w:val="Compact"/>
      </w:pPr>
      <w:r>
        <w:rPr>
          <w:b/>
        </w:rPr>
        <w:t xml:space="preserve">(Regla 2/3 — riesgo real de dosificación)</w:t>
      </w:r>
      <w:r>
        <w:t xml:space="preserve"> </w:t>
      </w:r>
      <w:r>
        <w:t xml:space="preserve">Cuando ayuno elevado (basal insuficiente) y nocturna en hipoglucemia (basal excesiva) ocurren simultáneamente,</w:t>
      </w:r>
      <w:r>
        <w:t xml:space="preserve"> </w:t>
      </w:r>
      <w:r>
        <w:rPr>
          <w:rStyle w:val="VerbatimChar"/>
        </w:rPr>
        <w:t xml:space="preserve">computeBasalInsulinDose</w:t>
      </w:r>
      <w:r>
        <w:t xml:space="preserve"> </w:t>
      </w:r>
      <w:r>
        <w:t xml:space="preserve">prioriza</w:t>
      </w:r>
      <w:r>
        <w:t xml:space="preserve"> </w:t>
      </w:r>
      <w:r>
        <w:t xml:space="preserve">“</w:t>
      </w:r>
      <w:r>
        <w:t xml:space="preserve">escalar la dosis</w:t>
      </w:r>
      <w:r>
        <w:t xml:space="preserve">”</w:t>
      </w:r>
      <w:r>
        <w:t xml:space="preserve"> </w:t>
      </w:r>
      <w:r>
        <w:t xml:space="preserve">sobre</w:t>
      </w:r>
      <w:r>
        <w:t xml:space="preserve"> </w:t>
      </w:r>
      <w:r>
        <w:t xml:space="preserve">“</w:t>
      </w:r>
      <w:r>
        <w:t xml:space="preserve">reducir por riesgo de hipoglucemia</w:t>
      </w:r>
      <w:r>
        <w:t xml:space="preserve">”</w:t>
      </w:r>
      <w:r>
        <w:t xml:space="preserve">, por el orden de los</w:t>
      </w:r>
      <w:r>
        <w:t xml:space="preserve"> </w:t>
      </w:r>
      <w:r>
        <w:rPr>
          <w:rStyle w:val="VerbatimChar"/>
        </w:rPr>
        <w:t xml:space="preserve">if</w:t>
      </w:r>
      <w:r>
        <w:t xml:space="preserve"> </w:t>
      </w:r>
      <w:r>
        <w:t xml:space="preserve">en el código (línea 168 se evalúa antes que la 176). Sin caso de prueba que cubra este escenario mixto.</w:t>
      </w:r>
    </w:p>
    <w:p>
      <w:pPr>
        <w:numPr>
          <w:ilvl w:val="0"/>
          <w:numId w:val="1140"/>
        </w:numPr>
        <w:pStyle w:val="Compact"/>
      </w:pPr>
      <w:r>
        <w:rPr>
          <w:b/>
        </w:rPr>
        <w:t xml:space="preserve">(Regla 4)</w:t>
      </w:r>
      <w:r>
        <w:t xml:space="preserve"> </w:t>
      </w:r>
      <w:r>
        <w:t xml:space="preserve">Fallback silencioso a</w:t>
      </w:r>
      <w:r>
        <w:t xml:space="preserve"> </w:t>
      </w:r>
      <w:r>
        <w:rPr>
          <w:rStyle w:val="VerbatimChar"/>
        </w:rPr>
        <w:t xml:space="preserve">{min: 80, max: 130}</w:t>
      </w:r>
      <w:r>
        <w:t xml:space="preserve"> </w:t>
      </w:r>
      <w:r>
        <w:t xml:space="preserve">si el parseo del rango de ayuno de</w:t>
      </w:r>
      <w:r>
        <w:t xml:space="preserve"> </w:t>
      </w:r>
      <w:r>
        <w:rPr>
          <w:rStyle w:val="VerbatimChar"/>
        </w:rPr>
        <w:t xml:space="preserve">individualization.js</w:t>
      </w:r>
      <w:r>
        <w:t xml:space="preserve"> </w:t>
      </w:r>
      <w:r>
        <w:t xml:space="preserve">falla — no marca error ni</w:t>
      </w:r>
      <w:r>
        <w:t xml:space="preserve"> </w:t>
      </w:r>
      <w:r>
        <w:t xml:space="preserve">“</w:t>
      </w:r>
      <w:r>
        <w:t xml:space="preserve">sin dato</w:t>
      </w:r>
      <w:r>
        <w:t xml:space="preserve">”</w:t>
      </w:r>
      <w:r>
        <w:t xml:space="preserve">.</w:t>
      </w:r>
    </w:p>
    <w:p>
      <w:pPr>
        <w:numPr>
          <w:ilvl w:val="0"/>
          <w:numId w:val="1140"/>
        </w:numPr>
        <w:pStyle w:val="Compact"/>
      </w:pPr>
      <w:r>
        <w:rPr>
          <w:b/>
        </w:rPr>
        <w:t xml:space="preserve">(Regla 6)</w:t>
      </w:r>
      <w:r>
        <w:t xml:space="preserve"> </w:t>
      </w:r>
      <w:r>
        <w:t xml:space="preserve">El mensaje de interpretación de la Triada no menciona el bolo insuficiente cuando la basal excesiva domina el mensaje, aunque el flag</w:t>
      </w:r>
      <w:r>
        <w:t xml:space="preserve"> </w:t>
      </w:r>
      <w:r>
        <w:rPr>
          <w:rStyle w:val="VerbatimChar"/>
        </w:rPr>
        <w:t xml:space="preserve">bolusInsuficiente</w:t>
      </w:r>
      <w:r>
        <w:t xml:space="preserve"> </w:t>
      </w:r>
      <w:r>
        <w:t xml:space="preserve">sí se retorne internamente.</w:t>
      </w:r>
    </w:p>
    <w:p>
      <w:pPr>
        <w:numPr>
          <w:ilvl w:val="0"/>
          <w:numId w:val="1140"/>
        </w:numPr>
        <w:pStyle w:val="Compact"/>
      </w:pPr>
      <w:r>
        <w:rPr>
          <w:b/>
        </w:rPr>
        <w:t xml:space="preserve">(Reglas 8/9)</w:t>
      </w:r>
      <w:r>
        <w:t xml:space="preserve"> </w:t>
      </w:r>
      <w:r>
        <w:t xml:space="preserve">Las advertencias sobre insuficiencia renal, hepatopatía o bomba de insulina son solo texto en el panel educativo — no bloquean ni ajustan automáticamente ISF/ICR.</w:t>
      </w:r>
    </w:p>
    <w:p>
      <w:pPr>
        <w:numPr>
          <w:ilvl w:val="0"/>
          <w:numId w:val="1140"/>
        </w:numPr>
        <w:pStyle w:val="Compact"/>
      </w:pPr>
      <w:r>
        <w:rPr>
          <w:b/>
        </w:rPr>
        <w:t xml:space="preserve">(Regla 10 — riesgo real de dosificación)</w:t>
      </w:r>
      <w:r>
        <w:t xml:space="preserve"> </w:t>
      </w:r>
      <w:r>
        <w:t xml:space="preserve">La regla de seguridad contra</w:t>
      </w:r>
      <w:r>
        <w:t xml:space="preserve"> </w:t>
      </w:r>
      <w:r>
        <w:t xml:space="preserve">“</w:t>
      </w:r>
      <w:r>
        <w:t xml:space="preserve">apilamiento</w:t>
      </w:r>
      <w:r>
        <w:t xml:space="preserve">”</w:t>
      </w:r>
      <w:r>
        <w:t xml:space="preserve"> </w:t>
      </w:r>
      <w:r>
        <w:t xml:space="preserve">de dosis de corrección (esperar 2-3 horas entre correcciones) es solo texto educativo; no existe ninguna validación en el código que registre o verifique la hora de la última dosis administrada.</w:t>
      </w:r>
    </w:p>
    <w:p>
      <w:pPr>
        <w:numPr>
          <w:ilvl w:val="0"/>
          <w:numId w:val="1140"/>
        </w:numPr>
        <w:pStyle w:val="Compact"/>
      </w:pPr>
      <w:r>
        <w:rPr>
          <w:b/>
        </w:rPr>
        <w:t xml:space="preserve">(Regla 11)</w:t>
      </w:r>
      <w:r>
        <w:t xml:space="preserve"> </w:t>
      </w:r>
      <w:r>
        <w:rPr>
          <w:rStyle w:val="VerbatimChar"/>
        </w:rPr>
        <w:t xml:space="preserve">estimateTDD</w:t>
      </w:r>
      <w:r>
        <w:t xml:space="preserve"> </w:t>
      </w:r>
      <w:r>
        <w:t xml:space="preserve">usa</w:t>
      </w:r>
      <w:r>
        <w:t xml:space="preserve"> </w:t>
      </w:r>
      <w:r>
        <w:rPr>
          <w:rStyle w:val="VerbatimChar"/>
        </w:rPr>
        <w:t xml:space="preserve">peso × 0.15</w:t>
      </w:r>
      <w:r>
        <w:t xml:space="preserve"> </w:t>
      </w:r>
      <w:r>
        <w:t xml:space="preserve">como</w:t>
      </w:r>
      <w:r>
        <w:t xml:space="preserve"> </w:t>
      </w:r>
      <w:r>
        <w:t xml:space="preserve">“</w:t>
      </w:r>
      <w:r>
        <w:t xml:space="preserve">punto medio genérico</w:t>
      </w:r>
      <w:r>
        <w:t xml:space="preserve">”</w:t>
      </w:r>
      <w:r>
        <w:t xml:space="preserve"> </w:t>
      </w:r>
      <w:r>
        <w:t xml:space="preserve">en varios estados clínicos, explícitamente reconocido en el propio código como una aproximación</w:t>
      </w:r>
      <w:r>
        <w:t xml:space="preserve"> </w:t>
      </w:r>
      <w:r>
        <w:t xml:space="preserve">“</w:t>
      </w:r>
      <w:r>
        <w:t xml:space="preserve">sin otro número mejor</w:t>
      </w:r>
      <w:r>
        <w:t xml:space="preserve">”</w:t>
      </w:r>
      <w:r>
        <w:t xml:space="preserve"> </w:t>
      </w:r>
      <w:r>
        <w:t xml:space="preserve">— no se basa en datos reales de control del paciente en esos casos.</w:t>
      </w:r>
    </w:p>
    <w:p>
      <w:pPr>
        <w:numPr>
          <w:ilvl w:val="0"/>
          <w:numId w:val="1140"/>
        </w:numPr>
        <w:pStyle w:val="Compact"/>
      </w:pPr>
      <w:r>
        <w:rPr>
          <w:b/>
        </w:rPr>
        <w:t xml:space="preserve">(Regla 16)</w:t>
      </w:r>
      <w:r>
        <w:t xml:space="preserve"> </w:t>
      </w:r>
      <w:r>
        <w:t xml:space="preserve">El</w:t>
      </w:r>
      <w:r>
        <w:t xml:space="preserve"> </w:t>
      </w:r>
      <w:r>
        <w:t xml:space="preserve">“</w:t>
      </w:r>
      <w:r>
        <w:t xml:space="preserve">examen visual en cada consulta</w:t>
      </w:r>
      <w:r>
        <w:t xml:space="preserve">”</w:t>
      </w:r>
      <w:r>
        <w:t xml:space="preserve"> </w:t>
      </w:r>
      <w:r>
        <w:t xml:space="preserve">citado de la guía ADA no está modelado como un ítem de estado independiente — solo el examen integral (6/12 meses) tiene lógica de seguimiento.</w:t>
      </w:r>
    </w:p>
    <w:p>
      <w:pPr>
        <w:numPr>
          <w:ilvl w:val="0"/>
          <w:numId w:val="1140"/>
        </w:numPr>
        <w:pStyle w:val="Compact"/>
      </w:pPr>
      <w:r>
        <w:rPr>
          <w:b/>
        </w:rPr>
        <w:t xml:space="preserve">(Regla 17)</w:t>
      </w:r>
      <w:r>
        <w:t xml:space="preserve"> </w:t>
      </w:r>
      <w:r>
        <w:t xml:space="preserve">El intervalo de riesgo cardiovascular está fijo en 12 meses aunque el propio comentario del código reconoce que la guía ADA permite hasta 24 meses en pacientes de bajo riesgo — no hay lógica que distinga el nivel de riesgo para este ítem.</w:t>
      </w:r>
    </w:p>
    <w:p>
      <w:pPr>
        <w:numPr>
          <w:ilvl w:val="0"/>
          <w:numId w:val="1140"/>
        </w:numPr>
        <w:pStyle w:val="Compact"/>
      </w:pPr>
      <w:r>
        <w:rPr>
          <w:b/>
        </w:rPr>
        <w:t xml:space="preserve">(Regla 18)</w:t>
      </w:r>
      <w:r>
        <w:t xml:space="preserve"> </w:t>
      </w:r>
      <w:r>
        <w:t xml:space="preserve">Una fecha de diagnóstico futura (posible error de captura) se trata silenciosamente como</w:t>
      </w:r>
      <w:r>
        <w:t xml:space="preserve"> </w:t>
      </w:r>
      <w:r>
        <w:t xml:space="preserve">“</w:t>
      </w:r>
      <w:r>
        <w:t xml:space="preserve">0 años</w:t>
      </w:r>
      <w:r>
        <w:t xml:space="preserve">”</w:t>
      </w:r>
      <w:r>
        <w:t xml:space="preserve">, sin ninguna alerta al médico.</w:t>
      </w:r>
    </w:p>
    <w:p>
      <w:pPr>
        <w:numPr>
          <w:ilvl w:val="0"/>
          <w:numId w:val="1140"/>
        </w:numPr>
        <w:pStyle w:val="Compact"/>
      </w:pPr>
      <w:r>
        <w:rPr>
          <w:b/>
        </w:rPr>
        <w:t xml:space="preserve">(Transversal)</w:t>
      </w:r>
      <w:r>
        <w:t xml:space="preserve"> </w:t>
      </w:r>
      <w:r>
        <w:t xml:space="preserve">Varias reglas de EndoInsulin citan</w:t>
      </w:r>
      <w:r>
        <w:t xml:space="preserve"> </w:t>
      </w:r>
      <w:r>
        <w:t xml:space="preserve">“</w:t>
      </w:r>
      <w:r>
        <w:t xml:space="preserve">reglas prácticas estándar de educación en diabetes</w:t>
      </w:r>
      <w:r>
        <w:t xml:space="preserve">”</w:t>
      </w:r>
      <w:r>
        <w:t xml:space="preserve"> </w:t>
      </w:r>
      <w:r>
        <w:t xml:space="preserve">(ISF 1800/1500, ICR 500) sin especificar edición/año de la fuente educativa referenciada (AADE, Walsh &amp; Roberts) — quedan marcadas como</w:t>
      </w:r>
      <w:r>
        <w:t xml:space="preserve"> </w:t>
      </w:r>
      <w:r>
        <w:t xml:space="preserve">“</w:t>
      </w:r>
      <w:r>
        <w:t xml:space="preserve">No especificada en el código — pendiente de documentar</w:t>
      </w:r>
      <w:r>
        <w:t xml:space="preserve">”</w:t>
      </w:r>
      <w:r>
        <w:t xml:space="preserve"> </w:t>
      </w:r>
      <w:r>
        <w:t xml:space="preserve">en este documento.</w:t>
      </w:r>
    </w:p>
    <w:p>
      <w:pPr>
        <w:pStyle w:val="FirstParagraph"/>
      </w:pPr>
      <w:r>
        <w:rPr>
          <w:b/>
        </w:rPr>
        <w:t xml:space="preserve">Total de reglas catalogadas:</w:t>
      </w:r>
      <w:r>
        <w:t xml:space="preserve"> </w:t>
      </w:r>
      <w:r>
        <w:t xml:space="preserve">18 (12 en EndoInsulin, 6 en EndoScreen).</w:t>
      </w:r>
      <w:r>
        <w:t xml:space="preserve"> </w:t>
      </w:r>
      <w:r>
        <w:rPr>
          <w:b/>
        </w:rPr>
        <w:t xml:space="preserve">Total de huecos honestos documentados:</w:t>
      </w:r>
      <w:r>
        <w:t xml:space="preserve"> </w:t>
      </w:r>
      <w:r>
        <w:t xml:space="preserve">10.</w:t>
      </w:r>
    </w:p>
    <w:p>
      <w:pPr>
        <w:pStyle w:val="Heading1"/>
      </w:pPr>
      <w:bookmarkStart w:id="187" w:name="parte-iv-huecos-honestos-consolidados"/>
      <w:r>
        <w:t xml:space="preserve">Parte IV — Huecos honestos consolidados</w:t>
      </w:r>
      <w:bookmarkEnd w:id="187"/>
    </w:p>
    <w:p>
      <w:pPr>
        <w:pStyle w:val="FirstParagraph"/>
      </w:pPr>
      <w:r>
        <w:t xml:space="preserve">Esta sección reúne, en un solo lugar, los hallazgos de las Partes I-III que representan un riesgo real o una inconsistencia — no para repetir el catálogo, sino para que sean visibles sin tener que leer las ~155 reglas una por una. Se ordenan por severidad, no por el orden en que aparecen en el código.</w:t>
      </w:r>
    </w:p>
    <w:p>
      <w:pPr>
        <w:pStyle w:val="Heading2"/>
      </w:pPr>
      <w:bookmarkStart w:id="188" w:name="Xdb070d75a545aaf0f1545f7a1cf2a00738fd26f"/>
      <w:r>
        <w:t xml:space="preserve">1. Severidad alta — puede llevar a una decisión clínica incorrecta</w:t>
      </w:r>
      <w:bookmarkEnd w:id="188"/>
    </w:p>
    <w:p>
      <w:pPr>
        <w:pStyle w:val="Heading3"/>
      </w:pPr>
      <w:bookmarkStart w:id="189" w:name="X614fc888f9def969cf002ea078ea026653fc70f"/>
      <w:r>
        <w:t xml:space="preserve">1.1</w:t>
      </w:r>
      <w:r>
        <w:t xml:space="preserve"> </w:t>
      </w:r>
      <w:r>
        <w:rPr>
          <w:rStyle w:val="VerbatimChar"/>
        </w:rPr>
        <w:t xml:space="preserve">flags.egfr === 0</w:t>
      </w:r>
      <w:r>
        <w:t xml:space="preserve"> </w:t>
      </w:r>
      <w:r>
        <w:t xml:space="preserve">usado para SÍ iniciar metformina, no solo para omitir un bloqueo</w:t>
      </w:r>
      <w:bookmarkEnd w:id="189"/>
    </w:p>
    <w:p>
      <w:pPr>
        <w:pStyle w:val="FirstParagraph"/>
      </w:pPr>
      <w:r>
        <w:t xml:space="preserve">En la rama de inicio de metformina para un paciente virgen de tratamiento (Parte I, Plan Antidiabético), un eGFR de</w:t>
      </w:r>
      <w:r>
        <w:t xml:space="preserve"> </w:t>
      </w:r>
      <w:r>
        <w:rPr>
          <w:rStyle w:val="VerbatimChar"/>
        </w:rPr>
        <w:t xml:space="preserve">0</w:t>
      </w:r>
      <w:r>
        <w:t xml:space="preserve"> </w:t>
      </w:r>
      <w:r>
        <w:t xml:space="preserve">— que significa</w:t>
      </w:r>
      <w:r>
        <w:t xml:space="preserve"> </w:t>
      </w:r>
      <w:r>
        <w:t xml:space="preserve">“</w:t>
      </w:r>
      <w:r>
        <w:t xml:space="preserve">no se pudo calcular por falta de creatinina</w:t>
      </w:r>
      <w:r>
        <w:t xml:space="preserve">”</w:t>
      </w:r>
      <w:r>
        <w:t xml:space="preserve">, no</w:t>
      </w:r>
      <w:r>
        <w:t xml:space="preserve"> </w:t>
      </w:r>
      <w:r>
        <w:t xml:space="preserve">“</w:t>
      </w:r>
      <w:r>
        <w:t xml:space="preserve">función renal en cero</w:t>
      </w:r>
      <w:r>
        <w:t xml:space="preserve">”</w:t>
      </w:r>
      <w:r>
        <w:t xml:space="preserve"> </w:t>
      </w:r>
      <w:r>
        <w:t xml:space="preserve">— se trata como si fuera un valor válido que permite proceder. Esto es más grave que el patrón general descrito en 1.2: no es que el motor omita una advertencia, es que activamente recomienda iniciar un fármaco con contraindicación renal conocida en un paciente cuya función renal es, en realidad, desconocida.</w:t>
      </w:r>
    </w:p>
    <w:p>
      <w:pPr>
        <w:pStyle w:val="Heading3"/>
      </w:pPr>
      <w:bookmarkStart w:id="190" w:name="Xcc879534750691df2692f266f81ee180e8fe46c"/>
      <w:r>
        <w:t xml:space="preserve">1.2 Patrón sistémico:</w:t>
      </w:r>
      <w:r>
        <w:t xml:space="preserve"> </w:t>
      </w:r>
      <w:r>
        <w:t xml:space="preserve">“</w:t>
      </w:r>
      <w:r>
        <w:t xml:space="preserve">dato faltante</w:t>
      </w:r>
      <w:r>
        <w:t xml:space="preserve">”</w:t>
      </w:r>
      <w:r>
        <w:t xml:space="preserve"> </w:t>
      </w:r>
      <w:r>
        <w:t xml:space="preserve">y</w:t>
      </w:r>
      <w:r>
        <w:t xml:space="preserve"> </w:t>
      </w:r>
      <w:r>
        <w:t xml:space="preserve">“</w:t>
      </w:r>
      <w:r>
        <w:t xml:space="preserve">valor cero real</w:t>
      </w:r>
      <w:r>
        <w:t xml:space="preserve">”</w:t>
      </w:r>
      <w:r>
        <w:t xml:space="preserve"> </w:t>
      </w:r>
      <w:r>
        <w:t xml:space="preserve">son indistinguibles</w:t>
      </w:r>
      <w:bookmarkEnd w:id="190"/>
    </w:p>
    <w:p>
      <w:pPr>
        <w:pStyle w:val="FirstParagraph"/>
      </w:pPr>
      <w:r>
        <w:rPr>
          <w:rStyle w:val="VerbatimChar"/>
        </w:rPr>
        <w:t xml:space="preserve">calculations.js</w:t>
      </w:r>
      <w:r>
        <w:t xml:space="preserve"> </w:t>
      </w:r>
      <w:r>
        <w:t xml:space="preserve">normaliza cualquier campo vacío (</w:t>
      </w:r>
      <w:r>
        <w:rPr>
          <w:rStyle w:val="VerbatimChar"/>
        </w:rPr>
        <w:t xml:space="preserve">""</w:t>
      </w:r>
      <w:r>
        <w:t xml:space="preserve">/</w:t>
      </w:r>
      <w:r>
        <w:rPr>
          <w:rStyle w:val="VerbatimChar"/>
        </w:rPr>
        <w:t xml:space="preserve">null</w:t>
      </w:r>
      <w:r>
        <w:t xml:space="preserve">/</w:t>
      </w:r>
      <w:r>
        <w:rPr>
          <w:rStyle w:val="VerbatimChar"/>
        </w:rPr>
        <w:t xml:space="preserve">undefined</w:t>
      </w:r>
      <w:r>
        <w:t xml:space="preserve">) a</w:t>
      </w:r>
      <w:r>
        <w:t xml:space="preserve"> </w:t>
      </w:r>
      <w:r>
        <w:rPr>
          <w:rStyle w:val="VerbatimChar"/>
        </w:rPr>
        <w:t xml:space="preserve">0</w:t>
      </w:r>
      <w:r>
        <w:t xml:space="preserve"> </w:t>
      </w:r>
      <w:r>
        <w:t xml:space="preserve">mediante la función</w:t>
      </w:r>
      <w:r>
        <w:t xml:space="preserve"> </w:t>
      </w:r>
      <w:r>
        <w:rPr>
          <w:rStyle w:val="VerbatimChar"/>
        </w:rPr>
        <w:t xml:space="preserve">v()</w:t>
      </w:r>
      <w:r>
        <w:t xml:space="preserve">, y la mayoría de las reglas usan guardas como</w:t>
      </w:r>
      <w:r>
        <w:t xml:space="preserve"> </w:t>
      </w:r>
      <w:r>
        <w:rPr>
          <w:rStyle w:val="VerbatimChar"/>
        </w:rPr>
        <w:t xml:space="preserve">egfr &gt; 0</w:t>
      </w:r>
      <w:r>
        <w:t xml:space="preserve"> </w:t>
      </w:r>
      <w:r>
        <w:t xml:space="preserve">para decidir si un chequeo aplica. El resultado: si un dato no se capturó, el motor casi siempre se comporta como si el chequeo</w:t>
      </w:r>
      <w:r>
        <w:t xml:space="preserve"> </w:t>
      </w:r>
      <w:r>
        <w:t xml:space="preserve">“</w:t>
      </w:r>
      <w:r>
        <w:t xml:space="preserve">no aplicara</w:t>
      </w:r>
      <w:r>
        <w:t xml:space="preserve">”</w:t>
      </w:r>
      <w:r>
        <w:t xml:space="preserve">, en vez de señalar</w:t>
      </w:r>
      <w:r>
        <w:t xml:space="preserve"> </w:t>
      </w:r>
      <w:r>
        <w:t xml:space="preserve">“</w:t>
      </w:r>
      <w:r>
        <w:t xml:space="preserve">no se pudo evaluar</w:t>
      </w:r>
      <w:r>
        <w:t xml:space="preserve">”</w:t>
      </w:r>
      <w:r>
        <w:t xml:space="preserve">. Se documentó al menos</w:t>
      </w:r>
      <w:r>
        <w:t xml:space="preserve"> </w:t>
      </w:r>
      <w:r>
        <w:rPr>
          <w:b/>
        </w:rPr>
        <w:t xml:space="preserve">10 instancias</w:t>
      </w:r>
      <w:r>
        <w:t xml:space="preserve"> </w:t>
      </w:r>
      <w:r>
        <w:t xml:space="preserve">de este patrón en</w:t>
      </w:r>
      <w:r>
        <w:t xml:space="preserve"> </w:t>
      </w:r>
      <w:r>
        <w:rPr>
          <w:rStyle w:val="VerbatimChar"/>
        </w:rPr>
        <w:t xml:space="preserve">calculations.js</w:t>
      </w:r>
      <w:r>
        <w:t xml:space="preserve"> </w:t>
      </w:r>
      <w:r>
        <w:t xml:space="preserve">(eGFR en</w:t>
      </w:r>
      <w:r>
        <w:t xml:space="preserve"> </w:t>
      </w:r>
      <w:r>
        <w:rPr>
          <w:rStyle w:val="VerbatimChar"/>
        </w:rPr>
        <w:t xml:space="preserve">currentDrugIssue</w:t>
      </w:r>
      <w:r>
        <w:t xml:space="preserve"> </w:t>
      </w:r>
      <w:r>
        <w:t xml:space="preserve">y en los 4 planes de tratamiento, IMC en el flag de obesidad, FIB-4, HOMA-IR, TMB/GET, entre otras), más el mismo patrón en las banderas booleanas de comorbilidades (</w:t>
      </w:r>
      <w:r>
        <w:rPr>
          <w:rStyle w:val="VerbatimChar"/>
        </w:rPr>
        <w:t xml:space="preserve">getPatientFlags</w:t>
      </w:r>
      <w:r>
        <w:t xml:space="preserve">): un checkbox no marcado es indistinguible de una sección del formulario que el médico nunca llegó a revisar.</w:t>
      </w:r>
    </w:p>
    <w:p>
      <w:pPr>
        <w:pStyle w:val="BodyText"/>
      </w:pPr>
      <w:r>
        <w:t xml:space="preserve">Contraste útil: unas pocas funciones del mismo archivo (</w:t>
      </w:r>
      <w:r>
        <w:rPr>
          <w:rStyle w:val="VerbatimChar"/>
        </w:rPr>
        <w:t xml:space="preserve">calcIMC</w:t>
      </w:r>
      <w:r>
        <w:t xml:space="preserve">,</w:t>
      </w:r>
      <w:r>
        <w:t xml:space="preserve"> </w:t>
      </w:r>
      <w:r>
        <w:rPr>
          <w:rStyle w:val="VerbatimChar"/>
        </w:rPr>
        <w:t xml:space="preserve">calcPAM</w:t>
      </w:r>
      <w:r>
        <w:t xml:space="preserve">,</w:t>
      </w:r>
      <w:r>
        <w:t xml:space="preserve"> </w:t>
      </w:r>
      <w:r>
        <w:rPr>
          <w:rStyle w:val="VerbatimChar"/>
        </w:rPr>
        <w:t xml:space="preserve">calcPulsePressure</w:t>
      </w:r>
      <w:r>
        <w:t xml:space="preserve">,</w:t>
      </w:r>
      <w:r>
        <w:t xml:space="preserve"> </w:t>
      </w:r>
      <w:r>
        <w:rPr>
          <w:rStyle w:val="VerbatimChar"/>
        </w:rPr>
        <w:t xml:space="preserve">calcNonHDL</w:t>
      </w:r>
      <w:r>
        <w:t xml:space="preserve">,</w:t>
      </w:r>
      <w:r>
        <w:t xml:space="preserve"> </w:t>
      </w:r>
      <w:r>
        <w:rPr>
          <w:rStyle w:val="VerbatimChar"/>
        </w:rPr>
        <w:t xml:space="preserve">calcIndiceTabaquico</w:t>
      </w:r>
      <w:r>
        <w:t xml:space="preserve">,</w:t>
      </w:r>
      <w:r>
        <w:t xml:space="preserve"> </w:t>
      </w:r>
      <w:r>
        <w:rPr>
          <w:rStyle w:val="VerbatimChar"/>
        </w:rPr>
        <w:t xml:space="preserve">calcGramosPorBebida</w:t>
      </w:r>
      <w:r>
        <w:t xml:space="preserve">) sí regresan</w:t>
      </w:r>
      <w:r>
        <w:t xml:space="preserve"> </w:t>
      </w:r>
      <w:r>
        <w:rPr>
          <w:rStyle w:val="VerbatimChar"/>
        </w:rPr>
        <w:t xml:space="preserve">null</w:t>
      </w:r>
      <w:r>
        <w:t xml:space="preserve"> </w:t>
      </w:r>
      <w:r>
        <w:t xml:space="preserve">explícito cuando falta el dato — es decir, el patrón correcto ya existe en el código, simplemente no se aplicó de forma consistente en todas las reglas.</w:t>
      </w:r>
    </w:p>
    <w:p>
      <w:pPr>
        <w:pStyle w:val="Heading3"/>
      </w:pPr>
      <w:bookmarkStart w:id="191" w:name="X456c66135ee04c358ca7f893214c0a4a57de9fc"/>
      <w:r>
        <w:t xml:space="preserve">1.3 Caso mixto de insulina: puede escalar la dosis basal cuando debería reducirla</w:t>
      </w:r>
      <w:bookmarkEnd w:id="191"/>
    </w:p>
    <w:p>
      <w:pPr>
        <w:pStyle w:val="FirstParagraph"/>
      </w:pPr>
      <w:r>
        <w:t xml:space="preserve">En</w:t>
      </w:r>
      <w:r>
        <w:t xml:space="preserve"> </w:t>
      </w:r>
      <w:r>
        <w:rPr>
          <w:rStyle w:val="VerbatimChar"/>
        </w:rPr>
        <w:t xml:space="preserve">insulin.js</w:t>
      </w:r>
      <w:r>
        <w:t xml:space="preserve">, un paciente con glucosa en ayuno elevada Y glucosa nocturna en hipoglucemia simultáneamente puede recibir una recomendación de</w:t>
      </w:r>
      <w:r>
        <w:t xml:space="preserve"> </w:t>
      </w:r>
      <w:r>
        <w:rPr>
          <w:b/>
        </w:rPr>
        <w:t xml:space="preserve">escalar</w:t>
      </w:r>
      <w:r>
        <w:t xml:space="preserve"> </w:t>
      </w:r>
      <w:r>
        <w:t xml:space="preserve">la dosis basal en vez de reducirla, porque el orden de evaluación de las condiciones</w:t>
      </w:r>
      <w:r>
        <w:t xml:space="preserve"> </w:t>
      </w:r>
      <w:r>
        <w:rPr>
          <w:rStyle w:val="VerbatimChar"/>
        </w:rPr>
        <w:t xml:space="preserve">if</w:t>
      </w:r>
      <w:r>
        <w:t xml:space="preserve"> </w:t>
      </w:r>
      <w:r>
        <w:t xml:space="preserve">prioriza el ayuno elevado sobre la hipoglucemia nocturna. No hay caso de prueba que cubra este escenario mixto específico.</w:t>
      </w:r>
    </w:p>
    <w:p>
      <w:pPr>
        <w:pStyle w:val="Heading3"/>
      </w:pPr>
      <w:bookmarkStart w:id="192" w:name="Xa394a784f2de6e6b10c4a69399c0e5f1ace5e61"/>
      <w:r>
        <w:t xml:space="preserve">1.4 Ausencia de detección de</w:t>
      </w:r>
      <w:r>
        <w:t xml:space="preserve"> </w:t>
      </w:r>
      <w:r>
        <w:t xml:space="preserve">“</w:t>
      </w:r>
      <w:r>
        <w:t xml:space="preserve">dato sospechoso pero plausible</w:t>
      </w:r>
      <w:r>
        <w:t xml:space="preserve">”</w:t>
      </w:r>
      <w:bookmarkEnd w:id="192"/>
    </w:p>
    <w:p>
      <w:pPr>
        <w:pStyle w:val="FirstParagraph"/>
      </w:pPr>
      <w:r>
        <w:t xml:space="preserve">Ningún módulo del sistema distingue entre un valor normal, un valor inusual-pero-posible (ej. un error de captura como glucosa 65 mg/dL en vez de 650 mg/dL) y un valor que cruza el umbral de urgencia de</w:t>
      </w:r>
      <w:r>
        <w:t xml:space="preserve"> </w:t>
      </w:r>
      <w:r>
        <w:rPr>
          <w:rStyle w:val="VerbatimChar"/>
        </w:rPr>
        <w:t xml:space="preserve">redflags.js</w:t>
      </w:r>
      <w:r>
        <w:t xml:space="preserve"> </w:t>
      </w:r>
      <w:r>
        <w:t xml:space="preserve">(glucosa &gt;600 o &lt;40). Un dato con error de captura que no cruce esos umbrales absolutos se procesa exactamente igual que un dato correcto, sin ninguna señal de advertencia. Este hueco ya se había identificado en la conversación previa a este catálogo y se confirma aquí de forma sistemática.</w:t>
      </w:r>
    </w:p>
    <w:p>
      <w:pPr>
        <w:pStyle w:val="Heading2"/>
      </w:pPr>
      <w:bookmarkStart w:id="193" w:name="X0f9284848c91c352a53e5ad0e389293f925a077"/>
      <w:r>
        <w:t xml:space="preserve">2. Severidad media — no lleva a una decisión incorrecta por sí solo, pero reduce la confiabilidad de la auditoría</w:t>
      </w:r>
      <w:bookmarkEnd w:id="193"/>
    </w:p>
    <w:p>
      <w:pPr>
        <w:pStyle w:val="Heading3"/>
      </w:pPr>
      <w:bookmarkStart w:id="194" w:name="X31f08f78f436914f378ab70e5053f2335414102"/>
      <w:r>
        <w:t xml:space="preserve">2.1 Discrepancia de fuentes no documentada en el plan de lípidos</w:t>
      </w:r>
      <w:bookmarkEnd w:id="194"/>
    </w:p>
    <w:p>
      <w:pPr>
        <w:pStyle w:val="FirstParagraph"/>
      </w:pPr>
      <w:r>
        <w:rPr>
          <w:rStyle w:val="VerbatimChar"/>
        </w:rPr>
        <w:t xml:space="preserve">buildLipidPlan</w:t>
      </w:r>
      <w:r>
        <w:t xml:space="preserve"> </w:t>
      </w:r>
      <w:r>
        <w:t xml:space="preserve">usa la Guía de Dislipidemia 2026 para clasificar el riesgo, pero el orden de escalonamiento del tratamiento (estatina → ezetimibe → PCSK9i) cita ACC/AHA 2018 en el comentario correspondiente, sin ninguna nota que justifique mezclar una guía de clasificación de 2026 con un orden de escalonamiento de 2018. A diferencia del caso de PREVENT-ASCVD (documentado extensamente y de forma transparente en el propio código, ver Parte I §2.2), esta mezcla de años no tiene una explicación registrada.</w:t>
      </w:r>
    </w:p>
    <w:p>
      <w:pPr>
        <w:pStyle w:val="Heading3"/>
      </w:pPr>
      <w:bookmarkStart w:id="195" w:name="X0f600306ff7f851a051bfd1f8d149309f164f6e"/>
      <w:r>
        <w:t xml:space="preserve">2.2 Regla de</w:t>
      </w:r>
      <w:r>
        <w:t xml:space="preserve"> </w:t>
      </w:r>
      <w:r>
        <w:t xml:space="preserve">“</w:t>
      </w:r>
      <w:r>
        <w:t xml:space="preserve">no apilar correcciones de insulina</w:t>
      </w:r>
      <w:r>
        <w:t xml:space="preserve">”</w:t>
      </w:r>
      <w:r>
        <w:t xml:space="preserve"> </w:t>
      </w:r>
      <w:r>
        <w:t xml:space="preserve">es solo texto educativo</w:t>
      </w:r>
      <w:bookmarkEnd w:id="195"/>
    </w:p>
    <w:p>
      <w:pPr>
        <w:pStyle w:val="FirstParagraph"/>
      </w:pPr>
      <w:r>
        <w:t xml:space="preserve">El panel de EndoInsulin muestra la recomendación de esperar 2-3 horas entre dosis de corrección, pero no existe ninguna lógica en el código que registre la hora de la última dosis y valide esa espera — es un mensaje informativo, no una regla ejecutable que el sistema pueda hacer cumplir o siquiera advertir si se incumple.</w:t>
      </w:r>
    </w:p>
    <w:p>
      <w:pPr>
        <w:pStyle w:val="Heading3"/>
      </w:pPr>
      <w:bookmarkStart w:id="196" w:name="cobertura-de-pruebas-desigual"/>
      <w:r>
        <w:t xml:space="preserve">2.3 Cobertura de pruebas desigual</w:t>
      </w:r>
      <w:bookmarkEnd w:id="196"/>
    </w:p>
    <w:p>
      <w:pPr>
        <w:pStyle w:val="FirstParagraph"/>
      </w:pPr>
      <w:r>
        <w:t xml:space="preserve">Varias reglas no tienen un caso de prueba dedicado identificable por búsqueda directa: los flags</w:t>
      </w:r>
      <w:r>
        <w:t xml:space="preserve"> </w:t>
      </w:r>
      <w:r>
        <w:rPr>
          <w:rStyle w:val="VerbatimChar"/>
        </w:rPr>
        <w:t xml:space="preserve">stroke</w:t>
      </w:r>
      <w:r>
        <w:t xml:space="preserve">,</w:t>
      </w:r>
      <w:r>
        <w:t xml:space="preserve"> </w:t>
      </w:r>
      <w:r>
        <w:rPr>
          <w:rStyle w:val="VerbatimChar"/>
        </w:rPr>
        <w:t xml:space="preserve">men2</w:t>
      </w:r>
      <w:r>
        <w:t xml:space="preserve">,</w:t>
      </w:r>
      <w:r>
        <w:t xml:space="preserve"> </w:t>
      </w:r>
      <w:r>
        <w:rPr>
          <w:rStyle w:val="VerbatimChar"/>
        </w:rPr>
        <w:t xml:space="preserve">fh</w:t>
      </w:r>
      <w:r>
        <w:t xml:space="preserve"> </w:t>
      </w:r>
      <w:r>
        <w:t xml:space="preserve">(vía priorización de PCSK9i sin ASCVD establecida), y los códigos de contraindicación</w:t>
      </w:r>
      <w:r>
        <w:t xml:space="preserve"> </w:t>
      </w:r>
      <w:r>
        <w:rPr>
          <w:rStyle w:val="VerbatimChar"/>
        </w:rPr>
        <w:t xml:space="preserve">MEN2</w:t>
      </w:r>
      <w:r>
        <w:t xml:space="preserve">,</w:t>
      </w:r>
      <w:r>
        <w:t xml:space="preserve"> </w:t>
      </w:r>
      <w:r>
        <w:rPr>
          <w:rStyle w:val="VerbatimChar"/>
        </w:rPr>
        <w:t xml:space="preserve">HIPOGLUCEMIA</w:t>
      </w:r>
      <w:r>
        <w:t xml:space="preserve">,</w:t>
      </w:r>
      <w:r>
        <w:t xml:space="preserve"> </w:t>
      </w:r>
      <w:r>
        <w:rPr>
          <w:rStyle w:val="VerbatimChar"/>
        </w:rPr>
        <w:t xml:space="preserve">ANGIOEDEMA_IECA</w:t>
      </w:r>
      <w:r>
        <w:t xml:space="preserve"> </w:t>
      </w:r>
      <w:r>
        <w:t xml:space="preserve">y</w:t>
      </w:r>
      <w:r>
        <w:t xml:space="preserve"> </w:t>
      </w:r>
      <w:r>
        <w:rPr>
          <w:rStyle w:val="VerbatimChar"/>
        </w:rPr>
        <w:t xml:space="preserve">TOS_IECA</w:t>
      </w:r>
      <w:r>
        <w:t xml:space="preserve"> </w:t>
      </w:r>
      <w:r>
        <w:t xml:space="preserve">dentro de</w:t>
      </w:r>
      <w:r>
        <w:t xml:space="preserve"> </w:t>
      </w:r>
      <w:r>
        <w:rPr>
          <w:rStyle w:val="VerbatimChar"/>
        </w:rPr>
        <w:t xml:space="preserve">currentDrugIssue</w:t>
      </w:r>
      <w:r>
        <w:t xml:space="preserve">, entre otros señalados en cada sección. Esto no significa que estén mal implementados — significa que, si se rompen en una edición futura, los 219+ casos de prueba actuales no lo detectarían.</w:t>
      </w:r>
    </w:p>
    <w:p>
      <w:pPr>
        <w:pStyle w:val="Heading3"/>
      </w:pPr>
      <w:bookmarkStart w:id="197" w:name="Xed7ae31e8287959e615c6cef7d92e34266ae835"/>
      <w:r>
        <w:t xml:space="preserve">2.4 Acoplamiento fragil entre planes por coincidencia de texto</w:t>
      </w:r>
      <w:bookmarkEnd w:id="197"/>
    </w:p>
    <w:p>
      <w:pPr>
        <w:pStyle w:val="FirstParagraph"/>
      </w:pPr>
      <w:r>
        <w:t xml:space="preserve">La deduplicación entre</w:t>
      </w:r>
      <w:r>
        <w:t xml:space="preserve"> </w:t>
      </w:r>
      <w:r>
        <w:rPr>
          <w:rStyle w:val="VerbatimChar"/>
        </w:rPr>
        <w:t xml:space="preserve">buildAntidiabeticPlan</w:t>
      </w:r>
      <w:r>
        <w:t xml:space="preserve"> </w:t>
      </w:r>
      <w:r>
        <w:t xml:space="preserve">y</w:t>
      </w:r>
      <w:r>
        <w:t xml:space="preserve"> </w:t>
      </w:r>
      <w:r>
        <w:rPr>
          <w:rStyle w:val="VerbatimChar"/>
        </w:rPr>
        <w:t xml:space="preserve">buildObesityPlan</w:t>
      </w:r>
      <w:r>
        <w:t xml:space="preserve"> </w:t>
      </w:r>
      <w:r>
        <w:t xml:space="preserve">(campo</w:t>
      </w:r>
      <w:r>
        <w:t xml:space="preserve"> </w:t>
      </w:r>
      <w:r>
        <w:rPr>
          <w:rStyle w:val="VerbatimChar"/>
        </w:rPr>
        <w:t xml:space="preserve">dmFreshWeightPick</w:t>
      </w:r>
      <w:r>
        <w:t xml:space="preserve">, para evitar recomendar el mismo fármaco dos veces desde dos motores distintos) depende de coincidencia de identificadores/texto entre ambos módulos — un cambio de nomenclatura futuro en uno de los dos podría romper la deduplicación sin que ninguna prueba lo señale como error evidente.</w:t>
      </w:r>
    </w:p>
    <w:p>
      <w:pPr>
        <w:pStyle w:val="Heading2"/>
      </w:pPr>
      <w:bookmarkStart w:id="198" w:name="X094c5b2bf66d46b707e9e26a3f492b42d6c2a0c"/>
      <w:r>
        <w:t xml:space="preserve">3. Lo que el código ya hace bien y vale la pena preservar</w:t>
      </w:r>
      <w:bookmarkEnd w:id="198"/>
    </w:p>
    <w:p>
      <w:pPr>
        <w:numPr>
          <w:ilvl w:val="0"/>
          <w:numId w:val="1141"/>
        </w:numPr>
        <w:pStyle w:val="Compact"/>
      </w:pPr>
      <w:r>
        <w:t xml:space="preserve">Las correcciones de bugs reales (el bug fantasma de</w:t>
      </w:r>
      <w:r>
        <w:t xml:space="preserve"> </w:t>
      </w:r>
      <w:r>
        <w:rPr>
          <w:rStyle w:val="VerbatimChar"/>
        </w:rPr>
        <w:t xml:space="preserve">p.tfg</w:t>
      </w:r>
      <w:r>
        <w:t xml:space="preserve"> </w:t>
      </w:r>
      <w:r>
        <w:t xml:space="preserve">en</w:t>
      </w:r>
      <w:r>
        <w:t xml:space="preserve"> </w:t>
      </w:r>
      <w:r>
        <w:rPr>
          <w:rStyle w:val="VerbatimChar"/>
        </w:rPr>
        <w:t xml:space="preserve">classifyLipidRisk</w:t>
      </w:r>
      <w:r>
        <w:t xml:space="preserve">/</w:t>
      </w:r>
      <w:r>
        <w:rPr>
          <w:rStyle w:val="VerbatimChar"/>
        </w:rPr>
        <w:t xml:space="preserve">classifyGlobalRisk</w:t>
      </w:r>
      <w:r>
        <w:t xml:space="preserve">, la inconsistencia de escalas de presión arterial entre pestañas, la ausencia de flag de embarazo) están documentadas con fecha, causa raíz y, en varios casos, un test de regresión dedicado — es exactamente el patrón que este documento de gobernanza busca generalizar.</w:t>
      </w:r>
    </w:p>
    <w:p>
      <w:pPr>
        <w:numPr>
          <w:ilvl w:val="0"/>
          <w:numId w:val="1141"/>
        </w:numPr>
        <w:pStyle w:val="Compact"/>
      </w:pPr>
      <w:r>
        <w:t xml:space="preserve">El caso de la fórmula PREVENT de AHA (Parte I, §2.2) es el estándar a seguir cuando una fuente no está disponible públicamente: el equipo documentó por qué no se podía verificar, decidió explícitamente no inventar coeficientes, y diseñó una solución que dejaba constancia auditable de qué modelo se usó en cada resultado (</w:t>
      </w:r>
      <w:r>
        <w:rPr>
          <w:rStyle w:val="VerbatimChar"/>
        </w:rPr>
        <w:t xml:space="preserve">campo fuente</w:t>
      </w:r>
      <w:r>
        <w:t xml:space="preserve">).</w:t>
      </w:r>
    </w:p>
    <w:p>
      <w:pPr>
        <w:numPr>
          <w:ilvl w:val="0"/>
          <w:numId w:val="1141"/>
        </w:numPr>
        <w:pStyle w:val="Compact"/>
      </w:pPr>
      <w:r>
        <w:t xml:space="preserve">Los</w:t>
      </w:r>
      <w:r>
        <w:t xml:space="preserve"> </w:t>
      </w:r>
      <w:r>
        <w:t xml:space="preserve">“</w:t>
      </w:r>
      <w:r>
        <w:t xml:space="preserve">LIMITACIÓN HONESTA</w:t>
      </w:r>
      <w:r>
        <w:t xml:space="preserve">”</w:t>
      </w:r>
      <w:r>
        <w:t xml:space="preserve"> </w:t>
      </w:r>
      <w:r>
        <w:t xml:space="preserve">ya declarados textualmente en varios módulos (</w:t>
      </w:r>
      <w:r>
        <w:rPr>
          <w:rStyle w:val="VerbatimChar"/>
        </w:rPr>
        <w:t xml:space="preserve">redflags.js</w:t>
      </w:r>
      <w:r>
        <w:t xml:space="preserve"> </w:t>
      </w:r>
      <w:r>
        <w:t xml:space="preserve">sobre hallazgos de exploración física no capturados,</w:t>
      </w:r>
      <w:r>
        <w:t xml:space="preserve"> </w:t>
      </w:r>
      <w:r>
        <w:rPr>
          <w:rStyle w:val="VerbatimChar"/>
        </w:rPr>
        <w:t xml:space="preserve">sick-day.js</w:t>
      </w:r>
      <w:r>
        <w:t xml:space="preserve"> </w:t>
      </w:r>
      <w:r>
        <w:t xml:space="preserve">sobre cobertura parcial de clases SADMAN,</w:t>
      </w:r>
      <w:r>
        <w:t xml:space="preserve"> </w:t>
      </w:r>
      <w:r>
        <w:rPr>
          <w:rStyle w:val="VerbatimChar"/>
        </w:rPr>
        <w:t xml:space="preserve">interactions.js</w:t>
      </w:r>
      <w:r>
        <w:t xml:space="preserve"> </w:t>
      </w:r>
      <w:r>
        <w:t xml:space="preserve">sobre su alcance) muestran que la disciplina de documentar límites ya existe en partes del proyecto — este catálogo la extiende a todo el motor.</w:t>
      </w:r>
    </w:p>
    <w:p>
      <w:pPr>
        <w:pStyle w:val="Heading1"/>
      </w:pPr>
      <w:bookmarkStart w:id="199" w:name="parte-v-mantenimiento-de-este-documento"/>
      <w:r>
        <w:t xml:space="preserve">Parte V — Mantenimiento de este documento</w:t>
      </w:r>
      <w:bookmarkEnd w:id="199"/>
    </w:p>
    <w:p>
      <w:pPr>
        <w:pStyle w:val="FirstParagraph"/>
      </w:pPr>
      <w:r>
        <w:t xml:space="preserve">Un catálogo de gobernanza que no se actualiza junto con el código pierde su valor rápidamente — se vuelve una fotografía de un momento, no un reflejo del sistema real. Para que esto no le pase a este documento:</w:t>
      </w:r>
    </w:p>
    <w:p>
      <w:pPr>
        <w:pStyle w:val="BodyText"/>
      </w:pPr>
      <w:r>
        <w:rPr>
          <w:b/>
        </w:rPr>
        <w:t xml:space="preserve">Regla simple:</w:t>
      </w:r>
      <w:r>
        <w:t xml:space="preserve"> </w:t>
      </w:r>
      <w:r>
        <w:t xml:space="preserve">toda vez que se modifique una regla clínica en el código (un umbral, una fórmula, una contraindicación, un orden de escalonamiento), la entrada correspondiente en este catálogo se actualiza en la misma sesión de trabajo — mismo criterio de disciplina que ya se usa con la suite de 219+ pruebas (se corre después de cada cambio, no</w:t>
      </w:r>
      <w:r>
        <w:t xml:space="preserve"> </w:t>
      </w:r>
      <w:r>
        <w:t xml:space="preserve">“</w:t>
      </w:r>
      <w:r>
        <w:t xml:space="preserve">después</w:t>
      </w:r>
      <w:r>
        <w:t xml:space="preserve">”</w:t>
      </w:r>
      <w:r>
        <w:t xml:space="preserve">).</w:t>
      </w:r>
    </w:p>
    <w:p>
      <w:pPr>
        <w:pStyle w:val="BodyText"/>
      </w:pPr>
      <w:r>
        <w:rPr>
          <w:b/>
        </w:rPr>
        <w:t xml:space="preserve">Próximos pasos sugeridos, en orden de impacto:</w:t>
      </w:r>
    </w:p>
    <w:p>
      <w:pPr>
        <w:numPr>
          <w:ilvl w:val="0"/>
          <w:numId w:val="1142"/>
        </w:numPr>
        <w:pStyle w:val="Compact"/>
      </w:pPr>
      <w:r>
        <w:t xml:space="preserve">Corregir el hueco de severidad alta más grave (§1.1 de la Parte IV): que</w:t>
      </w:r>
      <w:r>
        <w:t xml:space="preserve"> </w:t>
      </w:r>
      <w:r>
        <w:rPr>
          <w:rStyle w:val="VerbatimChar"/>
        </w:rPr>
        <w:t xml:space="preserve">flags.egfr === 0</w:t>
      </w:r>
      <w:r>
        <w:t xml:space="preserve"> </w:t>
      </w:r>
      <w:r>
        <w:t xml:space="preserve">deje de tratarse como</w:t>
      </w:r>
      <w:r>
        <w:t xml:space="preserve"> </w:t>
      </w:r>
      <w:r>
        <w:t xml:space="preserve">“</w:t>
      </w:r>
      <w:r>
        <w:t xml:space="preserve">función renal normal</w:t>
      </w:r>
      <w:r>
        <w:t xml:space="preserve">”</w:t>
      </w:r>
      <w:r>
        <w:t xml:space="preserve"> </w:t>
      </w:r>
      <w:r>
        <w:t xml:space="preserve">en la rama de inicio de metformina.</w:t>
      </w:r>
    </w:p>
    <w:p>
      <w:pPr>
        <w:numPr>
          <w:ilvl w:val="0"/>
          <w:numId w:val="1142"/>
        </w:numPr>
        <w:pStyle w:val="Compact"/>
      </w:pPr>
      <w:r>
        <w:t xml:space="preserve">Evaluar si conviene una corrección arquitectónica más amplia: introducir un valor centinela explícito (</w:t>
      </w:r>
      <w:r>
        <w:rPr>
          <w:rStyle w:val="VerbatimChar"/>
        </w:rPr>
        <w:t xml:space="preserve">null</w:t>
      </w:r>
      <w:r>
        <w:t xml:space="preserve">/</w:t>
      </w:r>
      <w:r>
        <w:rPr>
          <w:rStyle w:val="VerbatimChar"/>
        </w:rPr>
        <w:t xml:space="preserve">undefined</w:t>
      </w:r>
      <w:r>
        <w:t xml:space="preserve">) para</w:t>
      </w:r>
      <w:r>
        <w:t xml:space="preserve"> </w:t>
      </w:r>
      <w:r>
        <w:t xml:space="preserve">“</w:t>
      </w:r>
      <w:r>
        <w:t xml:space="preserve">dato no capturado</w:t>
      </w:r>
      <w:r>
        <w:t xml:space="preserve">”</w:t>
      </w:r>
      <w:r>
        <w:t xml:space="preserve"> </w:t>
      </w:r>
      <w:r>
        <w:t xml:space="preserve">en lugar de</w:t>
      </w:r>
      <w:r>
        <w:t xml:space="preserve"> </w:t>
      </w:r>
      <w:r>
        <w:rPr>
          <w:rStyle w:val="VerbatimChar"/>
        </w:rPr>
        <w:t xml:space="preserve">0</w:t>
      </w:r>
      <w:r>
        <w:t xml:space="preserve">, de forma consistente en todo</w:t>
      </w:r>
      <w:r>
        <w:t xml:space="preserve"> </w:t>
      </w:r>
      <w:r>
        <w:rPr>
          <w:rStyle w:val="VerbatimChar"/>
        </w:rPr>
        <w:t xml:space="preserve">calculations.js</w:t>
      </w:r>
      <w:r>
        <w:t xml:space="preserve"> </w:t>
      </w:r>
      <w:r>
        <w:t xml:space="preserve">— es un cambio más grande, pero cierra de raíz el patrón sistémico de §1.2 en vez de parchearlo caso por caso.</w:t>
      </w:r>
    </w:p>
    <w:p>
      <w:pPr>
        <w:numPr>
          <w:ilvl w:val="0"/>
          <w:numId w:val="1142"/>
        </w:numPr>
        <w:pStyle w:val="Compact"/>
      </w:pPr>
      <w:r>
        <w:t xml:space="preserve">Diseñar la capa de</w:t>
      </w:r>
      <w:r>
        <w:t xml:space="preserve"> </w:t>
      </w:r>
      <w:r>
        <w:t xml:space="preserve">“</w:t>
      </w:r>
      <w:r>
        <w:t xml:space="preserve">dato sospechoso pero plausible</w:t>
      </w:r>
      <w:r>
        <w:t xml:space="preserve">”</w:t>
      </w:r>
      <w:r>
        <w:t xml:space="preserve"> </w:t>
      </w:r>
      <w:r>
        <w:t xml:space="preserve">(§1.4) — pendiente de definición desde la conversación previa a este catálogo.</w:t>
      </w:r>
    </w:p>
    <w:p>
      <w:pPr>
        <w:numPr>
          <w:ilvl w:val="0"/>
          <w:numId w:val="1142"/>
        </w:numPr>
        <w:pStyle w:val="Compact"/>
      </w:pPr>
      <w:r>
        <w:t xml:space="preserve">Cerrar los huecos de cobertura de pruebas señalados en §2.3, priorizando las reglas de seguridad (contraindicaciones) sobre las de conveniencia.</w:t>
      </w:r>
    </w:p>
    <w:p>
      <w:pPr>
        <w:numPr>
          <w:ilvl w:val="0"/>
          <w:numId w:val="1142"/>
        </w:numPr>
        <w:pStyle w:val="Compact"/>
      </w:pPr>
      <w:r>
        <w:t xml:space="preserve">Mantener este documento como referencia obligatoria antes de aceptar una recomendación del sistema como</w:t>
      </w:r>
      <w:r>
        <w:t xml:space="preserve"> </w:t>
      </w:r>
      <w:r>
        <w:t xml:space="preserve">“</w:t>
      </w:r>
      <w:r>
        <w:t xml:space="preserve">ya validada</w:t>
      </w:r>
      <w:r>
        <w:t xml:space="preserve">”</w:t>
      </w:r>
      <w:r>
        <w:t xml:space="preserve"> </w:t>
      </w:r>
      <w:r>
        <w:t xml:space="preserve">— es, literalmente, el mapa de qué tan sólido es cada pedazo del motor.</w:t>
      </w:r>
    </w:p>
    <w:p>
      <w:pPr>
        <w:pStyle w:val="FirstParagraph"/>
      </w:pPr>
      <w:r>
        <w:t xml:space="preserve">Este documento no reemplaza el juicio clínico del médico que usa NEXORA — es, precisamente, la herramienta que le permite a ese médico (y a cualquiera que audite el sistema después) saber exactamente en qué se está apoyando cada vez que el sistema sugiere algo.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47261bad"/>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b3cbbdee"/>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4fbe019a"/>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4">
    <w:nsid w:val="91a27d85"/>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735">
    <w:nsid w:val="615f1ed2"/>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Letter"/>
      <w:lvlText w:val="(%9)"/>
      <w:lvlJc w:val="left"/>
      <w:pPr>
        <w:tabs>
          <w:tab w:val="num" w:pos="5760"/>
        </w:tabs>
        <w:ind w:left="6240" w:hanging="480"/>
      </w:pPr>
    </w:lvl>
  </w:abstractNum>
  <w:abstractNum w:abstractNumId="99736">
    <w:nsid w:val="238d8174"/>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lvl w:ilvl="7">
      <w:start w:val="6"/>
      <w:numFmt w:val="lowerLetter"/>
      <w:lvlText w:val="(%8)"/>
      <w:lvlJc w:val="left"/>
      <w:pPr>
        <w:tabs>
          <w:tab w:val="num" w:pos="5040"/>
        </w:tabs>
        <w:ind w:left="5520" w:hanging="480"/>
      </w:pPr>
    </w:lvl>
    <w:lvl w:ilvl="8">
      <w:start w:val="6"/>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2026-08-16T13:43:27Z</dcterms:created>
  <dcterms:modified xsi:type="dcterms:W3CDTF">2026-08-16T13:43:27Z</dcterms:modified>
</cp:coreProperties>
</file>

<file path=docProps/custom.xml><?xml version="1.0" encoding="utf-8"?>
<Properties xmlns="http://schemas.openxmlformats.org/officeDocument/2006/custom-properties" xmlns:vt="http://schemas.openxmlformats.org/officeDocument/2006/docPropsVTypes"/>
</file>