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9" w:lineRule="auto"/>
        <w:jc w:val="center"/>
      </w:pPr>
      <w:r>
        <w:rPr>
          <w:rFonts w:ascii="Times New Roman" w:hAnsi="Times New Roman"/>
          <w:b/>
          <w:color w:val="0F172A"/>
          <w:sz w:val="42"/>
        </w:rPr>
        <w:t>AutoSecAudit: An Extensible Multi-Scanner Orchestration Framework with Autonomous AI Remediation, Precision Fuzzing, and Delta Auditing in DevSecOps</w:t>
      </w:r>
    </w:p>
    <w:p>
      <w:pPr>
        <w:spacing w:before="40" w:after="40"/>
        <w:jc w:val="center"/>
      </w:pPr>
      <w:r>
        <w:rPr>
          <w:rFonts w:ascii="Times New Roman" w:hAnsi="Times New Roman"/>
          <w:b/>
          <w:sz w:val="22"/>
        </w:rPr>
        <w:t>Kodi Vishruth Aithal, Thilak N, Vinaya Kumar B, Vishal Gowda B, Ranjitha R*</w:t>
      </w:r>
    </w:p>
    <w:p>
      <w:pPr>
        <w:spacing w:before="0" w:after="40"/>
        <w:jc w:val="center"/>
      </w:pPr>
      <w:r>
        <w:rPr>
          <w:rFonts w:ascii="Times New Roman" w:hAnsi="Times New Roman"/>
          <w:i/>
          <w:sz w:val="20"/>
        </w:rPr>
        <w:t>Department of Computer Science and Engineering, Don Bosco Institute of Technology, Bangalore, Karnataka, India</w:t>
      </w:r>
    </w:p>
    <w:p>
      <w:pPr>
        <w:spacing w:before="0" w:after="40"/>
        <w:jc w:val="center"/>
      </w:pPr>
      <w:r>
        <w:rPr>
          <w:rFonts w:ascii="Times New Roman" w:hAnsi="Times New Roman"/>
          <w:i/>
          <w:sz w:val="19"/>
        </w:rPr>
        <w:t>Emails: {aithalvishruth, gowdathilakn, bvinaykumar70, vishalgb2005}@gmail.com, *ranjitha.r@dbit.co.in</w:t>
      </w:r>
    </w:p>
    <w:p>
      <w:pPr>
        <w:spacing w:before="0" w:after="200"/>
        <w:jc w:val="center"/>
      </w:pPr>
      <w:r>
        <w:rPr>
          <w:rFonts w:ascii="Times New Roman" w:hAnsi="Times New Roman"/>
          <w:b/>
          <w:sz w:val="18"/>
        </w:rPr>
        <w:t>(*Corresponding Author &amp; Faculty Mentor)</w:t>
      </w:r>
    </w:p>
    <w:p>
      <w:pPr>
        <w:spacing w:before="60" w:after="60" w:line="252" w:lineRule="auto"/>
        <w:jc w:val="both"/>
      </w:pPr>
      <w:r>
        <w:rPr>
          <w:rFonts w:ascii="Times New Roman" w:hAnsi="Times New Roman"/>
          <w:b/>
          <w:sz w:val="20"/>
        </w:rPr>
        <w:t xml:space="preserve">Abstract— </w:t>
      </w:r>
      <w:r>
        <w:rPr>
          <w:rFonts w:ascii="Times New Roman" w:hAnsi="Times New Roman"/>
          <w:sz w:val="20"/>
        </w:rPr>
        <w:t>Automating security verification within fast-paced continuous integration and continuous deployment (CI/CD) pipelines presents engineering organizations with severe operational friction. In practice, software engineering teams frequently disable automated dynamic application security testing (DAST) when inundated by redundant alerts from uncoordinated point utilities, when scanners fail to deliver actionable framework-specific code fixes, or when testing suites cannot bridge findings directly into modern AI-assisted developer workflows. In this paper, we present AutoSecAudit, an open, extensible DAST orchestration framework and autonomous remediation platform designed specifically for continuous delivery pipelines and AI developer tooling. AutoSecAudit unifies: (1) Automated Attack Surface Discovery through breadth-first web crawling, client-side JavaScript route extraction via regular expression parsing, OpenAPI 2.0/3.0 schema ingestion, and pre-flight target reachability validation; (2) High-Precision Multi-Scanner Orchestration across 19 specialized attack plugins spanning web injections, API access control, exploit vectors, and infrastructure reconnaissance. False alarms are eliminated through a multi-tiered precision engine featuring a Statistical Timing Engine (dual-baseline latency calibration measuring Gaussian bounds to eliminate network jitter false positives in blind time-based attacks), Adaptive Politeness with exponential backoff on HTTP 429/503 responses, and a Deep Recursive JSON Body Fuzzer; (3) An Intelligence Layer executing compound-key deduplication, live CVSS v3.1 enrichment from NIST NVD and CIRCL endpoints, deterministic compliance taxonomy mapping across OWASP Top 10 (2021), MITRE CWE, and PCI-DSS v4.0, and a Plain-English 'Real Danger' Engine that categorizes technical vulnerabilities into four business risk vectors with executive posture letter grades (A+ to F); and (4) Autonomous AI Remediation and Delivery providing drop-in multi-framework code fix recipes (Node.js/Express, Python/FastAPI/Django, Nginx, WAF rules), 1-click Markdown issue tickets, set-theoretic delta differential auditing across software commits, and a native Model Context Protocol (MCP) JSON-RPC 2.0 stdio server enabling AI coding assistants (Cursor, Claude Code, Antigravity) to audit targets, retrieve enriched findings, apply code patches, and execute targeted verification. We evaluate AutoSecAudit across an expanded suite of 165 automated unit and integration tests, as well as dynamic execution against the OWASP Juice Shop benchmark. Empirical results demonstrate that bounded multi-threaded plugin execution (k=8) yields a 64.8% decrease in scan latency (2.84x speedup) over sequential auditing. The intelligence layer consolidates raw tool alerts with a 38.2% reduction in alert noise at 97.9% precision and 88.5% recall, while the delta analyzer tracks vulnerability lifecycles across build transitions with 100% classification fidelity.</w:t>
      </w:r>
    </w:p>
    <w:p>
      <w:pPr>
        <w:spacing w:before="40" w:after="200" w:line="252" w:lineRule="auto"/>
        <w:jc w:val="both"/>
      </w:pPr>
      <w:r>
        <w:rPr>
          <w:rFonts w:ascii="Times New Roman" w:hAnsi="Times New Roman"/>
          <w:b/>
          <w:i/>
          <w:sz w:val="20"/>
        </w:rPr>
        <w:t xml:space="preserve">Keywords: </w:t>
      </w:r>
      <w:r>
        <w:rPr>
          <w:rFonts w:ascii="Times New Roman" w:hAnsi="Times New Roman"/>
          <w:i/>
          <w:sz w:val="20"/>
        </w:rPr>
        <w:t>Vulnerability Assessment, DevSecOps, Scanner Orchestration, Model Context Protocol (MCP), Autonomous AI Remediation, Statistical Timing Verification, Compliance Mapping, Delta Auditing, Web Security, API Security.</w:t>
      </w:r>
    </w:p>
    <w:p>
      <w:pPr>
        <w:keepNext/>
        <w:spacing w:before="200" w:after="60"/>
        <w:jc w:val="center"/>
      </w:pPr>
      <w:r>
        <w:rPr>
          <w:rFonts w:ascii="Times New Roman" w:hAnsi="Times New Roman"/>
          <w:b/>
          <w:sz w:val="21"/>
        </w:rPr>
        <w:t>I.  INTRODUCTION</w:t>
      </w:r>
    </w:p>
    <w:p>
      <w:pPr>
        <w:spacing w:before="30" w:after="40" w:line="252" w:lineRule="auto"/>
        <w:ind w:firstLine="259"/>
        <w:jc w:val="both"/>
      </w:pPr>
      <w:r>
        <w:rPr>
          <w:rFonts w:ascii="Times New Roman" w:hAnsi="Times New Roman"/>
          <w:sz w:val="20"/>
        </w:rPr>
        <w:t>Modern web applications, cloud-native services, and microservice architectures represent heterogeneous software systems that undergo continuous integration and automated deployment multiple times daily [9]. Ensuring reliable software security within these accelerated delivery cadences demands 'shift-left' verification, wherein dynamic security analysis is executed directly during automated build and pull-request gating steps [10]. Dynamic Application Security Testing (DAST) evaluates target web services from an external attacker perspective without requiring underlying source code, validating whether identified vulnerabilities are exploitable over active transport protocols.</w:t>
      </w:r>
    </w:p>
    <w:p>
      <w:pPr>
        <w:spacing w:before="30" w:after="40" w:line="252" w:lineRule="auto"/>
        <w:ind w:firstLine="259"/>
        <w:jc w:val="both"/>
      </w:pPr>
      <w:r>
        <w:rPr>
          <w:rFonts w:ascii="Times New Roman" w:hAnsi="Times New Roman"/>
          <w:sz w:val="20"/>
        </w:rPr>
        <w:t>Despite its recognized importance, embedding DAST directly into automated build pipelines routinely frustrates software engineering teams. Empirical investigations by Johnson et al. [13] and Bau et al. [10] establish that developers regularly disable or bypass automated vulnerability scanners when reports are noisy, dominated by duplicates, or disconnected from practical software fixes. In continuous deployment pipelines, this breakdown stems from five systemic operational challenges:</w:t>
      </w:r>
    </w:p>
    <w:p>
      <w:pPr>
        <w:spacing w:before="30" w:after="40" w:line="252" w:lineRule="auto"/>
        <w:ind w:firstLine="259"/>
        <w:jc w:val="both"/>
      </w:pPr>
      <w:r>
        <w:rPr>
          <w:rFonts w:ascii="Times New Roman" w:hAnsi="Times New Roman"/>
          <w:b/>
          <w:sz w:val="20"/>
        </w:rPr>
        <w:t xml:space="preserve">1) Heterogeneous Tool Fragmentation and Format Sprawl: </w:t>
      </w:r>
      <w:r>
        <w:rPr>
          <w:rFonts w:ascii="Times New Roman" w:hAnsi="Times New Roman"/>
          <w:sz w:val="20"/>
        </w:rPr>
        <w:t>A thorough security audit requires executing multiple specialized utilities—such as port discovery tools (Nmap [1]), web server misconfiguration checkers (Nikto [2]), and API parameter fuzzers. Each utility outputs disparate formats (XML, unstructured console text, non-uniform JSON), forcing engineering teams to write and maintain fragile parsing wrappers.</w:t>
      </w:r>
    </w:p>
    <w:p>
      <w:pPr>
        <w:spacing w:before="30" w:after="40" w:line="252" w:lineRule="auto"/>
        <w:ind w:firstLine="259"/>
        <w:jc w:val="both"/>
      </w:pPr>
      <w:r>
        <w:rPr>
          <w:rFonts w:ascii="Times New Roman" w:hAnsi="Times New Roman"/>
          <w:b/>
          <w:sz w:val="20"/>
        </w:rPr>
        <w:t xml:space="preserve">2) Duplicate Alert Sprawl and Developer Fatigue: </w:t>
      </w:r>
      <w:r>
        <w:rPr>
          <w:rFonts w:ascii="Times New Roman" w:hAnsi="Times New Roman"/>
          <w:sz w:val="20"/>
        </w:rPr>
        <w:t>Independent scanner modules frequently flag the exact same root vulnerability on an endpoint under slightly varied diagnostic titles. Without cross-plugin deduplication, engineers end up triaging multiple notifications for a single bug, creating severe alert fatigue and wasting engineering hours [13].</w:t>
      </w:r>
    </w:p>
    <w:p>
      <w:pPr>
        <w:spacing w:before="30" w:after="40" w:line="252" w:lineRule="auto"/>
        <w:ind w:firstLine="259"/>
        <w:jc w:val="both"/>
      </w:pPr>
      <w:r>
        <w:rPr>
          <w:rFonts w:ascii="Times New Roman" w:hAnsi="Times New Roman"/>
          <w:b/>
          <w:sz w:val="20"/>
        </w:rPr>
        <w:t xml:space="preserve">3) Executive Communication Gap: </w:t>
      </w:r>
      <w:r>
        <w:rPr>
          <w:rFonts w:ascii="Times New Roman" w:hAnsi="Times New Roman"/>
          <w:sz w:val="20"/>
        </w:rPr>
        <w:t>Traditional scanners display raw Common Vulnerabilities and Exposures (CVE) numbers, Common Vulnerability Scoring System (CVSS) vectors, and hexadecimal traces. These technical representations fail to communicate practical business impact, leaving executives and product owners unable to assess real-world business risks or understand what an adversary can actually execute against the platform.</w:t>
      </w:r>
    </w:p>
    <w:p>
      <w:pPr>
        <w:spacing w:before="30" w:after="40" w:line="252" w:lineRule="auto"/>
        <w:ind w:firstLine="259"/>
        <w:jc w:val="both"/>
      </w:pPr>
      <w:r>
        <w:rPr>
          <w:rFonts w:ascii="Times New Roman" w:hAnsi="Times New Roman"/>
          <w:b/>
          <w:sz w:val="20"/>
        </w:rPr>
        <w:t xml:space="preserve">4) Missing Code Fixes and AI Workflow Disconnection: </w:t>
      </w:r>
      <w:r>
        <w:rPr>
          <w:rFonts w:ascii="Times New Roman" w:hAnsi="Times New Roman"/>
          <w:sz w:val="20"/>
        </w:rPr>
        <w:t>Traditional security scanners identify what is broken but leave developers to write framework-specific patches, input sanitization routines, or Web Application Firewall (WAF) virtual patching rules from scratch. Furthermore, while modern engineers increasingly develop within AI-assisted environments (Cursor, Claude Code, Antigravity), existing scanners remain trapped in legacy CLI terminals with no standardized agentic interface [15].</w:t>
      </w:r>
    </w:p>
    <w:p>
      <w:pPr>
        <w:spacing w:before="30" w:after="40" w:line="252" w:lineRule="auto"/>
        <w:ind w:firstLine="259"/>
        <w:jc w:val="both"/>
      </w:pPr>
      <w:r>
        <w:rPr>
          <w:rFonts w:ascii="Times New Roman" w:hAnsi="Times New Roman"/>
          <w:b/>
          <w:sz w:val="20"/>
        </w:rPr>
        <w:t xml:space="preserve">5) Stateless Scans Lacking Regression Awareness: </w:t>
      </w:r>
      <w:r>
        <w:rPr>
          <w:rFonts w:ascii="Times New Roman" w:hAnsi="Times New Roman"/>
          <w:sz w:val="20"/>
        </w:rPr>
        <w:t>Managing technical debt in CI/CD requires knowing what changed between commits [14]. Traditional scanners evaluate targets in isolation without tracking historical state. Consequently, engineering teams cannot distinguish newly introduced vulnerabilities from pre-existing accepted debt or verify whether a committed patch successfully resolved an open issue.</w:t>
      </w:r>
    </w:p>
    <w:p>
      <w:pPr>
        <w:spacing w:before="30" w:after="40" w:line="252" w:lineRule="auto"/>
        <w:ind w:firstLine="259"/>
        <w:jc w:val="both"/>
      </w:pPr>
      <w:r>
        <w:rPr>
          <w:rFonts w:ascii="Times New Roman" w:hAnsi="Times New Roman"/>
          <w:sz w:val="20"/>
        </w:rPr>
        <w:t>To resolve these challenges, we present AutoSecAudit, an extensible multi-scanner security orchestration framework and autonomous AI remediation platform. AutoSecAudit unifies automated attack surface discovery, concurrent execution of 19 specialized scanner plugins, statistical false-positive elimination, plain-English business danger translation, multi-framework code fix generation, set-theoretic delta regression diffing, and native Model Context Protocol (MCP) tool integration into a cohesive DevSecOps engine.</w:t>
      </w:r>
    </w:p>
    <w:p>
      <w:pPr>
        <w:keepNext/>
        <w:spacing w:before="200" w:after="60"/>
        <w:jc w:val="center"/>
      </w:pPr>
      <w:r>
        <w:rPr>
          <w:rFonts w:ascii="Times New Roman" w:hAnsi="Times New Roman"/>
          <w:b/>
          <w:sz w:val="21"/>
        </w:rPr>
        <w:t>II.  RELATED WORK AND COMPARATIVE ANALYSIS</w:t>
      </w:r>
    </w:p>
    <w:p>
      <w:pPr>
        <w:spacing w:before="30" w:after="40" w:line="252" w:lineRule="auto"/>
        <w:ind w:firstLine="259"/>
        <w:jc w:val="both"/>
      </w:pPr>
      <w:r>
        <w:rPr>
          <w:rFonts w:ascii="Times New Roman" w:hAnsi="Times New Roman"/>
          <w:sz w:val="20"/>
        </w:rPr>
        <w:t>Security testing tools generally fit into four architectural paradigms: standalone point scanners, interactive DAST proxies, fast template matchers, and centralized vulnerability management portals. Table I provides a comprehensive capability comparison between these systems and AutoSecAudit.</w:t>
      </w:r>
    </w:p>
    <w:p>
      <w:pPr>
        <w:keepNext/>
        <w:spacing w:before="140" w:after="40"/>
        <w:jc w:val="left"/>
      </w:pPr>
      <w:r>
        <w:rPr>
          <w:rFonts w:ascii="Times New Roman" w:hAnsi="Times New Roman"/>
          <w:b/>
          <w:i/>
          <w:sz w:val="20"/>
        </w:rPr>
        <w:t>A.  Point Scanners and Specialized Utilities</w:t>
      </w:r>
    </w:p>
    <w:p>
      <w:pPr>
        <w:spacing w:before="30" w:after="40" w:line="252" w:lineRule="auto"/>
        <w:ind w:firstLine="259"/>
        <w:jc w:val="both"/>
      </w:pPr>
      <w:r>
        <w:rPr>
          <w:rFonts w:ascii="Times New Roman" w:hAnsi="Times New Roman"/>
          <w:sz w:val="20"/>
        </w:rPr>
        <w:t>Network scanners like Nmap [1] handle port discovery and service fingerprinting, while web server checkers like Nikto [2] scan for server misconfigurations and outdated defaults. Template-driven scanners like Nuclei [3] run fast YAML pattern matches over HTTP. However, these utilities execute as standalone binaries and lack built-in multi-plugin correlation, automated compliance tagging, historical regression diffing, and autonomous AI remediation interfaces.</w:t>
      </w:r>
    </w:p>
    <w:p>
      <w:pPr>
        <w:keepNext/>
        <w:spacing w:before="140" w:after="40"/>
        <w:jc w:val="left"/>
      </w:pPr>
      <w:r>
        <w:rPr>
          <w:rFonts w:ascii="Times New Roman" w:hAnsi="Times New Roman"/>
          <w:b/>
          <w:i/>
          <w:sz w:val="20"/>
        </w:rPr>
        <w:t>B.  Stateful DAST Proxies and API Fuzzers</w:t>
      </w:r>
    </w:p>
    <w:p>
      <w:pPr>
        <w:spacing w:before="30" w:after="40" w:line="252" w:lineRule="auto"/>
        <w:ind w:firstLine="259"/>
        <w:jc w:val="both"/>
      </w:pPr>
      <w:r>
        <w:rPr>
          <w:rFonts w:ascii="Times New Roman" w:hAnsi="Times New Roman"/>
          <w:sz w:val="20"/>
        </w:rPr>
        <w:t>State-aware scanners, explored by Doupé et al. [11], track application navigation states to uncover deeper injection points. In API fuzzing, Atlidakis et al. [12] demonstrated with RESTler that effective testing requires parsing OpenAPI structures. Comprehensive proxies like OWASP ZAP [4] and PortSwigger Burp Suite provide thorough coverage, but their heavy resource consumption, complex daemon lifecycles, and extended scan runtimes make them difficult to run on fast pull-request merge checks.</w:t>
      </w:r>
    </w:p>
    <w:p>
      <w:pPr>
        <w:keepNext/>
        <w:spacing w:before="140" w:after="40"/>
        <w:jc w:val="left"/>
      </w:pPr>
      <w:r>
        <w:rPr>
          <w:rFonts w:ascii="Times New Roman" w:hAnsi="Times New Roman"/>
          <w:b/>
          <w:i/>
          <w:sz w:val="20"/>
        </w:rPr>
        <w:t>C.  Vulnerability Management Aggregation Platforms</w:t>
      </w:r>
    </w:p>
    <w:p>
      <w:pPr>
        <w:spacing w:before="30" w:after="40" w:line="252" w:lineRule="auto"/>
        <w:ind w:firstLine="259"/>
        <w:jc w:val="both"/>
      </w:pPr>
      <w:r>
        <w:rPr>
          <w:rFonts w:ascii="Times New Roman" w:hAnsi="Times New Roman"/>
          <w:sz w:val="20"/>
        </w:rPr>
        <w:t>Platforms like OWASP DefectDojo [5] aggregate findings from third-party scanners into a central repository. However, DefectDojo functions primarily as a passive ingestion platform; it still requires teams to write external pipeline jobs to run individual tools, parse diverse log formats, and push results over REST APIs.</w:t>
      </w:r>
    </w:p>
    <w:p>
      <w:pPr>
        <w:keepNext/>
        <w:spacing w:before="140" w:after="40"/>
        <w:jc w:val="left"/>
      </w:pPr>
      <w:r>
        <w:rPr>
          <w:rFonts w:ascii="Times New Roman" w:hAnsi="Times New Roman"/>
          <w:b/>
          <w:i/>
          <w:sz w:val="20"/>
        </w:rPr>
        <w:t>D.  Autonomous AI Remediation and Agentic Protocols</w:t>
      </w:r>
    </w:p>
    <w:p>
      <w:pPr>
        <w:spacing w:before="30" w:after="40" w:line="252" w:lineRule="auto"/>
        <w:ind w:firstLine="259"/>
        <w:jc w:val="both"/>
      </w:pPr>
      <w:r>
        <w:rPr>
          <w:rFonts w:ascii="Times New Roman" w:hAnsi="Times New Roman"/>
          <w:sz w:val="20"/>
        </w:rPr>
        <w:t>Recent advances in AI-assisted software engineering have produced agentic developer tools (such as Cursor, Claude Code, and Antigravity). However, bridging external dynamic security scanners with AI agents has been hindered by the lack of standardized protocol integration. AutoSecAudit addresses this gap by implementing the standard JSON-RPC 2.0 Model Context Protocol (MCP) [15], enabling AI agents to programmatically initiate scans, inspect enriched findings, obtain ready-to-paste code patches, and verify remediation directly in the developer's workspace.</w:t>
      </w:r>
    </w:p>
    <w:p>
      <w:pPr>
        <w:keepNext/>
        <w:spacing w:before="160" w:after="50"/>
        <w:jc w:val="center"/>
      </w:pPr>
      <w:r>
        <w:rPr>
          <w:rFonts w:ascii="Times New Roman" w:hAnsi="Times New Roman"/>
          <w:b/>
          <w:sz w:val="19"/>
        </w:rPr>
        <w:t>TABLE I   ARCHITECTURAL COMPARISON ACROSS SECURITY TESTING PARADIGMS</w:t>
      </w:r>
    </w:p>
    <w:tbl>
      <w:tblPr>
        <w:tblW w:type="auto" w:w="0"/>
        <w:jc w:val="center"/>
        <w:tblLook w:firstColumn="1" w:firstRow="1" w:lastColumn="0" w:lastRow="0" w:noHBand="0" w:noVBand="1" w:val="04A0"/>
        <w:tblBorders>
          <w:top w:val="single" w:sz="4" w:space="0" w:color="B8C0CC"/>
          <w:bottom w:val="single" w:sz="4" w:space="0" w:color="B8C0CC"/>
          <w:left w:val="none"/>
          <w:right w:val="none"/>
          <w:insideH w:val="single" w:sz="4" w:space="0" w:color="B8C0CC"/>
          <w:insideV w:val="none"/>
        </w:tblBorders>
      </w:tblPr>
      <w:tblGrid>
        <w:gridCol w:w="1921"/>
        <w:gridCol w:w="1921"/>
        <w:gridCol w:w="1921"/>
        <w:gridCol w:w="1921"/>
        <w:gridCol w:w="1921"/>
      </w:tblGrid>
      <w:tr>
        <w:tc>
          <w:tcPr>
            <w:tcW w:type="dxa" w:w="1921"/>
            <w:tcMar>
              <w:top w:w="65" w:type="dxa"/>
              <w:bottom w:w="65" w:type="dxa"/>
              <w:left w:w="80" w:type="dxa"/>
              <w:right w:w="80" w:type="dxa"/>
            </w:tcMar>
            <w:shd w:fill="E2E8F0"/>
          </w:tcPr>
          <w:p>
            <w:pPr>
              <w:jc w:val="center"/>
            </w:pPr>
            <w:r>
              <w:rPr>
                <w:rFonts w:ascii="Times New Roman" w:hAnsi="Times New Roman"/>
                <w:b/>
                <w:sz w:val="17"/>
              </w:rPr>
              <w:t>Dimension / Capability</w:t>
            </w:r>
          </w:p>
        </w:tc>
        <w:tc>
          <w:tcPr>
            <w:tcW w:type="dxa" w:w="1921"/>
            <w:tcMar>
              <w:top w:w="65" w:type="dxa"/>
              <w:bottom w:w="65" w:type="dxa"/>
              <w:left w:w="80" w:type="dxa"/>
              <w:right w:w="80" w:type="dxa"/>
            </w:tcMar>
            <w:shd w:fill="E2E8F0"/>
          </w:tcPr>
          <w:p>
            <w:pPr>
              <w:jc w:val="center"/>
            </w:pPr>
            <w:r>
              <w:rPr>
                <w:rFonts w:ascii="Times New Roman" w:hAnsi="Times New Roman"/>
                <w:b/>
                <w:sz w:val="17"/>
              </w:rPr>
              <w:t>Point Scanners [1,2]</w:t>
            </w:r>
          </w:p>
        </w:tc>
        <w:tc>
          <w:tcPr>
            <w:tcW w:type="dxa" w:w="1921"/>
            <w:tcMar>
              <w:top w:w="65" w:type="dxa"/>
              <w:bottom w:w="65" w:type="dxa"/>
              <w:left w:w="80" w:type="dxa"/>
              <w:right w:w="80" w:type="dxa"/>
            </w:tcMar>
            <w:shd w:fill="E2E8F0"/>
          </w:tcPr>
          <w:p>
            <w:pPr>
              <w:jc w:val="center"/>
            </w:pPr>
            <w:r>
              <w:rPr>
                <w:rFonts w:ascii="Times New Roman" w:hAnsi="Times New Roman"/>
                <w:b/>
                <w:sz w:val="17"/>
              </w:rPr>
              <w:t>OWASP ZAP [4]</w:t>
            </w:r>
          </w:p>
        </w:tc>
        <w:tc>
          <w:tcPr>
            <w:tcW w:type="dxa" w:w="1921"/>
            <w:tcMar>
              <w:top w:w="65" w:type="dxa"/>
              <w:bottom w:w="65" w:type="dxa"/>
              <w:left w:w="80" w:type="dxa"/>
              <w:right w:w="80" w:type="dxa"/>
            </w:tcMar>
            <w:shd w:fill="E2E8F0"/>
          </w:tcPr>
          <w:p>
            <w:pPr>
              <w:jc w:val="center"/>
            </w:pPr>
            <w:r>
              <w:rPr>
                <w:rFonts w:ascii="Times New Roman" w:hAnsi="Times New Roman"/>
                <w:b/>
                <w:sz w:val="17"/>
              </w:rPr>
              <w:t>DefectDojo [5]</w:t>
            </w:r>
          </w:p>
        </w:tc>
        <w:tc>
          <w:tcPr>
            <w:tcW w:type="dxa" w:w="1921"/>
            <w:tcMar>
              <w:top w:w="65" w:type="dxa"/>
              <w:bottom w:w="65" w:type="dxa"/>
              <w:left w:w="80" w:type="dxa"/>
              <w:right w:w="80" w:type="dxa"/>
            </w:tcMar>
            <w:shd w:fill="E2E8F0"/>
          </w:tcPr>
          <w:p>
            <w:pPr>
              <w:jc w:val="center"/>
            </w:pPr>
            <w:r>
              <w:rPr>
                <w:rFonts w:ascii="Times New Roman" w:hAnsi="Times New Roman"/>
                <w:b/>
                <w:sz w:val="17"/>
              </w:rPr>
              <w:t>AutoSecAudit (Ours)</w:t>
            </w:r>
          </w:p>
        </w:tc>
      </w:tr>
      <w:tr>
        <w:tc>
          <w:tcPr>
            <w:tcW w:type="dxa" w:w="1921"/>
            <w:tcMar>
              <w:top w:w="55" w:type="dxa"/>
              <w:bottom w:w="55" w:type="dxa"/>
              <w:left w:w="80" w:type="dxa"/>
              <w:right w:w="80" w:type="dxa"/>
            </w:tcMar>
          </w:tcPr>
          <w:p>
            <w:pPr>
              <w:jc w:val="left"/>
            </w:pPr>
            <w:r>
              <w:rPr>
                <w:rFonts w:ascii="Times New Roman" w:hAnsi="Times New Roman"/>
                <w:sz w:val="17"/>
              </w:rPr>
              <w:t>Scan Scope</w:t>
            </w:r>
          </w:p>
        </w:tc>
        <w:tc>
          <w:tcPr>
            <w:tcW w:type="dxa" w:w="1921"/>
            <w:tcMar>
              <w:top w:w="55" w:type="dxa"/>
              <w:bottom w:w="55" w:type="dxa"/>
              <w:left w:w="80" w:type="dxa"/>
              <w:right w:w="80" w:type="dxa"/>
            </w:tcMar>
          </w:tcPr>
          <w:p>
            <w:pPr>
              <w:jc w:val="center"/>
            </w:pPr>
            <w:r>
              <w:rPr>
                <w:rFonts w:ascii="Times New Roman" w:hAnsi="Times New Roman"/>
                <w:sz w:val="17"/>
              </w:rPr>
              <w:t>Host / Web (Single Layer)</w:t>
            </w:r>
          </w:p>
        </w:tc>
        <w:tc>
          <w:tcPr>
            <w:tcW w:type="dxa" w:w="1921"/>
            <w:tcMar>
              <w:top w:w="55" w:type="dxa"/>
              <w:bottom w:w="55" w:type="dxa"/>
              <w:left w:w="80" w:type="dxa"/>
              <w:right w:w="80" w:type="dxa"/>
            </w:tcMar>
          </w:tcPr>
          <w:p>
            <w:pPr>
              <w:jc w:val="center"/>
            </w:pPr>
            <w:r>
              <w:rPr>
                <w:rFonts w:ascii="Times New Roman" w:hAnsi="Times New Roman"/>
                <w:sz w:val="17"/>
              </w:rPr>
              <w:t>Stateful Web Application</w:t>
            </w:r>
          </w:p>
        </w:tc>
        <w:tc>
          <w:tcPr>
            <w:tcW w:type="dxa" w:w="1921"/>
            <w:tcMar>
              <w:top w:w="55" w:type="dxa"/>
              <w:bottom w:w="55" w:type="dxa"/>
              <w:left w:w="80" w:type="dxa"/>
              <w:right w:w="80" w:type="dxa"/>
            </w:tcMar>
          </w:tcPr>
          <w:p>
            <w:pPr>
              <w:jc w:val="center"/>
            </w:pPr>
            <w:r>
              <w:rPr>
                <w:rFonts w:ascii="Times New Roman" w:hAnsi="Times New Roman"/>
                <w:sz w:val="17"/>
              </w:rPr>
              <w:t>Passive Ingestion Hub</w:t>
            </w:r>
          </w:p>
        </w:tc>
        <w:tc>
          <w:tcPr>
            <w:tcW w:type="dxa" w:w="1921"/>
            <w:tcMar>
              <w:top w:w="55" w:type="dxa"/>
              <w:bottom w:w="55" w:type="dxa"/>
              <w:left w:w="80" w:type="dxa"/>
              <w:right w:w="80" w:type="dxa"/>
            </w:tcMar>
            <w:shd w:fill="F0FDF4"/>
          </w:tcPr>
          <w:p>
            <w:pPr>
              <w:jc w:val="center"/>
            </w:pPr>
            <w:r>
              <w:rPr>
                <w:rFonts w:ascii="Times New Roman" w:hAnsi="Times New Roman"/>
                <w:b/>
                <w:sz w:val="17"/>
              </w:rPr>
              <w:t>Host + Web + REST API (Unified)</w:t>
            </w:r>
          </w:p>
        </w:tc>
      </w:tr>
      <w:tr>
        <w:tc>
          <w:tcPr>
            <w:tcW w:type="dxa" w:w="1921"/>
            <w:tcMar>
              <w:top w:w="55" w:type="dxa"/>
              <w:bottom w:w="55" w:type="dxa"/>
              <w:left w:w="80" w:type="dxa"/>
              <w:right w:w="80" w:type="dxa"/>
            </w:tcMar>
          </w:tcPr>
          <w:p>
            <w:pPr>
              <w:jc w:val="left"/>
            </w:pPr>
            <w:r>
              <w:rPr>
                <w:rFonts w:ascii="Times New Roman" w:hAnsi="Times New Roman"/>
                <w:sz w:val="17"/>
              </w:rPr>
              <w:t>Concurrency Model</w:t>
            </w:r>
          </w:p>
        </w:tc>
        <w:tc>
          <w:tcPr>
            <w:tcW w:type="dxa" w:w="1921"/>
            <w:tcMar>
              <w:top w:w="55" w:type="dxa"/>
              <w:bottom w:w="55" w:type="dxa"/>
              <w:left w:w="80" w:type="dxa"/>
              <w:right w:w="80" w:type="dxa"/>
            </w:tcMar>
          </w:tcPr>
          <w:p>
            <w:pPr>
              <w:jc w:val="center"/>
            </w:pPr>
            <w:r>
              <w:rPr>
                <w:rFonts w:ascii="Times New Roman" w:hAnsi="Times New Roman"/>
                <w:sz w:val="17"/>
              </w:rPr>
              <w:t>Process / Thread</w:t>
            </w:r>
          </w:p>
        </w:tc>
        <w:tc>
          <w:tcPr>
            <w:tcW w:type="dxa" w:w="1921"/>
            <w:tcMar>
              <w:top w:w="55" w:type="dxa"/>
              <w:bottom w:w="55" w:type="dxa"/>
              <w:left w:w="80" w:type="dxa"/>
              <w:right w:w="80" w:type="dxa"/>
            </w:tcMar>
          </w:tcPr>
          <w:p>
            <w:pPr>
              <w:jc w:val="center"/>
            </w:pPr>
            <w:r>
              <w:rPr>
                <w:rFonts w:ascii="Times New Roman" w:hAnsi="Times New Roman"/>
                <w:sz w:val="17"/>
              </w:rPr>
              <w:t>Engine Threads</w:t>
            </w:r>
          </w:p>
        </w:tc>
        <w:tc>
          <w:tcPr>
            <w:tcW w:type="dxa" w:w="1921"/>
            <w:tcMar>
              <w:top w:w="55" w:type="dxa"/>
              <w:bottom w:w="55" w:type="dxa"/>
              <w:left w:w="80" w:type="dxa"/>
              <w:right w:w="80" w:type="dxa"/>
            </w:tcMar>
          </w:tcPr>
          <w:p>
            <w:pPr>
              <w:jc w:val="center"/>
            </w:pPr>
            <w:r>
              <w:rPr>
                <w:rFonts w:ascii="Times New Roman" w:hAnsi="Times New Roman"/>
                <w:sz w:val="17"/>
              </w:rPr>
              <w:t>Non-scanning Hub</w:t>
            </w:r>
          </w:p>
        </w:tc>
        <w:tc>
          <w:tcPr>
            <w:tcW w:type="dxa" w:w="1921"/>
            <w:tcMar>
              <w:top w:w="55" w:type="dxa"/>
              <w:bottom w:w="55" w:type="dxa"/>
              <w:left w:w="80" w:type="dxa"/>
              <w:right w:w="80" w:type="dxa"/>
            </w:tcMar>
            <w:shd w:fill="F0FDF4"/>
          </w:tcPr>
          <w:p>
            <w:pPr>
              <w:jc w:val="center"/>
            </w:pPr>
            <w:r>
              <w:rPr>
                <w:rFonts w:ascii="Times New Roman" w:hAnsi="Times New Roman"/>
                <w:b/>
                <w:sz w:val="17"/>
              </w:rPr>
              <w:t>ThreadPool (k=8) with Dynamic Profiles</w:t>
            </w:r>
          </w:p>
        </w:tc>
      </w:tr>
      <w:tr>
        <w:tc>
          <w:tcPr>
            <w:tcW w:type="dxa" w:w="1921"/>
            <w:tcMar>
              <w:top w:w="55" w:type="dxa"/>
              <w:bottom w:w="55" w:type="dxa"/>
              <w:left w:w="80" w:type="dxa"/>
              <w:right w:w="80" w:type="dxa"/>
            </w:tcMar>
          </w:tcPr>
          <w:p>
            <w:pPr>
              <w:jc w:val="left"/>
            </w:pPr>
            <w:r>
              <w:rPr>
                <w:rFonts w:ascii="Times New Roman" w:hAnsi="Times New Roman"/>
                <w:sz w:val="17"/>
              </w:rPr>
              <w:t>Surface Discovery</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tcPr>
          <w:p>
            <w:pPr>
              <w:jc w:val="center"/>
            </w:pPr>
            <w:r>
              <w:rPr>
                <w:rFonts w:ascii="Times New Roman" w:hAnsi="Times New Roman"/>
                <w:sz w:val="17"/>
              </w:rPr>
              <w:t>Crawler + Spider</w:t>
            </w:r>
          </w:p>
        </w:tc>
        <w:tc>
          <w:tcPr>
            <w:tcW w:type="dxa" w:w="1921"/>
            <w:tcMar>
              <w:top w:w="55" w:type="dxa"/>
              <w:bottom w:w="55" w:type="dxa"/>
              <w:left w:w="80" w:type="dxa"/>
              <w:right w:w="80" w:type="dxa"/>
            </w:tcMar>
          </w:tcPr>
          <w:p>
            <w:pPr>
              <w:jc w:val="center"/>
            </w:pPr>
            <w:r>
              <w:rPr>
                <w:rFonts w:ascii="Times New Roman" w:hAnsi="Times New Roman"/>
                <w:sz w:val="17"/>
              </w:rPr>
              <w:t>None (Manual Input)</w:t>
            </w:r>
          </w:p>
        </w:tc>
        <w:tc>
          <w:tcPr>
            <w:tcW w:type="dxa" w:w="1921"/>
            <w:tcMar>
              <w:top w:w="55" w:type="dxa"/>
              <w:bottom w:w="55" w:type="dxa"/>
              <w:left w:w="80" w:type="dxa"/>
              <w:right w:w="80" w:type="dxa"/>
            </w:tcMar>
            <w:shd w:fill="F0FDF4"/>
          </w:tcPr>
          <w:p>
            <w:pPr>
              <w:jc w:val="center"/>
            </w:pPr>
            <w:r>
              <w:rPr>
                <w:rFonts w:ascii="Times New Roman" w:hAnsi="Times New Roman"/>
                <w:b/>
                <w:sz w:val="17"/>
              </w:rPr>
              <w:t>BFS + JS Routes + OpenAPI 2.0/3.0</w:t>
            </w:r>
          </w:p>
        </w:tc>
      </w:tr>
      <w:tr>
        <w:tc>
          <w:tcPr>
            <w:tcW w:type="dxa" w:w="1921"/>
            <w:tcMar>
              <w:top w:w="55" w:type="dxa"/>
              <w:bottom w:w="55" w:type="dxa"/>
              <w:left w:w="80" w:type="dxa"/>
              <w:right w:w="80" w:type="dxa"/>
            </w:tcMar>
          </w:tcPr>
          <w:p>
            <w:pPr>
              <w:jc w:val="left"/>
            </w:pPr>
            <w:r>
              <w:rPr>
                <w:rFonts w:ascii="Times New Roman" w:hAnsi="Times New Roman"/>
                <w:sz w:val="17"/>
              </w:rPr>
              <w:t>Active Scanner Plugins</w:t>
            </w:r>
          </w:p>
        </w:tc>
        <w:tc>
          <w:tcPr>
            <w:tcW w:type="dxa" w:w="1921"/>
            <w:tcMar>
              <w:top w:w="55" w:type="dxa"/>
              <w:bottom w:w="55" w:type="dxa"/>
              <w:left w:w="80" w:type="dxa"/>
              <w:right w:w="80" w:type="dxa"/>
            </w:tcMar>
          </w:tcPr>
          <w:p>
            <w:pPr>
              <w:jc w:val="center"/>
            </w:pPr>
            <w:r>
              <w:rPr>
                <w:rFonts w:ascii="Times New Roman" w:hAnsi="Times New Roman"/>
                <w:sz w:val="17"/>
              </w:rPr>
              <w:t>Single Purpose</w:t>
            </w:r>
          </w:p>
        </w:tc>
        <w:tc>
          <w:tcPr>
            <w:tcW w:type="dxa" w:w="1921"/>
            <w:tcMar>
              <w:top w:w="55" w:type="dxa"/>
              <w:bottom w:w="55" w:type="dxa"/>
              <w:left w:w="80" w:type="dxa"/>
              <w:right w:w="80" w:type="dxa"/>
            </w:tcMar>
          </w:tcPr>
          <w:p>
            <w:pPr>
              <w:jc w:val="center"/>
            </w:pPr>
            <w:r>
              <w:rPr>
                <w:rFonts w:ascii="Times New Roman" w:hAnsi="Times New Roman"/>
                <w:sz w:val="17"/>
              </w:rPr>
              <w:t>Modular Add-ons</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shd w:fill="F0FDF4"/>
          </w:tcPr>
          <w:p>
            <w:pPr>
              <w:jc w:val="center"/>
            </w:pPr>
            <w:r>
              <w:rPr>
                <w:rFonts w:ascii="Times New Roman" w:hAnsi="Times New Roman"/>
                <w:b/>
                <w:sz w:val="17"/>
              </w:rPr>
              <w:t>19 Built-in Attack Simulation Plugins</w:t>
            </w:r>
          </w:p>
        </w:tc>
      </w:tr>
      <w:tr>
        <w:tc>
          <w:tcPr>
            <w:tcW w:type="dxa" w:w="1921"/>
            <w:tcMar>
              <w:top w:w="55" w:type="dxa"/>
              <w:bottom w:w="55" w:type="dxa"/>
              <w:left w:w="80" w:type="dxa"/>
              <w:right w:w="80" w:type="dxa"/>
            </w:tcMar>
          </w:tcPr>
          <w:p>
            <w:pPr>
              <w:jc w:val="left"/>
            </w:pPr>
            <w:r>
              <w:rPr>
                <w:rFonts w:ascii="Times New Roman" w:hAnsi="Times New Roman"/>
                <w:sz w:val="17"/>
              </w:rPr>
              <w:t>False-Positive Elimination</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tcPr>
          <w:p>
            <w:pPr>
              <w:jc w:val="center"/>
            </w:pPr>
            <w:r>
              <w:rPr>
                <w:rFonts w:ascii="Times New Roman" w:hAnsi="Times New Roman"/>
                <w:sz w:val="17"/>
              </w:rPr>
              <w:t>Heuristic Rules</w:t>
            </w:r>
          </w:p>
        </w:tc>
        <w:tc>
          <w:tcPr>
            <w:tcW w:type="dxa" w:w="1921"/>
            <w:tcMar>
              <w:top w:w="55" w:type="dxa"/>
              <w:bottom w:w="55" w:type="dxa"/>
              <w:left w:w="80" w:type="dxa"/>
              <w:right w:w="80" w:type="dxa"/>
            </w:tcMar>
          </w:tcPr>
          <w:p>
            <w:pPr>
              <w:jc w:val="center"/>
            </w:pPr>
            <w:r>
              <w:rPr>
                <w:rFonts w:ascii="Times New Roman" w:hAnsi="Times New Roman"/>
                <w:sz w:val="17"/>
              </w:rPr>
              <w:t>Manual Triage</w:t>
            </w:r>
          </w:p>
        </w:tc>
        <w:tc>
          <w:tcPr>
            <w:tcW w:type="dxa" w:w="1921"/>
            <w:tcMar>
              <w:top w:w="55" w:type="dxa"/>
              <w:bottom w:w="55" w:type="dxa"/>
              <w:left w:w="80" w:type="dxa"/>
              <w:right w:w="80" w:type="dxa"/>
            </w:tcMar>
            <w:shd w:fill="F0FDF4"/>
          </w:tcPr>
          <w:p>
            <w:pPr>
              <w:jc w:val="center"/>
            </w:pPr>
            <w:r>
              <w:rPr>
                <w:rFonts w:ascii="Times New Roman" w:hAnsi="Times New Roman"/>
                <w:b/>
                <w:sz w:val="17"/>
              </w:rPr>
              <w:t>Statistical Timing + Dual Baseline Delta</w:t>
            </w:r>
          </w:p>
        </w:tc>
      </w:tr>
      <w:tr>
        <w:tc>
          <w:tcPr>
            <w:tcW w:type="dxa" w:w="1921"/>
            <w:tcMar>
              <w:top w:w="55" w:type="dxa"/>
              <w:bottom w:w="55" w:type="dxa"/>
              <w:left w:w="80" w:type="dxa"/>
              <w:right w:w="80" w:type="dxa"/>
            </w:tcMar>
          </w:tcPr>
          <w:p>
            <w:pPr>
              <w:jc w:val="left"/>
            </w:pPr>
            <w:r>
              <w:rPr>
                <w:rFonts w:ascii="Times New Roman" w:hAnsi="Times New Roman"/>
                <w:sz w:val="17"/>
              </w:rPr>
              <w:t>Deep JSON API Fuzzing</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tcPr>
          <w:p>
            <w:pPr>
              <w:jc w:val="center"/>
            </w:pPr>
            <w:r>
              <w:rPr>
                <w:rFonts w:ascii="Times New Roman" w:hAnsi="Times New Roman"/>
                <w:sz w:val="17"/>
              </w:rPr>
              <w:t>Partial Plugin</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shd w:fill="F0FDF4"/>
          </w:tcPr>
          <w:p>
            <w:pPr>
              <w:jc w:val="center"/>
            </w:pPr>
            <w:r>
              <w:rPr>
                <w:rFonts w:ascii="Times New Roman" w:hAnsi="Times New Roman"/>
                <w:b/>
                <w:sz w:val="17"/>
              </w:rPr>
              <w:t>Deep Recursive JSON Body Mutation</w:t>
            </w:r>
          </w:p>
        </w:tc>
      </w:tr>
      <w:tr>
        <w:tc>
          <w:tcPr>
            <w:tcW w:type="dxa" w:w="1921"/>
            <w:tcMar>
              <w:top w:w="55" w:type="dxa"/>
              <w:bottom w:w="55" w:type="dxa"/>
              <w:left w:w="80" w:type="dxa"/>
              <w:right w:w="80" w:type="dxa"/>
            </w:tcMar>
          </w:tcPr>
          <w:p>
            <w:pPr>
              <w:jc w:val="left"/>
            </w:pPr>
            <w:r>
              <w:rPr>
                <w:rFonts w:ascii="Times New Roman" w:hAnsi="Times New Roman"/>
                <w:sz w:val="17"/>
              </w:rPr>
              <w:t>Threat Intelligence</w:t>
            </w:r>
          </w:p>
        </w:tc>
        <w:tc>
          <w:tcPr>
            <w:tcW w:type="dxa" w:w="1921"/>
            <w:tcMar>
              <w:top w:w="55" w:type="dxa"/>
              <w:bottom w:w="55" w:type="dxa"/>
              <w:left w:w="80" w:type="dxa"/>
              <w:right w:w="80" w:type="dxa"/>
            </w:tcMar>
          </w:tcPr>
          <w:p>
            <w:pPr>
              <w:jc w:val="center"/>
            </w:pPr>
            <w:r>
              <w:rPr>
                <w:rFonts w:ascii="Times New Roman" w:hAnsi="Times New Roman"/>
                <w:sz w:val="17"/>
              </w:rPr>
              <w:t>None / Manual</w:t>
            </w:r>
          </w:p>
        </w:tc>
        <w:tc>
          <w:tcPr>
            <w:tcW w:type="dxa" w:w="1921"/>
            <w:tcMar>
              <w:top w:w="55" w:type="dxa"/>
              <w:bottom w:w="55" w:type="dxa"/>
              <w:left w:w="80" w:type="dxa"/>
              <w:right w:w="80" w:type="dxa"/>
            </w:tcMar>
          </w:tcPr>
          <w:p>
            <w:pPr>
              <w:jc w:val="center"/>
            </w:pPr>
            <w:r>
              <w:rPr>
                <w:rFonts w:ascii="Times New Roman" w:hAnsi="Times New Roman"/>
                <w:sz w:val="17"/>
              </w:rPr>
              <w:t>Add-on Scripts</w:t>
            </w:r>
          </w:p>
        </w:tc>
        <w:tc>
          <w:tcPr>
            <w:tcW w:type="dxa" w:w="1921"/>
            <w:tcMar>
              <w:top w:w="55" w:type="dxa"/>
              <w:bottom w:w="55" w:type="dxa"/>
              <w:left w:w="80" w:type="dxa"/>
              <w:right w:w="80" w:type="dxa"/>
            </w:tcMar>
          </w:tcPr>
          <w:p>
            <w:pPr>
              <w:jc w:val="center"/>
            </w:pPr>
            <w:r>
              <w:rPr>
                <w:rFonts w:ascii="Times New Roman" w:hAnsi="Times New Roman"/>
                <w:sz w:val="17"/>
              </w:rPr>
              <w:t>Rule Matching</w:t>
            </w:r>
          </w:p>
        </w:tc>
        <w:tc>
          <w:tcPr>
            <w:tcW w:type="dxa" w:w="1921"/>
            <w:tcMar>
              <w:top w:w="55" w:type="dxa"/>
              <w:bottom w:w="55" w:type="dxa"/>
              <w:left w:w="80" w:type="dxa"/>
              <w:right w:w="80" w:type="dxa"/>
            </w:tcMar>
            <w:shd w:fill="F0FDF4"/>
          </w:tcPr>
          <w:p>
            <w:pPr>
              <w:jc w:val="center"/>
            </w:pPr>
            <w:r>
              <w:rPr>
                <w:rFonts w:ascii="Times New Roman" w:hAnsi="Times New Roman"/>
                <w:b/>
                <w:sz w:val="17"/>
              </w:rPr>
              <w:t>Live NIST NVD &amp; CIRCL API Lookups</w:t>
            </w:r>
          </w:p>
        </w:tc>
      </w:tr>
      <w:tr>
        <w:tc>
          <w:tcPr>
            <w:tcW w:type="dxa" w:w="1921"/>
            <w:tcMar>
              <w:top w:w="55" w:type="dxa"/>
              <w:bottom w:w="55" w:type="dxa"/>
              <w:left w:w="80" w:type="dxa"/>
              <w:right w:w="80" w:type="dxa"/>
            </w:tcMar>
          </w:tcPr>
          <w:p>
            <w:pPr>
              <w:jc w:val="left"/>
            </w:pPr>
            <w:r>
              <w:rPr>
                <w:rFonts w:ascii="Times New Roman" w:hAnsi="Times New Roman"/>
                <w:sz w:val="17"/>
              </w:rPr>
              <w:t>Compliance Taxonomies</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tcPr>
          <w:p>
            <w:pPr>
              <w:jc w:val="center"/>
            </w:pPr>
            <w:r>
              <w:rPr>
                <w:rFonts w:ascii="Times New Roman" w:hAnsi="Times New Roman"/>
                <w:sz w:val="17"/>
              </w:rPr>
              <w:t>Alert Tags</w:t>
            </w:r>
          </w:p>
        </w:tc>
        <w:tc>
          <w:tcPr>
            <w:tcW w:type="dxa" w:w="1921"/>
            <w:tcMar>
              <w:top w:w="55" w:type="dxa"/>
              <w:bottom w:w="55" w:type="dxa"/>
              <w:left w:w="80" w:type="dxa"/>
              <w:right w:w="80" w:type="dxa"/>
            </w:tcMar>
          </w:tcPr>
          <w:p>
            <w:pPr>
              <w:jc w:val="center"/>
            </w:pPr>
            <w:r>
              <w:rPr>
                <w:rFonts w:ascii="Times New Roman" w:hAnsi="Times New Roman"/>
                <w:sz w:val="17"/>
              </w:rPr>
              <w:t>Database Tags</w:t>
            </w:r>
          </w:p>
        </w:tc>
        <w:tc>
          <w:tcPr>
            <w:tcW w:type="dxa" w:w="1921"/>
            <w:tcMar>
              <w:top w:w="55" w:type="dxa"/>
              <w:bottom w:w="55" w:type="dxa"/>
              <w:left w:w="80" w:type="dxa"/>
              <w:right w:w="80" w:type="dxa"/>
            </w:tcMar>
            <w:shd w:fill="F0FDF4"/>
          </w:tcPr>
          <w:p>
            <w:pPr>
              <w:jc w:val="center"/>
            </w:pPr>
            <w:r>
              <w:rPr>
                <w:rFonts w:ascii="Times New Roman" w:hAnsi="Times New Roman"/>
                <w:b/>
                <w:sz w:val="17"/>
              </w:rPr>
              <w:t>Deterministic OWASP, CWE, PCI-DSS v4.0</w:t>
            </w:r>
          </w:p>
        </w:tc>
      </w:tr>
      <w:tr>
        <w:tc>
          <w:tcPr>
            <w:tcW w:type="dxa" w:w="1921"/>
            <w:tcMar>
              <w:top w:w="55" w:type="dxa"/>
              <w:bottom w:w="55" w:type="dxa"/>
              <w:left w:w="80" w:type="dxa"/>
              <w:right w:w="80" w:type="dxa"/>
            </w:tcMar>
          </w:tcPr>
          <w:p>
            <w:pPr>
              <w:jc w:val="left"/>
            </w:pPr>
            <w:r>
              <w:rPr>
                <w:rFonts w:ascii="Times New Roman" w:hAnsi="Times New Roman"/>
                <w:sz w:val="17"/>
              </w:rPr>
              <w:t>Executive Threat Lens</w:t>
            </w:r>
          </w:p>
        </w:tc>
        <w:tc>
          <w:tcPr>
            <w:tcW w:type="dxa" w:w="1921"/>
            <w:tcMar>
              <w:top w:w="55" w:type="dxa"/>
              <w:bottom w:w="55" w:type="dxa"/>
              <w:left w:w="80" w:type="dxa"/>
              <w:right w:w="80" w:type="dxa"/>
            </w:tcMar>
          </w:tcPr>
          <w:p>
            <w:pPr>
              <w:jc w:val="center"/>
            </w:pPr>
            <w:r>
              <w:rPr>
                <w:rFonts w:ascii="Times New Roman" w:hAnsi="Times New Roman"/>
                <w:sz w:val="17"/>
              </w:rPr>
              <w:t>Raw Logs</w:t>
            </w:r>
          </w:p>
        </w:tc>
        <w:tc>
          <w:tcPr>
            <w:tcW w:type="dxa" w:w="1921"/>
            <w:tcMar>
              <w:top w:w="55" w:type="dxa"/>
              <w:bottom w:w="55" w:type="dxa"/>
              <w:left w:w="80" w:type="dxa"/>
              <w:right w:w="80" w:type="dxa"/>
            </w:tcMar>
          </w:tcPr>
          <w:p>
            <w:pPr>
              <w:jc w:val="center"/>
            </w:pPr>
            <w:r>
              <w:rPr>
                <w:rFonts w:ascii="Times New Roman" w:hAnsi="Times New Roman"/>
                <w:sz w:val="17"/>
              </w:rPr>
              <w:t>Technical CVSS</w:t>
            </w:r>
          </w:p>
        </w:tc>
        <w:tc>
          <w:tcPr>
            <w:tcW w:type="dxa" w:w="1921"/>
            <w:tcMar>
              <w:top w:w="55" w:type="dxa"/>
              <w:bottom w:w="55" w:type="dxa"/>
              <w:left w:w="80" w:type="dxa"/>
              <w:right w:w="80" w:type="dxa"/>
            </w:tcMar>
          </w:tcPr>
          <w:p>
            <w:pPr>
              <w:jc w:val="center"/>
            </w:pPr>
            <w:r>
              <w:rPr>
                <w:rFonts w:ascii="Times New Roman" w:hAnsi="Times New Roman"/>
                <w:sz w:val="17"/>
              </w:rPr>
              <w:t>CVSS Charts</w:t>
            </w:r>
          </w:p>
        </w:tc>
        <w:tc>
          <w:tcPr>
            <w:tcW w:type="dxa" w:w="1921"/>
            <w:tcMar>
              <w:top w:w="55" w:type="dxa"/>
              <w:bottom w:w="55" w:type="dxa"/>
              <w:left w:w="80" w:type="dxa"/>
              <w:right w:w="80" w:type="dxa"/>
            </w:tcMar>
            <w:shd w:fill="F0FDF4"/>
          </w:tcPr>
          <w:p>
            <w:pPr>
              <w:jc w:val="center"/>
            </w:pPr>
            <w:r>
              <w:rPr>
                <w:rFonts w:ascii="Times New Roman" w:hAnsi="Times New Roman"/>
                <w:b/>
                <w:sz w:val="17"/>
              </w:rPr>
              <w:t>Plain-English Danger (Grades A+ to F)</w:t>
            </w:r>
          </w:p>
        </w:tc>
      </w:tr>
      <w:tr>
        <w:tc>
          <w:tcPr>
            <w:tcW w:type="dxa" w:w="1921"/>
            <w:tcMar>
              <w:top w:w="55" w:type="dxa"/>
              <w:bottom w:w="55" w:type="dxa"/>
              <w:left w:w="80" w:type="dxa"/>
              <w:right w:w="80" w:type="dxa"/>
            </w:tcMar>
          </w:tcPr>
          <w:p>
            <w:pPr>
              <w:jc w:val="left"/>
            </w:pPr>
            <w:r>
              <w:rPr>
                <w:rFonts w:ascii="Times New Roman" w:hAnsi="Times New Roman"/>
                <w:sz w:val="17"/>
              </w:rPr>
              <w:t>Automated Code Fixes</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tcPr>
          <w:p>
            <w:pPr>
              <w:jc w:val="center"/>
            </w:pPr>
            <w:r>
              <w:rPr>
                <w:rFonts w:ascii="Times New Roman" w:hAnsi="Times New Roman"/>
                <w:sz w:val="17"/>
              </w:rPr>
              <w:t>Generic Text</w:t>
            </w:r>
          </w:p>
        </w:tc>
        <w:tc>
          <w:tcPr>
            <w:tcW w:type="dxa" w:w="1921"/>
            <w:tcMar>
              <w:top w:w="55" w:type="dxa"/>
              <w:bottom w:w="55" w:type="dxa"/>
              <w:left w:w="80" w:type="dxa"/>
              <w:right w:w="80" w:type="dxa"/>
            </w:tcMar>
          </w:tcPr>
          <w:p>
            <w:pPr>
              <w:jc w:val="center"/>
            </w:pPr>
            <w:r>
              <w:rPr>
                <w:rFonts w:ascii="Times New Roman" w:hAnsi="Times New Roman"/>
                <w:sz w:val="17"/>
              </w:rPr>
              <w:t>Static Notes</w:t>
            </w:r>
          </w:p>
        </w:tc>
        <w:tc>
          <w:tcPr>
            <w:tcW w:type="dxa" w:w="1921"/>
            <w:tcMar>
              <w:top w:w="55" w:type="dxa"/>
              <w:bottom w:w="55" w:type="dxa"/>
              <w:left w:w="80" w:type="dxa"/>
              <w:right w:w="80" w:type="dxa"/>
            </w:tcMar>
            <w:shd w:fill="F0FDF4"/>
          </w:tcPr>
          <w:p>
            <w:pPr>
              <w:jc w:val="center"/>
            </w:pPr>
            <w:r>
              <w:rPr>
                <w:rFonts w:ascii="Times New Roman" w:hAnsi="Times New Roman"/>
                <w:b/>
                <w:sz w:val="17"/>
              </w:rPr>
              <w:t>Drop-in Recipes (Node, Python, Nginx, WAF)</w:t>
            </w:r>
          </w:p>
        </w:tc>
      </w:tr>
      <w:tr>
        <w:tc>
          <w:tcPr>
            <w:tcW w:type="dxa" w:w="1921"/>
            <w:tcMar>
              <w:top w:w="55" w:type="dxa"/>
              <w:bottom w:w="55" w:type="dxa"/>
              <w:left w:w="80" w:type="dxa"/>
              <w:right w:w="80" w:type="dxa"/>
            </w:tcMar>
          </w:tcPr>
          <w:p>
            <w:pPr>
              <w:jc w:val="left"/>
            </w:pPr>
            <w:r>
              <w:rPr>
                <w:rFonts w:ascii="Times New Roman" w:hAnsi="Times New Roman"/>
                <w:sz w:val="17"/>
              </w:rPr>
              <w:t>Autonomous AI Bridge</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tcPr>
          <w:p>
            <w:pPr>
              <w:jc w:val="center"/>
            </w:pPr>
            <w:r>
              <w:rPr>
                <w:rFonts w:ascii="Times New Roman" w:hAnsi="Times New Roman"/>
                <w:sz w:val="17"/>
              </w:rPr>
              <w:t>REST API</w:t>
            </w:r>
          </w:p>
        </w:tc>
        <w:tc>
          <w:tcPr>
            <w:tcW w:type="dxa" w:w="1921"/>
            <w:tcMar>
              <w:top w:w="55" w:type="dxa"/>
              <w:bottom w:w="55" w:type="dxa"/>
              <w:left w:w="80" w:type="dxa"/>
              <w:right w:w="80" w:type="dxa"/>
            </w:tcMar>
            <w:shd w:fill="F0FDF4"/>
          </w:tcPr>
          <w:p>
            <w:pPr>
              <w:jc w:val="center"/>
            </w:pPr>
            <w:r>
              <w:rPr>
                <w:rFonts w:ascii="Times New Roman" w:hAnsi="Times New Roman"/>
                <w:b/>
                <w:sz w:val="17"/>
              </w:rPr>
              <w:t>Native JSON-RPC 2.0 MCP Server [15]</w:t>
            </w:r>
          </w:p>
        </w:tc>
      </w:tr>
      <w:tr>
        <w:tc>
          <w:tcPr>
            <w:tcW w:type="dxa" w:w="1921"/>
            <w:tcMar>
              <w:top w:w="55" w:type="dxa"/>
              <w:bottom w:w="55" w:type="dxa"/>
              <w:left w:w="80" w:type="dxa"/>
              <w:right w:w="80" w:type="dxa"/>
            </w:tcMar>
          </w:tcPr>
          <w:p>
            <w:pPr>
              <w:jc w:val="left"/>
            </w:pPr>
            <w:r>
              <w:rPr>
                <w:rFonts w:ascii="Times New Roman" w:hAnsi="Times New Roman"/>
                <w:sz w:val="17"/>
              </w:rPr>
              <w:t>Historical Delta Auditing</w:t>
            </w:r>
          </w:p>
        </w:tc>
        <w:tc>
          <w:tcPr>
            <w:tcW w:type="dxa" w:w="1921"/>
            <w:tcMar>
              <w:top w:w="55" w:type="dxa"/>
              <w:bottom w:w="55" w:type="dxa"/>
              <w:left w:w="80" w:type="dxa"/>
              <w:right w:w="80" w:type="dxa"/>
            </w:tcMar>
          </w:tcPr>
          <w:p>
            <w:pPr>
              <w:jc w:val="center"/>
            </w:pPr>
            <w:r>
              <w:rPr>
                <w:rFonts w:ascii="Times New Roman" w:hAnsi="Times New Roman"/>
                <w:sz w:val="17"/>
              </w:rPr>
              <w:t>None</w:t>
            </w:r>
          </w:p>
        </w:tc>
        <w:tc>
          <w:tcPr>
            <w:tcW w:type="dxa" w:w="1921"/>
            <w:tcMar>
              <w:top w:w="55" w:type="dxa"/>
              <w:bottom w:w="55" w:type="dxa"/>
              <w:left w:w="80" w:type="dxa"/>
              <w:right w:w="80" w:type="dxa"/>
            </w:tcMar>
          </w:tcPr>
          <w:p>
            <w:pPr>
              <w:jc w:val="center"/>
            </w:pPr>
            <w:r>
              <w:rPr>
                <w:rFonts w:ascii="Times New Roman" w:hAnsi="Times New Roman"/>
                <w:sz w:val="17"/>
              </w:rPr>
              <w:t>Session-bound</w:t>
            </w:r>
          </w:p>
        </w:tc>
        <w:tc>
          <w:tcPr>
            <w:tcW w:type="dxa" w:w="1921"/>
            <w:tcMar>
              <w:top w:w="55" w:type="dxa"/>
              <w:bottom w:w="55" w:type="dxa"/>
              <w:left w:w="80" w:type="dxa"/>
              <w:right w:w="80" w:type="dxa"/>
            </w:tcMar>
          </w:tcPr>
          <w:p>
            <w:pPr>
              <w:jc w:val="center"/>
            </w:pPr>
            <w:r>
              <w:rPr>
                <w:rFonts w:ascii="Times New Roman" w:hAnsi="Times New Roman"/>
                <w:sz w:val="17"/>
              </w:rPr>
              <w:t>DB Queries</w:t>
            </w:r>
          </w:p>
        </w:tc>
        <w:tc>
          <w:tcPr>
            <w:tcW w:type="dxa" w:w="1921"/>
            <w:tcMar>
              <w:top w:w="55" w:type="dxa"/>
              <w:bottom w:w="55" w:type="dxa"/>
              <w:left w:w="80" w:type="dxa"/>
              <w:right w:w="80" w:type="dxa"/>
            </w:tcMar>
            <w:shd w:fill="F0FDF4"/>
          </w:tcPr>
          <w:p>
            <w:pPr>
              <w:jc w:val="center"/>
            </w:pPr>
            <w:r>
              <w:rPr>
                <w:rFonts w:ascii="Times New Roman" w:hAnsi="Times New Roman"/>
                <w:b/>
                <w:sz w:val="17"/>
              </w:rPr>
              <w:t>Native Set-Theoretic JSON Diffing</w:t>
            </w:r>
          </w:p>
        </w:tc>
      </w:tr>
      <w:tr>
        <w:tc>
          <w:tcPr>
            <w:tcW w:type="dxa" w:w="1921"/>
            <w:tcMar>
              <w:top w:w="55" w:type="dxa"/>
              <w:bottom w:w="55" w:type="dxa"/>
              <w:left w:w="80" w:type="dxa"/>
              <w:right w:w="80" w:type="dxa"/>
            </w:tcMar>
          </w:tcPr>
          <w:p>
            <w:pPr>
              <w:jc w:val="left"/>
            </w:pPr>
            <w:r>
              <w:rPr>
                <w:rFonts w:ascii="Times New Roman" w:hAnsi="Times New Roman"/>
                <w:sz w:val="17"/>
              </w:rPr>
              <w:t>CI/CD Policy Gating</w:t>
            </w:r>
          </w:p>
        </w:tc>
        <w:tc>
          <w:tcPr>
            <w:tcW w:type="dxa" w:w="1921"/>
            <w:tcMar>
              <w:top w:w="55" w:type="dxa"/>
              <w:bottom w:w="55" w:type="dxa"/>
              <w:left w:w="80" w:type="dxa"/>
              <w:right w:w="80" w:type="dxa"/>
            </w:tcMar>
          </w:tcPr>
          <w:p>
            <w:pPr>
              <w:jc w:val="center"/>
            </w:pPr>
            <w:r>
              <w:rPr>
                <w:rFonts w:ascii="Times New Roman" w:hAnsi="Times New Roman"/>
                <w:sz w:val="17"/>
              </w:rPr>
              <w:t>Exit 0 regardless</w:t>
            </w:r>
          </w:p>
        </w:tc>
        <w:tc>
          <w:tcPr>
            <w:tcW w:type="dxa" w:w="1921"/>
            <w:tcMar>
              <w:top w:w="55" w:type="dxa"/>
              <w:bottom w:w="55" w:type="dxa"/>
              <w:left w:w="80" w:type="dxa"/>
              <w:right w:w="80" w:type="dxa"/>
            </w:tcMar>
          </w:tcPr>
          <w:p>
            <w:pPr>
              <w:jc w:val="center"/>
            </w:pPr>
            <w:r>
              <w:rPr>
                <w:rFonts w:ascii="Times New Roman" w:hAnsi="Times New Roman"/>
                <w:sz w:val="17"/>
              </w:rPr>
              <w:t>Custom Scripts</w:t>
            </w:r>
          </w:p>
        </w:tc>
        <w:tc>
          <w:tcPr>
            <w:tcW w:type="dxa" w:w="1921"/>
            <w:tcMar>
              <w:top w:w="55" w:type="dxa"/>
              <w:bottom w:w="55" w:type="dxa"/>
              <w:left w:w="80" w:type="dxa"/>
              <w:right w:w="80" w:type="dxa"/>
            </w:tcMar>
          </w:tcPr>
          <w:p>
            <w:pPr>
              <w:jc w:val="center"/>
            </w:pPr>
            <w:r>
              <w:rPr>
                <w:rFonts w:ascii="Times New Roman" w:hAnsi="Times New Roman"/>
                <w:sz w:val="17"/>
              </w:rPr>
              <w:t>Async Webhooks</w:t>
            </w:r>
          </w:p>
        </w:tc>
        <w:tc>
          <w:tcPr>
            <w:tcW w:type="dxa" w:w="1921"/>
            <w:tcMar>
              <w:top w:w="55" w:type="dxa"/>
              <w:bottom w:w="55" w:type="dxa"/>
              <w:left w:w="80" w:type="dxa"/>
              <w:right w:w="80" w:type="dxa"/>
            </w:tcMar>
            <w:shd w:fill="F0FDF4"/>
          </w:tcPr>
          <w:p>
            <w:pPr>
              <w:jc w:val="center"/>
            </w:pPr>
            <w:r>
              <w:rPr>
                <w:rFonts w:ascii="Times New Roman" w:hAnsi="Times New Roman"/>
                <w:b/>
                <w:sz w:val="17"/>
              </w:rPr>
              <w:t>Built-in --fail-on Policy Exit Code</w:t>
            </w:r>
          </w:p>
        </w:tc>
      </w:tr>
    </w:tbl>
    <w:p>
      <w:pPr>
        <w:spacing w:before="20" w:after="60"/>
      </w:pPr>
    </w:p>
    <w:p>
      <w:pPr>
        <w:keepNext/>
        <w:spacing w:before="200" w:after="60"/>
        <w:jc w:val="center"/>
      </w:pPr>
      <w:r>
        <w:rPr>
          <w:rFonts w:ascii="Times New Roman" w:hAnsi="Times New Roman"/>
          <w:b/>
          <w:sz w:val="21"/>
        </w:rPr>
        <w:t>III.  SYSTEM ARCHITECTURE AND METHODOLOGY</w:t>
      </w:r>
    </w:p>
    <w:p>
      <w:pPr>
        <w:spacing w:before="30" w:after="40" w:line="252" w:lineRule="auto"/>
        <w:ind w:firstLine="259"/>
        <w:jc w:val="both"/>
      </w:pPr>
      <w:r>
        <w:rPr>
          <w:rFonts w:ascii="Times New Roman" w:hAnsi="Times New Roman"/>
          <w:sz w:val="20"/>
        </w:rPr>
        <w:t>AutoSecAudit is structured into four decoupled subsystems (Fig. 1): (1) Input Ingestion, Surface Discovery &amp; Pre-flight Validation; (2) Concurrent Multi-Scanner Engine &amp; Precision Subsystem; (3) Post-Processing Intelligence Layer; and (4) Delivery, CI/CD Gating, and Autonomous AI Remediation.</w:t>
      </w:r>
    </w:p>
    <w:p>
      <w:pPr>
        <w:keepNext/>
        <w:spacing w:before="120" w:after="40"/>
        <w:jc w:val="center"/>
      </w:pPr>
      <w:r>
        <w:drawing>
          <wp:inline xmlns:a="http://schemas.openxmlformats.org/drawingml/2006/main" xmlns:pic="http://schemas.openxmlformats.org/drawingml/2006/picture">
            <wp:extent cx="5852160" cy="144919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852160" cy="1449198"/>
                    </a:xfrm>
                    <a:prstGeom prst="rect"/>
                  </pic:spPr>
                </pic:pic>
              </a:graphicData>
            </a:graphic>
          </wp:inline>
        </w:drawing>
      </w:r>
    </w:p>
    <w:p>
      <w:pPr>
        <w:spacing w:before="30" w:after="120" w:line="242" w:lineRule="auto"/>
        <w:jc w:val="both"/>
      </w:pPr>
      <w:r>
        <w:rPr>
          <w:rFonts w:ascii="Times New Roman" w:hAnsi="Times New Roman"/>
          <w:sz w:val="18"/>
        </w:rPr>
        <w:t>Fig. 1.  AutoSecAudit System Architecture: 4-stage pipeline from surface discovery and concurrent 19-plugin execution through intelligence correlation, compliance mapping, danger translation, delta tracking, and AI MCP integration.</w:t>
      </w:r>
    </w:p>
    <w:p>
      <w:pPr>
        <w:keepNext/>
        <w:spacing w:before="140" w:after="40"/>
        <w:jc w:val="left"/>
      </w:pPr>
      <w:r>
        <w:rPr>
          <w:rFonts w:ascii="Times New Roman" w:hAnsi="Times New Roman"/>
          <w:b/>
          <w:i/>
          <w:sz w:val="20"/>
        </w:rPr>
        <w:t>A.  Attack Surface Discovery and Pre-flight Validation</w:t>
      </w:r>
    </w:p>
    <w:p>
      <w:pPr>
        <w:spacing w:before="30" w:after="40" w:line="252" w:lineRule="auto"/>
        <w:ind w:firstLine="259"/>
        <w:jc w:val="both"/>
      </w:pPr>
      <w:r>
        <w:rPr>
          <w:rFonts w:ascii="Times New Roman" w:hAnsi="Times New Roman"/>
          <w:sz w:val="20"/>
        </w:rPr>
        <w:t>Given a target hostname, IP address, or URL, the surface discovery subsystem seeds an endpoint pool E before initiating active scans [11, 12]:</w:t>
      </w:r>
    </w:p>
    <w:p>
      <w:pPr>
        <w:spacing w:before="30" w:after="40" w:line="252" w:lineRule="auto"/>
        <w:ind w:firstLine="259"/>
        <w:jc w:val="both"/>
      </w:pPr>
      <w:r>
        <w:rPr>
          <w:rFonts w:ascii="Times New Roman" w:hAnsi="Times New Roman"/>
          <w:b/>
          <w:sz w:val="20"/>
        </w:rPr>
        <w:t xml:space="preserve">1) Target Safety Gate and Pre-Flight Liveness: </w:t>
      </w:r>
      <w:r>
        <w:rPr>
          <w:rFonts w:ascii="Times New Roman" w:hAnsi="Times New Roman"/>
          <w:sz w:val="20"/>
        </w:rPr>
        <w:t>To ensure ethical scanning and operational safety, targets are strictly validated against RFC 1918 private IP blocks (10.0.0.0/8, 172.16.0.0/12, 192.168.0.0/16), localhost (127.0.0.1), and authorized local sandbox testbeds. Unauthorized external domains are aborted immediately. Additionally, pre-flight TCP port and HTTP reachability checks verify the server is live before thread allocation, preventing hung scans on dead hosts.</w:t>
      </w:r>
    </w:p>
    <w:p>
      <w:pPr>
        <w:spacing w:before="30" w:after="40" w:line="252" w:lineRule="auto"/>
        <w:ind w:firstLine="259"/>
        <w:jc w:val="both"/>
      </w:pPr>
      <w:r>
        <w:rPr>
          <w:rFonts w:ascii="Times New Roman" w:hAnsi="Times New Roman"/>
          <w:b/>
          <w:sz w:val="20"/>
        </w:rPr>
        <w:t xml:space="preserve">2) Breadth-First Web Crawler and Client-Side JS Route Extraction: </w:t>
      </w:r>
      <w:r>
        <w:rPr>
          <w:rFonts w:ascii="Times New Roman" w:hAnsi="Times New Roman"/>
          <w:sz w:val="20"/>
        </w:rPr>
        <w:t>The WebCrawler recursively traverses target links starting from the root URL up to a depth limit D_max. It extracts HTML form structures (&lt;form action method&gt;), input fields, query parameters, and hyperlinks. Furthermore, inline &lt;script&gt; tags and referenced JavaScript bundles are analyzed using regex pattern extractors to discover hidden client-side REST API routes (/api/v1/...) that lack standard HTML links.</w:t>
      </w:r>
    </w:p>
    <w:p>
      <w:pPr>
        <w:spacing w:before="30" w:after="40" w:line="252" w:lineRule="auto"/>
        <w:ind w:firstLine="259"/>
        <w:jc w:val="both"/>
      </w:pPr>
      <w:r>
        <w:rPr>
          <w:rFonts w:ascii="Times New Roman" w:hAnsi="Times New Roman"/>
          <w:b/>
          <w:sz w:val="20"/>
        </w:rPr>
        <w:t xml:space="preserve">3) OpenAPI / Swagger Ingestion: </w:t>
      </w:r>
      <w:r>
        <w:rPr>
          <w:rFonts w:ascii="Times New Roman" w:hAnsi="Times New Roman"/>
          <w:sz w:val="20"/>
        </w:rPr>
        <w:t>For headless REST backends, the OpenAPIImporter ingests OpenAPI 2.0 and 3.0 JSON/YAML specifications, registering all routes, HTTP methods (GET, POST, PUT, DELETE), payload schemas, and path variables into the endpoint pool.</w:t>
      </w:r>
    </w:p>
    <w:p>
      <w:pPr>
        <w:spacing w:before="30" w:after="40" w:line="252" w:lineRule="auto"/>
        <w:ind w:firstLine="259"/>
        <w:jc w:val="both"/>
      </w:pPr>
      <w:r>
        <w:rPr>
          <w:rFonts w:ascii="Times New Roman" w:hAnsi="Times New Roman"/>
          <w:b/>
          <w:sz w:val="20"/>
        </w:rPr>
        <w:t xml:space="preserve">4) Automated Multi-Strategy Authenticator: </w:t>
      </w:r>
      <w:r>
        <w:rPr>
          <w:rFonts w:ascii="Times New Roman" w:hAnsi="Times New Roman"/>
          <w:sz w:val="20"/>
        </w:rPr>
        <w:t>To audit authenticated application surfaces, the Authenticator subsystem automatically discovers login forms, submits user credentials, captures session cookies and JWT Bearer tokens, and injects active authentication headers into scanner worker threads.</w:t>
      </w:r>
    </w:p>
    <w:p>
      <w:pPr>
        <w:keepNext/>
        <w:spacing w:before="120" w:after="40"/>
      </w:pPr>
      <w:r>
        <w:rPr>
          <w:rFonts w:ascii="Times New Roman" w:hAnsi="Times New Roman"/>
          <w:b/>
          <w:sz w:val="19"/>
        </w:rPr>
        <w:t>Algorithm 1: Dynamic Attack Surface Discovery, JS Parsing, and Endpoint Seeding</w:t>
      </w:r>
    </w:p>
    <w:p>
      <w:pPr>
        <w:spacing w:before="20" w:after="120" w:line="242" w:lineRule="auto"/>
        <w:ind w:left="216" w:right="216"/>
        <w:jc w:val="left"/>
      </w:pPr>
      <w:r>
        <w:rPr>
          <w:rFonts w:ascii="Courier New" w:hAnsi="Courier New"/>
          <w:sz w:val="17"/>
        </w:rPr>
        <w:t>Input: Target URL u0, Max Depth D_max, OpenAPI Path Omega, Auth Credentials A</w:t>
        <w:br/>
        <w:t>Output: Discovered Parameterized Endpoint Pool E</w:t>
        <w:br/>
        <w:t>1: If not IsTargetAllowed(u0) or not CheckLiveness(u0): Abort('Safety gate violation or host offline')</w:t>
        <w:br/>
        <w:t>2: Session S = InitializeSession()</w:t>
        <w:br/>
        <w:t>3: If A is provided: S = AutoAuthenticate(u0, A)</w:t>
        <w:br/>
        <w:t>4: Initialize FIFO queue Q = {(u0, 0)}, Visited Set V = {}, E = {}</w:t>
        <w:br/>
        <w:t>5: If Omega is provided: E = E U ParseOpenAPISpec(Omega)</w:t>
        <w:br/>
        <w:t>6: While Q is not empty:</w:t>
        <w:br/>
        <w:t>7:    (u, d) = Dequeue(Q)</w:t>
        <w:br/>
        <w:t>8:    If u in V or d &gt; D_max: Continue</w:t>
        <w:br/>
        <w:t>9:    V = V U {u}</w:t>
        <w:br/>
        <w:t>10:   Response R = S.GET(u)</w:t>
        <w:br/>
        <w:t>11:   E = E U ParseHTMLForms(R.body) U ExtractJSRoutes(R.body)</w:t>
        <w:br/>
        <w:t>12:   For each link l in ExtractHyperlinks(R.body) matching host:</w:t>
        <w:br/>
        <w:t>13:      If HasQueryParams(l): E = E U {ParamEndpoint(l)}</w:t>
        <w:br/>
        <w:t>14:      Enqueue (l, d+1) into Q</w:t>
        <w:br/>
        <w:t>15: Return E</w:t>
      </w:r>
    </w:p>
    <w:p>
      <w:pPr>
        <w:keepNext/>
        <w:spacing w:before="140" w:after="40"/>
        <w:jc w:val="left"/>
      </w:pPr>
      <w:r>
        <w:rPr>
          <w:rFonts w:ascii="Times New Roman" w:hAnsi="Times New Roman"/>
          <w:b/>
          <w:i/>
          <w:sz w:val="20"/>
        </w:rPr>
        <w:t>B.  Core Engine, 19 Scanner Plugins, and Precision Fuzzing</w:t>
      </w:r>
    </w:p>
    <w:p>
      <w:pPr>
        <w:spacing w:before="30" w:after="40" w:line="252" w:lineRule="auto"/>
        <w:ind w:firstLine="259"/>
        <w:jc w:val="both"/>
      </w:pPr>
      <w:r>
        <w:rPr>
          <w:rFonts w:ascii="Times New Roman" w:hAnsi="Times New Roman"/>
          <w:sz w:val="20"/>
        </w:rPr>
        <w:t>Each scanner module extends the abstract BaseScanner interface. Standardized findings use the tuple model: F = &lt;id, title, severity, host, port, endpoint, evidence, C, M&gt;, where C in {Low, Medium, High} reflects differential confidence and M contains compliance and fix metadata.</w:t>
      </w:r>
    </w:p>
    <w:p>
      <w:pPr>
        <w:spacing w:before="30" w:after="40" w:line="252" w:lineRule="auto"/>
        <w:ind w:firstLine="259"/>
        <w:jc w:val="both"/>
      </w:pPr>
      <w:r>
        <w:rPr>
          <w:rFonts w:ascii="Times New Roman" w:hAnsi="Times New Roman"/>
          <w:sz w:val="20"/>
        </w:rPr>
        <w:t>AutoSecAudit organizes 19 dynamic vulnerability scanner plugins across four operational domains:</w:t>
        <w:br/>
        <w:t>• Web Application Injections: SQLiScanner (error, boolean, and statistical time-based blind SQLi), XSSScanner (reflected and stored XSS), CSRFScanner (anti-CSRF tokens and SameSite cookie hygiene), OpenRedirectScanner (unvalidated redirect parameters), MisconfigScanner (security headers and cookie hygiene).</w:t>
        <w:br/>
        <w:t>• API &amp; Access Control: BOLAIdorScanner (Broken Object-Level Authorization and UUID manipulation), APIAbuseScanner (mass assignment, excessive data exposure, verb tampering), AuthScanner (credential brute-force, weak passwords), JWTScanner (Alg=None bypass, weak HMAC secrets), CORSScanner (origin reflection, wildcard credentials).</w:t>
        <w:br/>
        <w:t>• Advanced Exploit Vectors: CommandInjectionScanner (OS RCE shell execution), SSRFScanner (cloud metadata 169.254.169.254 and internal subnets), PathTraversalScanner (Local File Inclusion /etc/passwd), SSTIScanner (Jinja2, Twig, ERB template injection).</w:t>
        <w:br/>
        <w:t>• Reconnaissance &amp; Infrastructure: SecretExposureScanner (leaked API keys, AWS tokens, git traces in HTML/.env), SSLTLSScanner (weak TLS ciphers, cert expiry, HSTS), DirBruteScanner (50+ curated sensitive paths), NiktoPlugin (server misconfigurations), NmapPlugin (open port discovery).</w:t>
      </w:r>
    </w:p>
    <w:p>
      <w:pPr>
        <w:spacing w:before="30" w:after="40" w:line="252" w:lineRule="auto"/>
        <w:ind w:firstLine="259"/>
        <w:jc w:val="both"/>
      </w:pPr>
      <w:r>
        <w:rPr>
          <w:rFonts w:ascii="Times New Roman" w:hAnsi="Times New Roman"/>
          <w:b/>
          <w:sz w:val="20"/>
        </w:rPr>
        <w:t xml:space="preserve">Dynamic Scan Profiles: </w:t>
      </w:r>
      <w:r>
        <w:rPr>
          <w:rFonts w:ascii="Times New Roman" w:hAnsi="Times New Roman"/>
          <w:sz w:val="20"/>
        </w:rPr>
        <w:t>The engine introduces dynamic scan profiles: 'full' (all 19 plugins concurrently), 'owasp' (core 11 injection, auth, CSRF, SSRF, misconfiguration plugins), 'api' (7 API-tailored plugins: BOLA/IDOR, JWT, CORS, rate limits), and 'recon' (6 passive reconnaissance plugins).</w:t>
      </w:r>
    </w:p>
    <w:p>
      <w:pPr>
        <w:spacing w:before="30" w:after="40" w:line="252" w:lineRule="auto"/>
        <w:ind w:firstLine="259"/>
        <w:jc w:val="both"/>
      </w:pPr>
      <w:r>
        <w:rPr>
          <w:rFonts w:ascii="Times New Roman" w:hAnsi="Times New Roman"/>
          <w:b/>
          <w:sz w:val="20"/>
        </w:rPr>
        <w:t xml:space="preserve">Precision Engine and False-Positive Elimination Architecture: </w:t>
      </w:r>
      <w:r>
        <w:rPr>
          <w:rFonts w:ascii="Times New Roman" w:hAnsi="Times New Roman"/>
          <w:sz w:val="20"/>
        </w:rPr>
        <w:t>AutoSecAudit deploys four architectural mechanisms to guarantee reliable, high-signal results:</w:t>
        <w:br/>
        <w:t>1) Statistical Timing Engine (core/timing.py): Blind time-based attacks (SLEEP(3), sleep 3) often suffer from false positives caused by network latency spikes. The engine measures benign baseline latency over m requests to establish mean mu_base and standard deviation sigma_base. An injection probe with delay tau is confirmed only if T_probe &gt;= mu_base + 3*sigma_base + 0.8*tau across a two-stage verification cycle.</w:t>
        <w:br/>
        <w:t>2) Differential Baseline Verification: Before reporting an injection finding, BaseScanner measures a benign baseline response. Malicious probes are flagged only when they cause a confirmed HTTP status code change or a &gt;20% response length delta.</w:t>
        <w:br/>
        <w:t>3) Adaptive Politeness &amp; Jitter Backoff (core/politeness.py): Randomized delays (jitter) prevent target overload. If the target returns HTTP 429 (Too Many Requests) or HTTP 503, the engine executes exponential backoff.</w:t>
        <w:br/>
        <w:t>4) Deep Recursive JSON Body Fuzzer (core/fuzzer.py): Recursively traverses nested JSON payloads, mutating leaf values with security payloads while preserving surrounding request schemas.</w:t>
      </w:r>
    </w:p>
    <w:p>
      <w:pPr>
        <w:keepNext/>
        <w:spacing w:before="140" w:after="40"/>
        <w:jc w:val="left"/>
      </w:pPr>
      <w:r>
        <w:rPr>
          <w:rFonts w:ascii="Times New Roman" w:hAnsi="Times New Roman"/>
          <w:b/>
          <w:i/>
          <w:sz w:val="20"/>
        </w:rPr>
        <w:t>C.  Post-Processing Intelligence Layer</w:t>
      </w:r>
    </w:p>
    <w:p>
      <w:pPr>
        <w:spacing w:before="30" w:after="40" w:line="252" w:lineRule="auto"/>
        <w:ind w:firstLine="259"/>
        <w:jc w:val="both"/>
      </w:pPr>
      <w:r>
        <w:rPr>
          <w:rFonts w:ascii="Times New Roman" w:hAnsi="Times New Roman"/>
          <w:sz w:val="20"/>
        </w:rPr>
        <w:t>Following raw scanner execution, the intelligence layer post-processes findings through six deterministic steps (Algorithm 2):</w:t>
      </w:r>
    </w:p>
    <w:p>
      <w:pPr>
        <w:keepNext/>
        <w:spacing w:before="120" w:after="40"/>
      </w:pPr>
      <w:r>
        <w:rPr>
          <w:rFonts w:ascii="Times New Roman" w:hAnsi="Times New Roman"/>
          <w:b/>
          <w:sz w:val="19"/>
        </w:rPr>
        <w:t>Algorithm 2: Intelligence Correlation, Real Danger Translation, and Delta Auditing</w:t>
      </w:r>
    </w:p>
    <w:p>
      <w:pPr>
        <w:spacing w:before="20" w:after="120" w:line="242" w:lineRule="auto"/>
        <w:ind w:left="216" w:right="216"/>
        <w:jc w:val="left"/>
      </w:pPr>
      <w:r>
        <w:rPr>
          <w:rFonts w:ascii="Courier New" w:hAnsi="Courier New"/>
          <w:sz w:val="17"/>
        </w:rPr>
        <w:t>Input: Raw Findings F_raw, Historical Baseline Report S_{t-1}</w:t>
        <w:br/>
        <w:t>Output: Correlated Report S_t, Delta Partition &lt;Delta_NEW, Delta_FIXED, Delta_UNCHANGED&gt;</w:t>
        <w:br/>
        <w:t>1: Group map G = {}</w:t>
        <w:br/>
        <w:t>2: For each finding f in F_raw:</w:t>
        <w:br/>
        <w:t>3:    k = &lt;f.host, f.port, f.endpoint, f.cwe_id&gt;</w:t>
        <w:br/>
        <w:t>4:    G[k] = G[k] U {f}</w:t>
        <w:br/>
        <w:t>5: Consolidated Set S_t = {}</w:t>
        <w:br/>
        <w:t>6: For each group in G:</w:t>
        <w:br/>
        <w:t>7:    f_p = MergeFindings(group)</w:t>
        <w:br/>
        <w:t>8:    If f_p.cve_id: f_p.cvss = QueryNVD_CIRCL(f_p.cve_id)</w:t>
        <w:br/>
        <w:t>9:    f_p.owasp, f_p.pci_dss = MapCompliance(f_p)</w:t>
        <w:br/>
        <w:t>10:   f_p.danger = EvaluateRealDanger(f_p)</w:t>
        <w:br/>
        <w:t>11:   f_p.recipes = GenerateFixRecipes(f_p)</w:t>
        <w:br/>
        <w:t>12:   S_t = S_t U {f_p}</w:t>
        <w:br/>
        <w:t>13: If S_{t-1} is provided:</w:t>
        <w:br/>
        <w:t>14:   Delta_NEW = { f in S_t | Hash(f) not in Hash(S_{t-1}) }</w:t>
        <w:br/>
        <w:t>15:   Delta_FIXED = { f in S_{t-1} | Hash(f) not in Hash(S_t) }</w:t>
        <w:br/>
        <w:t>16:   Delta_UNCHANGED = { f in S_t | Hash(f) in Hash(S_{t-1}) }</w:t>
        <w:br/>
        <w:t>17: Return S_t, &lt;Delta_NEW, Delta_FIXED, Delta_UNCHANGED&gt;</w:t>
      </w:r>
    </w:p>
    <w:p>
      <w:pPr>
        <w:spacing w:before="30" w:after="40" w:line="252" w:lineRule="auto"/>
        <w:ind w:firstLine="259"/>
        <w:jc w:val="both"/>
      </w:pPr>
      <w:r>
        <w:rPr>
          <w:rFonts w:ascii="Times New Roman" w:hAnsi="Times New Roman"/>
          <w:b/>
          <w:sz w:val="20"/>
        </w:rPr>
        <w:t xml:space="preserve">Plain-English Danger Engine and Executive Posture: </w:t>
      </w:r>
      <w:r>
        <w:rPr>
          <w:rFonts w:ascii="Times New Roman" w:hAnsi="Times New Roman"/>
          <w:sz w:val="20"/>
        </w:rPr>
        <w:t>The DangerEngine maps technical findings into 4 Real-World Business Threat Categories: (i) Customer &amp; Database Theft (SQLi, directory exposure, credential leaks); (ii) Account Hijacking &amp; Auth Bypass (JWT weaknesses, brute-force, missing cookie flags); (iii) Phishing, XSS &amp; Brand Defacement (CORS wildcards, XSS, open redirects); and (iv) Full Server Takeover &amp; RCE (remote command injection, SSTI). The engine computes an Executive Security Posture Grade (A+ to F, 0–100 score) and provides non-technical explanations of what is broken, what an attacker can achieve, business liability, and estimated fix time.</w:t>
      </w:r>
    </w:p>
    <w:p>
      <w:pPr>
        <w:spacing w:before="30" w:after="40" w:line="252" w:lineRule="auto"/>
        <w:ind w:firstLine="259"/>
        <w:jc w:val="both"/>
      </w:pPr>
      <w:r>
        <w:rPr>
          <w:rFonts w:ascii="Times New Roman" w:hAnsi="Times New Roman"/>
          <w:b/>
          <w:sz w:val="20"/>
        </w:rPr>
        <w:t xml:space="preserve">Multi-Framework Fix Recipes and Dev Tickets: </w:t>
      </w:r>
      <w:r>
        <w:rPr>
          <w:rFonts w:ascii="Times New Roman" w:hAnsi="Times New Roman"/>
          <w:sz w:val="20"/>
        </w:rPr>
        <w:t>The RecipeEngine generates drop-in code patches for Node.js/Express (parameterized queries, Helmet.js, express-validator), Python/FastAPI/Django (SQLAlchemy ORM, Pydantic schemas, Talisman headers), Nginx server hardening directives, and Cloudflare/AWS WAF virtual patching rules. It also exports 1-click Markdown tickets pre-formatted for Jira, Linear, and GitHub Issues.</w:t>
      </w:r>
    </w:p>
    <w:p>
      <w:pPr>
        <w:spacing w:before="30" w:after="40" w:line="252" w:lineRule="auto"/>
        <w:ind w:firstLine="259"/>
        <w:jc w:val="both"/>
      </w:pPr>
      <w:r>
        <w:rPr>
          <w:rFonts w:ascii="Times New Roman" w:hAnsi="Times New Roman"/>
          <w:b/>
          <w:sz w:val="20"/>
        </w:rPr>
        <w:t xml:space="preserve">Set-Theoretic Delta Differential Auditing: </w:t>
      </w:r>
      <w:r>
        <w:rPr>
          <w:rFonts w:ascii="Times New Roman" w:hAnsi="Times New Roman"/>
          <w:sz w:val="20"/>
        </w:rPr>
        <w:t>To track regressions between software builds [14], the DeltaAnalyzer computes an identity hash H(f) over each finding. Findings between current scan S_t and baseline S_{t-1} are partitioned into three disjoint sets: Delta_NEW = { f in S_t | H(f) not in H(S_{t-1}) }, Delta_FIXED = { f in S_{t-1} | H(f) not in H(S_t) }, and Delta_UNCHANGED = { f in S_t | H(f) in H(S_{t-1}) }.</w:t>
      </w:r>
    </w:p>
    <w:p>
      <w:pPr>
        <w:keepNext/>
        <w:spacing w:before="140" w:after="40"/>
        <w:jc w:val="left"/>
      </w:pPr>
      <w:r>
        <w:rPr>
          <w:rFonts w:ascii="Times New Roman" w:hAnsi="Times New Roman"/>
          <w:b/>
          <w:i/>
          <w:sz w:val="20"/>
        </w:rPr>
        <w:t>D.  Autonomous AI Remediation via Model Context Protocol (MCP) and CI/CD Delivery</w:t>
      </w:r>
    </w:p>
    <w:p>
      <w:pPr>
        <w:spacing w:before="30" w:after="40" w:line="252" w:lineRule="auto"/>
        <w:ind w:firstLine="259"/>
        <w:jc w:val="both"/>
      </w:pPr>
      <w:r>
        <w:rPr>
          <w:rFonts w:ascii="Times New Roman" w:hAnsi="Times New Roman"/>
          <w:sz w:val="20"/>
        </w:rPr>
        <w:t>AutoSecAudit embeds a standard JSON-RPC 2.0 stdio Model Context Protocol (MCP) Server (mcp_server.py), bridging dynamic vulnerability scanning directly into modern AI developer tools (Cursor, Claude Code, Antigravity) [15]. Table II lists the MCP tools exposed for autonomous AI remediation.</w:t>
      </w:r>
    </w:p>
    <w:p>
      <w:pPr>
        <w:keepNext/>
        <w:spacing w:before="160" w:after="50"/>
        <w:jc w:val="center"/>
      </w:pPr>
      <w:r>
        <w:rPr>
          <w:rFonts w:ascii="Times New Roman" w:hAnsi="Times New Roman"/>
          <w:b/>
          <w:sz w:val="19"/>
        </w:rPr>
        <w:t>TABLE II   AUTOSECAUDIT MCP TOOLS FOR AUTONOMOUS AI REMEDIATION</w:t>
      </w:r>
    </w:p>
    <w:tbl>
      <w:tblPr>
        <w:tblW w:type="auto" w:w="0"/>
        <w:jc w:val="center"/>
        <w:tblLook w:firstColumn="1" w:firstRow="1" w:lastColumn="0" w:lastRow="0" w:noHBand="0" w:noVBand="1" w:val="04A0"/>
        <w:tblBorders>
          <w:top w:val="single" w:sz="4" w:space="0" w:color="B8C0CC"/>
          <w:bottom w:val="single" w:sz="4" w:space="0" w:color="B8C0CC"/>
          <w:left w:val="none"/>
          <w:right w:val="none"/>
          <w:insideH w:val="single" w:sz="4" w:space="0" w:color="B8C0CC"/>
          <w:insideV w:val="none"/>
        </w:tblBorders>
      </w:tblPr>
      <w:tblGrid>
        <w:gridCol w:w="3202"/>
        <w:gridCol w:w="3202"/>
        <w:gridCol w:w="3202"/>
      </w:tblGrid>
      <w:tr>
        <w:tc>
          <w:tcPr>
            <w:tcW w:type="dxa" w:w="3202"/>
            <w:tcMar>
              <w:top w:w="65" w:type="dxa"/>
              <w:bottom w:w="65" w:type="dxa"/>
              <w:left w:w="80" w:type="dxa"/>
              <w:right w:w="80" w:type="dxa"/>
            </w:tcMar>
            <w:shd w:fill="E2E8F0"/>
          </w:tcPr>
          <w:p>
            <w:pPr>
              <w:jc w:val="center"/>
            </w:pPr>
            <w:r>
              <w:rPr>
                <w:rFonts w:ascii="Times New Roman" w:hAnsi="Times New Roman"/>
                <w:b/>
                <w:sz w:val="17"/>
              </w:rPr>
              <w:t>MCP Tool Name</w:t>
            </w:r>
          </w:p>
        </w:tc>
        <w:tc>
          <w:tcPr>
            <w:tcW w:type="dxa" w:w="3202"/>
            <w:tcMar>
              <w:top w:w="65" w:type="dxa"/>
              <w:bottom w:w="65" w:type="dxa"/>
              <w:left w:w="80" w:type="dxa"/>
              <w:right w:w="80" w:type="dxa"/>
            </w:tcMar>
            <w:shd w:fill="E2E8F0"/>
          </w:tcPr>
          <w:p>
            <w:pPr>
              <w:jc w:val="center"/>
            </w:pPr>
            <w:r>
              <w:rPr>
                <w:rFonts w:ascii="Times New Roman" w:hAnsi="Times New Roman"/>
                <w:b/>
                <w:sz w:val="17"/>
              </w:rPr>
              <w:t>Arguments</w:t>
            </w:r>
          </w:p>
        </w:tc>
        <w:tc>
          <w:tcPr>
            <w:tcW w:type="dxa" w:w="3202"/>
            <w:tcMar>
              <w:top w:w="65" w:type="dxa"/>
              <w:bottom w:w="65" w:type="dxa"/>
              <w:left w:w="80" w:type="dxa"/>
              <w:right w:w="80" w:type="dxa"/>
            </w:tcMar>
            <w:shd w:fill="E2E8F0"/>
          </w:tcPr>
          <w:p>
            <w:pPr>
              <w:jc w:val="center"/>
            </w:pPr>
            <w:r>
              <w:rPr>
                <w:rFonts w:ascii="Times New Roman" w:hAnsi="Times New Roman"/>
                <w:b/>
                <w:sz w:val="17"/>
              </w:rPr>
              <w:t>Description and Agent Capability</w:t>
            </w:r>
          </w:p>
        </w:tc>
      </w:tr>
      <w:tr>
        <w:tc>
          <w:tcPr>
            <w:tcW w:type="dxa" w:w="3202"/>
            <w:tcMar>
              <w:top w:w="55" w:type="dxa"/>
              <w:bottom w:w="55" w:type="dxa"/>
              <w:left w:w="80" w:type="dxa"/>
              <w:right w:w="80" w:type="dxa"/>
            </w:tcMar>
          </w:tcPr>
          <w:p>
            <w:pPr>
              <w:jc w:val="left"/>
            </w:pPr>
            <w:r>
              <w:rPr>
                <w:rFonts w:ascii="Times New Roman" w:hAnsi="Times New Roman"/>
                <w:sz w:val="17"/>
              </w:rPr>
              <w:t>autosec_scan</w:t>
            </w:r>
          </w:p>
        </w:tc>
        <w:tc>
          <w:tcPr>
            <w:tcW w:type="dxa" w:w="3202"/>
            <w:tcMar>
              <w:top w:w="55" w:type="dxa"/>
              <w:bottom w:w="55" w:type="dxa"/>
              <w:left w:w="80" w:type="dxa"/>
              <w:right w:w="80" w:type="dxa"/>
            </w:tcMar>
          </w:tcPr>
          <w:p>
            <w:pPr>
              <w:jc w:val="left"/>
            </w:pPr>
            <w:r>
              <w:rPr>
                <w:rFonts w:ascii="Times New Roman" w:hAnsi="Times New Roman"/>
                <w:sz w:val="17"/>
              </w:rPr>
              <w:t>target_url, profile, crawl</w:t>
            </w:r>
          </w:p>
        </w:tc>
        <w:tc>
          <w:tcPr>
            <w:tcW w:type="dxa" w:w="3202"/>
            <w:tcMar>
              <w:top w:w="55" w:type="dxa"/>
              <w:bottom w:w="55" w:type="dxa"/>
              <w:left w:w="80" w:type="dxa"/>
              <w:right w:w="80" w:type="dxa"/>
            </w:tcMar>
          </w:tcPr>
          <w:p>
            <w:pPr>
              <w:jc w:val="left"/>
            </w:pPr>
            <w:r>
              <w:rPr>
                <w:rFonts w:ascii="Times New Roman" w:hAnsi="Times New Roman"/>
                <w:sz w:val="17"/>
              </w:rPr>
              <w:t>Triggers automated scans; returns executive threat summary, posture grade, and finding counts.</w:t>
            </w:r>
          </w:p>
        </w:tc>
      </w:tr>
      <w:tr>
        <w:tc>
          <w:tcPr>
            <w:tcW w:type="dxa" w:w="3202"/>
            <w:tcMar>
              <w:top w:w="55" w:type="dxa"/>
              <w:bottom w:w="55" w:type="dxa"/>
              <w:left w:w="80" w:type="dxa"/>
              <w:right w:w="80" w:type="dxa"/>
            </w:tcMar>
          </w:tcPr>
          <w:p>
            <w:pPr>
              <w:jc w:val="left"/>
            </w:pPr>
            <w:r>
              <w:rPr>
                <w:rFonts w:ascii="Times New Roman" w:hAnsi="Times New Roman"/>
                <w:sz w:val="17"/>
              </w:rPr>
              <w:t>autosec_get_findings</w:t>
            </w:r>
          </w:p>
        </w:tc>
        <w:tc>
          <w:tcPr>
            <w:tcW w:type="dxa" w:w="3202"/>
            <w:tcMar>
              <w:top w:w="55" w:type="dxa"/>
              <w:bottom w:w="55" w:type="dxa"/>
              <w:left w:w="80" w:type="dxa"/>
              <w:right w:w="80" w:type="dxa"/>
            </w:tcMar>
          </w:tcPr>
          <w:p>
            <w:pPr>
              <w:jc w:val="left"/>
            </w:pPr>
            <w:r>
              <w:rPr>
                <w:rFonts w:ascii="Times New Roman" w:hAnsi="Times New Roman"/>
                <w:sz w:val="17"/>
              </w:rPr>
              <w:t>scan_id, severity, lens</w:t>
            </w:r>
          </w:p>
        </w:tc>
        <w:tc>
          <w:tcPr>
            <w:tcW w:type="dxa" w:w="3202"/>
            <w:tcMar>
              <w:top w:w="55" w:type="dxa"/>
              <w:bottom w:w="55" w:type="dxa"/>
              <w:left w:w="80" w:type="dxa"/>
              <w:right w:w="80" w:type="dxa"/>
            </w:tcMar>
          </w:tcPr>
          <w:p>
            <w:pPr>
              <w:jc w:val="left"/>
            </w:pPr>
            <w:r>
              <w:rPr>
                <w:rFonts w:ascii="Times New Roman" w:hAnsi="Times New Roman"/>
                <w:sz w:val="17"/>
              </w:rPr>
              <w:t>Retrieves enriched findings with Plain-English Danger assessments, CVSS, and technical traces.</w:t>
            </w:r>
          </w:p>
        </w:tc>
      </w:tr>
      <w:tr>
        <w:tc>
          <w:tcPr>
            <w:tcW w:type="dxa" w:w="3202"/>
            <w:tcMar>
              <w:top w:w="55" w:type="dxa"/>
              <w:bottom w:w="55" w:type="dxa"/>
              <w:left w:w="80" w:type="dxa"/>
              <w:right w:w="80" w:type="dxa"/>
            </w:tcMar>
          </w:tcPr>
          <w:p>
            <w:pPr>
              <w:jc w:val="left"/>
            </w:pPr>
            <w:r>
              <w:rPr>
                <w:rFonts w:ascii="Times New Roman" w:hAnsi="Times New Roman"/>
                <w:sz w:val="17"/>
              </w:rPr>
              <w:t>autosec_get_fix_recipe</w:t>
            </w:r>
          </w:p>
        </w:tc>
        <w:tc>
          <w:tcPr>
            <w:tcW w:type="dxa" w:w="3202"/>
            <w:tcMar>
              <w:top w:w="55" w:type="dxa"/>
              <w:bottom w:w="55" w:type="dxa"/>
              <w:left w:w="80" w:type="dxa"/>
              <w:right w:w="80" w:type="dxa"/>
            </w:tcMar>
          </w:tcPr>
          <w:p>
            <w:pPr>
              <w:jc w:val="left"/>
            </w:pPr>
            <w:r>
              <w:rPr>
                <w:rFonts w:ascii="Times New Roman" w:hAnsi="Times New Roman"/>
                <w:sz w:val="17"/>
              </w:rPr>
              <w:t>finding_id, framework</w:t>
            </w:r>
          </w:p>
        </w:tc>
        <w:tc>
          <w:tcPr>
            <w:tcW w:type="dxa" w:w="3202"/>
            <w:tcMar>
              <w:top w:w="55" w:type="dxa"/>
              <w:bottom w:w="55" w:type="dxa"/>
              <w:left w:w="80" w:type="dxa"/>
              <w:right w:w="80" w:type="dxa"/>
            </w:tcMar>
          </w:tcPr>
          <w:p>
            <w:pPr>
              <w:jc w:val="left"/>
            </w:pPr>
            <w:r>
              <w:rPr>
                <w:rFonts w:ascii="Times New Roman" w:hAnsi="Times New Roman"/>
                <w:sz w:val="17"/>
              </w:rPr>
              <w:t>Returns drop-in code fix patches (nodejs, python, nginx, waf) for automated source file edits.</w:t>
            </w:r>
          </w:p>
        </w:tc>
      </w:tr>
      <w:tr>
        <w:tc>
          <w:tcPr>
            <w:tcW w:type="dxa" w:w="3202"/>
            <w:tcMar>
              <w:top w:w="55" w:type="dxa"/>
              <w:bottom w:w="55" w:type="dxa"/>
              <w:left w:w="80" w:type="dxa"/>
              <w:right w:w="80" w:type="dxa"/>
            </w:tcMar>
          </w:tcPr>
          <w:p>
            <w:pPr>
              <w:jc w:val="left"/>
            </w:pPr>
            <w:r>
              <w:rPr>
                <w:rFonts w:ascii="Times New Roman" w:hAnsi="Times New Roman"/>
                <w:sz w:val="17"/>
              </w:rPr>
              <w:t>autosec_verify_fix</w:t>
            </w:r>
          </w:p>
        </w:tc>
        <w:tc>
          <w:tcPr>
            <w:tcW w:type="dxa" w:w="3202"/>
            <w:tcMar>
              <w:top w:w="55" w:type="dxa"/>
              <w:bottom w:w="55" w:type="dxa"/>
              <w:left w:w="80" w:type="dxa"/>
              <w:right w:w="80" w:type="dxa"/>
            </w:tcMar>
          </w:tcPr>
          <w:p>
            <w:pPr>
              <w:jc w:val="left"/>
            </w:pPr>
            <w:r>
              <w:rPr>
                <w:rFonts w:ascii="Times New Roman" w:hAnsi="Times New Roman"/>
                <w:sz w:val="17"/>
              </w:rPr>
              <w:t>target_url, scanner_name, param</w:t>
            </w:r>
          </w:p>
        </w:tc>
        <w:tc>
          <w:tcPr>
            <w:tcW w:type="dxa" w:w="3202"/>
            <w:tcMar>
              <w:top w:w="55" w:type="dxa"/>
              <w:bottom w:w="55" w:type="dxa"/>
              <w:left w:w="80" w:type="dxa"/>
              <w:right w:w="80" w:type="dxa"/>
            </w:tcMar>
          </w:tcPr>
          <w:p>
            <w:pPr>
              <w:jc w:val="left"/>
            </w:pPr>
            <w:r>
              <w:rPr>
                <w:rFonts w:ascii="Times New Roman" w:hAnsi="Times New Roman"/>
                <w:sz w:val="17"/>
              </w:rPr>
              <w:t>Runs targeted single-scanner re-verification to confirm if an AI fix resolved the vulnerability.</w:t>
            </w:r>
          </w:p>
        </w:tc>
      </w:tr>
      <w:tr>
        <w:tc>
          <w:tcPr>
            <w:tcW w:type="dxa" w:w="3202"/>
            <w:tcMar>
              <w:top w:w="55" w:type="dxa"/>
              <w:bottom w:w="55" w:type="dxa"/>
              <w:left w:w="80" w:type="dxa"/>
              <w:right w:w="80" w:type="dxa"/>
            </w:tcMar>
          </w:tcPr>
          <w:p>
            <w:pPr>
              <w:jc w:val="left"/>
            </w:pPr>
            <w:r>
              <w:rPr>
                <w:rFonts w:ascii="Times New Roman" w:hAnsi="Times New Roman"/>
                <w:sz w:val="17"/>
              </w:rPr>
              <w:t>autosec_list_scanners</w:t>
            </w:r>
          </w:p>
        </w:tc>
        <w:tc>
          <w:tcPr>
            <w:tcW w:type="dxa" w:w="3202"/>
            <w:tcMar>
              <w:top w:w="55" w:type="dxa"/>
              <w:bottom w:w="55" w:type="dxa"/>
              <w:left w:w="80" w:type="dxa"/>
              <w:right w:w="80" w:type="dxa"/>
            </w:tcMar>
          </w:tcPr>
          <w:p>
            <w:pPr>
              <w:jc w:val="left"/>
            </w:pPr>
            <w:r>
              <w:rPr>
                <w:rFonts w:ascii="Times New Roman" w:hAnsi="Times New Roman"/>
                <w:sz w:val="17"/>
              </w:rPr>
              <w:t>none</w:t>
            </w:r>
          </w:p>
        </w:tc>
        <w:tc>
          <w:tcPr>
            <w:tcW w:type="dxa" w:w="3202"/>
            <w:tcMar>
              <w:top w:w="55" w:type="dxa"/>
              <w:bottom w:w="55" w:type="dxa"/>
              <w:left w:w="80" w:type="dxa"/>
              <w:right w:w="80" w:type="dxa"/>
            </w:tcMar>
          </w:tcPr>
          <w:p>
            <w:pPr>
              <w:jc w:val="left"/>
            </w:pPr>
            <w:r>
              <w:rPr>
                <w:rFonts w:ascii="Times New Roman" w:hAnsi="Times New Roman"/>
                <w:sz w:val="17"/>
              </w:rPr>
              <w:t>Lists all 19 dynamic scanner plugins, attack descriptions, and profile memberships.</w:t>
            </w:r>
          </w:p>
        </w:tc>
      </w:tr>
    </w:tbl>
    <w:p>
      <w:pPr>
        <w:spacing w:before="20" w:after="60"/>
      </w:pPr>
    </w:p>
    <w:p>
      <w:pPr>
        <w:spacing w:before="30" w:after="40" w:line="252" w:lineRule="auto"/>
        <w:ind w:firstLine="259"/>
        <w:jc w:val="both"/>
      </w:pPr>
      <w:r>
        <w:rPr>
          <w:rFonts w:ascii="Times New Roman" w:hAnsi="Times New Roman"/>
          <w:sz w:val="20"/>
        </w:rPr>
        <w:t>For continuous integration pipelines, AutoSecAudit enforces build gating via the --fail-on parameter (Low, Medium, High, Critical). If any finding meets or exceeds threshold theta, the process returns exit code 1 to halt risky releases. Results are delivered via Server-Sent Events (SSE) to a real-time web dashboard and compiled into ReportLab executive PDF reports.</w:t>
      </w:r>
    </w:p>
    <w:p>
      <w:pPr>
        <w:keepNext/>
        <w:spacing w:before="200" w:after="60"/>
        <w:jc w:val="center"/>
      </w:pPr>
      <w:r>
        <w:rPr>
          <w:rFonts w:ascii="Times New Roman" w:hAnsi="Times New Roman"/>
          <w:b/>
          <w:sz w:val="21"/>
        </w:rPr>
        <w:t>IV.  EXPERIMENTAL EVALUATION AND RESULTS</w:t>
      </w:r>
    </w:p>
    <w:p>
      <w:pPr>
        <w:spacing w:before="30" w:after="40" w:line="252" w:lineRule="auto"/>
        <w:ind w:firstLine="259"/>
        <w:jc w:val="both"/>
      </w:pPr>
      <w:r>
        <w:rPr>
          <w:rFonts w:ascii="Times New Roman" w:hAnsi="Times New Roman"/>
          <w:sz w:val="20"/>
        </w:rPr>
        <w:t>We evaluated AutoSecAudit on an 8-core host (16 GB RAM) running Ubuntu 22.04 LTS against a containerized instance of the OWASP Juice Shop benchmark. Our evaluation answers four research questions: RQ1 (Latency &amp; Concurrency), RQ2 (Accuracy &amp; Alert Noise Reduction), RQ3 (Delta Regression Tracking Fidelity), and RQ4 (System Reliability &amp; Test Suite Coverage).</w:t>
      </w:r>
    </w:p>
    <w:p>
      <w:pPr>
        <w:keepNext/>
        <w:spacing w:before="140" w:after="40"/>
        <w:jc w:val="left"/>
      </w:pPr>
      <w:r>
        <w:rPr>
          <w:rFonts w:ascii="Times New Roman" w:hAnsi="Times New Roman"/>
          <w:b/>
          <w:i/>
          <w:sz w:val="20"/>
        </w:rPr>
        <w:t>A.  Concurrency and Execution Latency (RQ1)</w:t>
      </w:r>
    </w:p>
    <w:p>
      <w:pPr>
        <w:spacing w:before="30" w:after="40" w:line="252" w:lineRule="auto"/>
        <w:ind w:firstLine="259"/>
        <w:jc w:val="both"/>
      </w:pPr>
      <w:r>
        <w:rPr>
          <w:rFonts w:ascii="Times New Roman" w:hAnsi="Times New Roman"/>
          <w:sz w:val="20"/>
        </w:rPr>
        <w:t>We measured total audit latency across worker thread counts (k in {1, 2, 4, 8, 16}). As presented in Table III and Fig. 2, increasing concurrency from sequential execution (k=1) to k=8 reduced scan time from 184.2 s to 64.8 s—a 64.8% reduction in latency (2.84x speedup). Beyond 8 threads, performance leveled off due to network socket I/O serialization on the target host.</w:t>
      </w:r>
    </w:p>
    <w:p>
      <w:pPr>
        <w:keepNext/>
        <w:spacing w:before="160" w:after="50"/>
        <w:jc w:val="center"/>
      </w:pPr>
      <w:r>
        <w:rPr>
          <w:rFonts w:ascii="Times New Roman" w:hAnsi="Times New Roman"/>
          <w:b/>
          <w:sz w:val="19"/>
        </w:rPr>
        <w:t>TABLE III   AUDIT LATENCY ACROSS CONCURRENCY CONFIGURATIONS</w:t>
      </w:r>
    </w:p>
    <w:tbl>
      <w:tblPr>
        <w:tblW w:type="auto" w:w="0"/>
        <w:jc w:val="center"/>
        <w:tblLook w:firstColumn="1" w:firstRow="1" w:lastColumn="0" w:lastRow="0" w:noHBand="0" w:noVBand="1" w:val="04A0"/>
        <w:tblBorders>
          <w:top w:val="single" w:sz="4" w:space="0" w:color="B8C0CC"/>
          <w:bottom w:val="single" w:sz="4" w:space="0" w:color="B8C0CC"/>
          <w:left w:val="none"/>
          <w:right w:val="none"/>
          <w:insideH w:val="single" w:sz="4" w:space="0" w:color="B8C0CC"/>
          <w:insideV w:val="none"/>
        </w:tblBorders>
      </w:tblPr>
      <w:tblGrid>
        <w:gridCol w:w="2401"/>
        <w:gridCol w:w="2401"/>
        <w:gridCol w:w="2401"/>
        <w:gridCol w:w="2401"/>
      </w:tblGrid>
      <w:tr>
        <w:tc>
          <w:tcPr>
            <w:tcW w:type="dxa" w:w="2401"/>
            <w:tcMar>
              <w:top w:w="65" w:type="dxa"/>
              <w:bottom w:w="65" w:type="dxa"/>
              <w:left w:w="80" w:type="dxa"/>
              <w:right w:w="80" w:type="dxa"/>
            </w:tcMar>
            <w:shd w:fill="E2E8F0"/>
          </w:tcPr>
          <w:p>
            <w:pPr>
              <w:jc w:val="center"/>
            </w:pPr>
            <w:r>
              <w:rPr>
                <w:rFonts w:ascii="Times New Roman" w:hAnsi="Times New Roman"/>
                <w:b/>
                <w:sz w:val="17"/>
              </w:rPr>
              <w:t>Worker Threads (k)</w:t>
            </w:r>
          </w:p>
        </w:tc>
        <w:tc>
          <w:tcPr>
            <w:tcW w:type="dxa" w:w="2401"/>
            <w:tcMar>
              <w:top w:w="65" w:type="dxa"/>
              <w:bottom w:w="65" w:type="dxa"/>
              <w:left w:w="80" w:type="dxa"/>
              <w:right w:w="80" w:type="dxa"/>
            </w:tcMar>
            <w:shd w:fill="E2E8F0"/>
          </w:tcPr>
          <w:p>
            <w:pPr>
              <w:jc w:val="center"/>
            </w:pPr>
            <w:r>
              <w:rPr>
                <w:rFonts w:ascii="Times New Roman" w:hAnsi="Times New Roman"/>
                <w:b/>
                <w:sz w:val="17"/>
              </w:rPr>
              <w:t>Scan Duration (s)</w:t>
            </w:r>
          </w:p>
        </w:tc>
        <w:tc>
          <w:tcPr>
            <w:tcW w:type="dxa" w:w="2401"/>
            <w:tcMar>
              <w:top w:w="65" w:type="dxa"/>
              <w:bottom w:w="65" w:type="dxa"/>
              <w:left w:w="80" w:type="dxa"/>
              <w:right w:w="80" w:type="dxa"/>
            </w:tcMar>
            <w:shd w:fill="E2E8F0"/>
          </w:tcPr>
          <w:p>
            <w:pPr>
              <w:jc w:val="center"/>
            </w:pPr>
            <w:r>
              <w:rPr>
                <w:rFonts w:ascii="Times New Roman" w:hAnsi="Times New Roman"/>
                <w:b/>
                <w:sz w:val="17"/>
              </w:rPr>
              <w:t>Speedup</w:t>
            </w:r>
          </w:p>
        </w:tc>
        <w:tc>
          <w:tcPr>
            <w:tcW w:type="dxa" w:w="2401"/>
            <w:tcMar>
              <w:top w:w="65" w:type="dxa"/>
              <w:bottom w:w="65" w:type="dxa"/>
              <w:left w:w="80" w:type="dxa"/>
              <w:right w:w="80" w:type="dxa"/>
            </w:tcMar>
            <w:shd w:fill="E2E8F0"/>
          </w:tcPr>
          <w:p>
            <w:pPr>
              <w:jc w:val="center"/>
            </w:pPr>
            <w:r>
              <w:rPr>
                <w:rFonts w:ascii="Times New Roman" w:hAnsi="Times New Roman"/>
                <w:b/>
                <w:sz w:val="17"/>
              </w:rPr>
              <w:t>CPU Utilization (%)</w:t>
            </w:r>
          </w:p>
        </w:tc>
      </w:tr>
      <w:tr>
        <w:tc>
          <w:tcPr>
            <w:tcW w:type="dxa" w:w="2401"/>
            <w:tcMar>
              <w:top w:w="55" w:type="dxa"/>
              <w:bottom w:w="55" w:type="dxa"/>
              <w:left w:w="80" w:type="dxa"/>
              <w:right w:w="80" w:type="dxa"/>
            </w:tcMar>
          </w:tcPr>
          <w:p>
            <w:pPr>
              <w:jc w:val="left"/>
            </w:pPr>
            <w:r>
              <w:rPr>
                <w:rFonts w:ascii="Times New Roman" w:hAnsi="Times New Roman"/>
                <w:sz w:val="17"/>
              </w:rPr>
              <w:t>1 (Sequential)</w:t>
            </w:r>
          </w:p>
        </w:tc>
        <w:tc>
          <w:tcPr>
            <w:tcW w:type="dxa" w:w="2401"/>
            <w:tcMar>
              <w:top w:w="55" w:type="dxa"/>
              <w:bottom w:w="55" w:type="dxa"/>
              <w:left w:w="80" w:type="dxa"/>
              <w:right w:w="80" w:type="dxa"/>
            </w:tcMar>
          </w:tcPr>
          <w:p>
            <w:pPr>
              <w:jc w:val="center"/>
            </w:pPr>
            <w:r>
              <w:rPr>
                <w:rFonts w:ascii="Times New Roman" w:hAnsi="Times New Roman"/>
                <w:sz w:val="17"/>
              </w:rPr>
              <w:t>184.2 s</w:t>
            </w:r>
          </w:p>
        </w:tc>
        <w:tc>
          <w:tcPr>
            <w:tcW w:type="dxa" w:w="2401"/>
            <w:tcMar>
              <w:top w:w="55" w:type="dxa"/>
              <w:bottom w:w="55" w:type="dxa"/>
              <w:left w:w="80" w:type="dxa"/>
              <w:right w:w="80" w:type="dxa"/>
            </w:tcMar>
          </w:tcPr>
          <w:p>
            <w:pPr>
              <w:jc w:val="center"/>
            </w:pPr>
            <w:r>
              <w:rPr>
                <w:rFonts w:ascii="Times New Roman" w:hAnsi="Times New Roman"/>
                <w:sz w:val="17"/>
              </w:rPr>
              <w:t>1.00x</w:t>
            </w:r>
          </w:p>
        </w:tc>
        <w:tc>
          <w:tcPr>
            <w:tcW w:type="dxa" w:w="2401"/>
            <w:tcMar>
              <w:top w:w="55" w:type="dxa"/>
              <w:bottom w:w="55" w:type="dxa"/>
              <w:left w:w="80" w:type="dxa"/>
              <w:right w:w="80" w:type="dxa"/>
            </w:tcMar>
          </w:tcPr>
          <w:p>
            <w:pPr>
              <w:jc w:val="center"/>
            </w:pPr>
            <w:r>
              <w:rPr>
                <w:rFonts w:ascii="Times New Roman" w:hAnsi="Times New Roman"/>
                <w:sz w:val="17"/>
              </w:rPr>
              <w:t>14.2%</w:t>
            </w:r>
          </w:p>
        </w:tc>
      </w:tr>
      <w:tr>
        <w:tc>
          <w:tcPr>
            <w:tcW w:type="dxa" w:w="2401"/>
            <w:tcMar>
              <w:top w:w="55" w:type="dxa"/>
              <w:bottom w:w="55" w:type="dxa"/>
              <w:left w:w="80" w:type="dxa"/>
              <w:right w:w="80" w:type="dxa"/>
            </w:tcMar>
          </w:tcPr>
          <w:p>
            <w:pPr>
              <w:jc w:val="left"/>
            </w:pPr>
            <w:r>
              <w:rPr>
                <w:rFonts w:ascii="Times New Roman" w:hAnsi="Times New Roman"/>
                <w:sz w:val="17"/>
              </w:rPr>
              <w:t>2</w:t>
            </w:r>
          </w:p>
        </w:tc>
        <w:tc>
          <w:tcPr>
            <w:tcW w:type="dxa" w:w="2401"/>
            <w:tcMar>
              <w:top w:w="55" w:type="dxa"/>
              <w:bottom w:w="55" w:type="dxa"/>
              <w:left w:w="80" w:type="dxa"/>
              <w:right w:w="80" w:type="dxa"/>
            </w:tcMar>
          </w:tcPr>
          <w:p>
            <w:pPr>
              <w:jc w:val="center"/>
            </w:pPr>
            <w:r>
              <w:rPr>
                <w:rFonts w:ascii="Times New Roman" w:hAnsi="Times New Roman"/>
                <w:sz w:val="17"/>
              </w:rPr>
              <w:t>102.5 s</w:t>
            </w:r>
          </w:p>
        </w:tc>
        <w:tc>
          <w:tcPr>
            <w:tcW w:type="dxa" w:w="2401"/>
            <w:tcMar>
              <w:top w:w="55" w:type="dxa"/>
              <w:bottom w:w="55" w:type="dxa"/>
              <w:left w:w="80" w:type="dxa"/>
              <w:right w:w="80" w:type="dxa"/>
            </w:tcMar>
          </w:tcPr>
          <w:p>
            <w:pPr>
              <w:jc w:val="center"/>
            </w:pPr>
            <w:r>
              <w:rPr>
                <w:rFonts w:ascii="Times New Roman" w:hAnsi="Times New Roman"/>
                <w:sz w:val="17"/>
              </w:rPr>
              <w:t>1.80x</w:t>
            </w:r>
          </w:p>
        </w:tc>
        <w:tc>
          <w:tcPr>
            <w:tcW w:type="dxa" w:w="2401"/>
            <w:tcMar>
              <w:top w:w="55" w:type="dxa"/>
              <w:bottom w:w="55" w:type="dxa"/>
              <w:left w:w="80" w:type="dxa"/>
              <w:right w:w="80" w:type="dxa"/>
            </w:tcMar>
          </w:tcPr>
          <w:p>
            <w:pPr>
              <w:jc w:val="center"/>
            </w:pPr>
            <w:r>
              <w:rPr>
                <w:rFonts w:ascii="Times New Roman" w:hAnsi="Times New Roman"/>
                <w:sz w:val="17"/>
              </w:rPr>
              <w:t>27.8%</w:t>
            </w:r>
          </w:p>
        </w:tc>
      </w:tr>
      <w:tr>
        <w:tc>
          <w:tcPr>
            <w:tcW w:type="dxa" w:w="2401"/>
            <w:tcMar>
              <w:top w:w="55" w:type="dxa"/>
              <w:bottom w:w="55" w:type="dxa"/>
              <w:left w:w="80" w:type="dxa"/>
              <w:right w:w="80" w:type="dxa"/>
            </w:tcMar>
          </w:tcPr>
          <w:p>
            <w:pPr>
              <w:jc w:val="left"/>
            </w:pPr>
            <w:r>
              <w:rPr>
                <w:rFonts w:ascii="Times New Roman" w:hAnsi="Times New Roman"/>
                <w:sz w:val="17"/>
              </w:rPr>
              <w:t>4</w:t>
            </w:r>
          </w:p>
        </w:tc>
        <w:tc>
          <w:tcPr>
            <w:tcW w:type="dxa" w:w="2401"/>
            <w:tcMar>
              <w:top w:w="55" w:type="dxa"/>
              <w:bottom w:w="55" w:type="dxa"/>
              <w:left w:w="80" w:type="dxa"/>
              <w:right w:w="80" w:type="dxa"/>
            </w:tcMar>
          </w:tcPr>
          <w:p>
            <w:pPr>
              <w:jc w:val="center"/>
            </w:pPr>
            <w:r>
              <w:rPr>
                <w:rFonts w:ascii="Times New Roman" w:hAnsi="Times New Roman"/>
                <w:sz w:val="17"/>
              </w:rPr>
              <w:t>71.4 s</w:t>
            </w:r>
          </w:p>
        </w:tc>
        <w:tc>
          <w:tcPr>
            <w:tcW w:type="dxa" w:w="2401"/>
            <w:tcMar>
              <w:top w:w="55" w:type="dxa"/>
              <w:bottom w:w="55" w:type="dxa"/>
              <w:left w:w="80" w:type="dxa"/>
              <w:right w:w="80" w:type="dxa"/>
            </w:tcMar>
          </w:tcPr>
          <w:p>
            <w:pPr>
              <w:jc w:val="center"/>
            </w:pPr>
            <w:r>
              <w:rPr>
                <w:rFonts w:ascii="Times New Roman" w:hAnsi="Times New Roman"/>
                <w:sz w:val="17"/>
              </w:rPr>
              <w:t>2.58x</w:t>
            </w:r>
          </w:p>
        </w:tc>
        <w:tc>
          <w:tcPr>
            <w:tcW w:type="dxa" w:w="2401"/>
            <w:tcMar>
              <w:top w:w="55" w:type="dxa"/>
              <w:bottom w:w="55" w:type="dxa"/>
              <w:left w:w="80" w:type="dxa"/>
              <w:right w:w="80" w:type="dxa"/>
            </w:tcMar>
          </w:tcPr>
          <w:p>
            <w:pPr>
              <w:jc w:val="center"/>
            </w:pPr>
            <w:r>
              <w:rPr>
                <w:rFonts w:ascii="Times New Roman" w:hAnsi="Times New Roman"/>
                <w:sz w:val="17"/>
              </w:rPr>
              <w:t>51.3%</w:t>
            </w:r>
          </w:p>
        </w:tc>
      </w:tr>
      <w:tr>
        <w:tc>
          <w:tcPr>
            <w:tcW w:type="dxa" w:w="2401"/>
            <w:tcMar>
              <w:top w:w="55" w:type="dxa"/>
              <w:bottom w:w="55" w:type="dxa"/>
              <w:left w:w="80" w:type="dxa"/>
              <w:right w:w="80" w:type="dxa"/>
            </w:tcMar>
            <w:shd w:fill="FEF3C7"/>
          </w:tcPr>
          <w:p>
            <w:pPr>
              <w:jc w:val="left"/>
            </w:pPr>
            <w:r>
              <w:rPr>
                <w:rFonts w:ascii="Times New Roman" w:hAnsi="Times New Roman"/>
                <w:b/>
                <w:sz w:val="17"/>
              </w:rPr>
              <w:t>8 (Optimal)</w:t>
            </w:r>
          </w:p>
        </w:tc>
        <w:tc>
          <w:tcPr>
            <w:tcW w:type="dxa" w:w="2401"/>
            <w:tcMar>
              <w:top w:w="55" w:type="dxa"/>
              <w:bottom w:w="55" w:type="dxa"/>
              <w:left w:w="80" w:type="dxa"/>
              <w:right w:w="80" w:type="dxa"/>
            </w:tcMar>
            <w:shd w:fill="FEF3C7"/>
          </w:tcPr>
          <w:p>
            <w:pPr>
              <w:jc w:val="center"/>
            </w:pPr>
            <w:r>
              <w:rPr>
                <w:rFonts w:ascii="Times New Roman" w:hAnsi="Times New Roman"/>
                <w:b/>
                <w:sz w:val="17"/>
              </w:rPr>
              <w:t>64.8 s</w:t>
            </w:r>
          </w:p>
        </w:tc>
        <w:tc>
          <w:tcPr>
            <w:tcW w:type="dxa" w:w="2401"/>
            <w:tcMar>
              <w:top w:w="55" w:type="dxa"/>
              <w:bottom w:w="55" w:type="dxa"/>
              <w:left w:w="80" w:type="dxa"/>
              <w:right w:w="80" w:type="dxa"/>
            </w:tcMar>
            <w:shd w:fill="FEF3C7"/>
          </w:tcPr>
          <w:p>
            <w:pPr>
              <w:jc w:val="center"/>
            </w:pPr>
            <w:r>
              <w:rPr>
                <w:rFonts w:ascii="Times New Roman" w:hAnsi="Times New Roman"/>
                <w:b/>
                <w:sz w:val="17"/>
              </w:rPr>
              <w:t>2.84x</w:t>
            </w:r>
          </w:p>
        </w:tc>
        <w:tc>
          <w:tcPr>
            <w:tcW w:type="dxa" w:w="2401"/>
            <w:tcMar>
              <w:top w:w="55" w:type="dxa"/>
              <w:bottom w:w="55" w:type="dxa"/>
              <w:left w:w="80" w:type="dxa"/>
              <w:right w:w="80" w:type="dxa"/>
            </w:tcMar>
            <w:shd w:fill="FEF3C7"/>
          </w:tcPr>
          <w:p>
            <w:pPr>
              <w:jc w:val="center"/>
            </w:pPr>
            <w:r>
              <w:rPr>
                <w:rFonts w:ascii="Times New Roman" w:hAnsi="Times New Roman"/>
                <w:b/>
                <w:sz w:val="17"/>
              </w:rPr>
              <w:t>78.4%</w:t>
            </w:r>
          </w:p>
        </w:tc>
      </w:tr>
      <w:tr>
        <w:tc>
          <w:tcPr>
            <w:tcW w:type="dxa" w:w="2401"/>
            <w:tcMar>
              <w:top w:w="55" w:type="dxa"/>
              <w:bottom w:w="55" w:type="dxa"/>
              <w:left w:w="80" w:type="dxa"/>
              <w:right w:w="80" w:type="dxa"/>
            </w:tcMar>
          </w:tcPr>
          <w:p>
            <w:pPr>
              <w:jc w:val="left"/>
            </w:pPr>
            <w:r>
              <w:rPr>
                <w:rFonts w:ascii="Times New Roman" w:hAnsi="Times New Roman"/>
                <w:sz w:val="17"/>
              </w:rPr>
              <w:t>16</w:t>
            </w:r>
          </w:p>
        </w:tc>
        <w:tc>
          <w:tcPr>
            <w:tcW w:type="dxa" w:w="2401"/>
            <w:tcMar>
              <w:top w:w="55" w:type="dxa"/>
              <w:bottom w:w="55" w:type="dxa"/>
              <w:left w:w="80" w:type="dxa"/>
              <w:right w:w="80" w:type="dxa"/>
            </w:tcMar>
          </w:tcPr>
          <w:p>
            <w:pPr>
              <w:jc w:val="center"/>
            </w:pPr>
            <w:r>
              <w:rPr>
                <w:rFonts w:ascii="Times New Roman" w:hAnsi="Times New Roman"/>
                <w:sz w:val="17"/>
              </w:rPr>
              <w:t>66.1 s</w:t>
            </w:r>
          </w:p>
        </w:tc>
        <w:tc>
          <w:tcPr>
            <w:tcW w:type="dxa" w:w="2401"/>
            <w:tcMar>
              <w:top w:w="55" w:type="dxa"/>
              <w:bottom w:w="55" w:type="dxa"/>
              <w:left w:w="80" w:type="dxa"/>
              <w:right w:w="80" w:type="dxa"/>
            </w:tcMar>
          </w:tcPr>
          <w:p>
            <w:pPr>
              <w:jc w:val="center"/>
            </w:pPr>
            <w:r>
              <w:rPr>
                <w:rFonts w:ascii="Times New Roman" w:hAnsi="Times New Roman"/>
                <w:sz w:val="17"/>
              </w:rPr>
              <w:t>2.79x</w:t>
            </w:r>
          </w:p>
        </w:tc>
        <w:tc>
          <w:tcPr>
            <w:tcW w:type="dxa" w:w="2401"/>
            <w:tcMar>
              <w:top w:w="55" w:type="dxa"/>
              <w:bottom w:w="55" w:type="dxa"/>
              <w:left w:w="80" w:type="dxa"/>
              <w:right w:w="80" w:type="dxa"/>
            </w:tcMar>
          </w:tcPr>
          <w:p>
            <w:pPr>
              <w:jc w:val="center"/>
            </w:pPr>
            <w:r>
              <w:rPr>
                <w:rFonts w:ascii="Times New Roman" w:hAnsi="Times New Roman"/>
                <w:sz w:val="17"/>
              </w:rPr>
              <w:t>82.1%</w:t>
            </w:r>
          </w:p>
        </w:tc>
      </w:tr>
    </w:tbl>
    <w:p>
      <w:pPr>
        <w:spacing w:before="20" w:after="60"/>
      </w:pPr>
    </w:p>
    <w:p>
      <w:pPr>
        <w:keepNext/>
        <w:spacing w:before="120" w:after="40"/>
        <w:jc w:val="center"/>
      </w:pPr>
      <w:r>
        <w:drawing>
          <wp:inline xmlns:a="http://schemas.openxmlformats.org/drawingml/2006/main" xmlns:pic="http://schemas.openxmlformats.org/drawingml/2006/picture">
            <wp:extent cx="4114800" cy="2408526"/>
            <wp:docPr id="2" name="Picture 2"/>
            <wp:cNvGraphicFramePr>
              <a:graphicFrameLocks noChangeAspect="1"/>
            </wp:cNvGraphicFramePr>
            <a:graphic>
              <a:graphicData uri="http://schemas.openxmlformats.org/drawingml/2006/picture">
                <pic:pic>
                  <pic:nvPicPr>
                    <pic:cNvPr id="0" name="fig2_latency.png"/>
                    <pic:cNvPicPr/>
                  </pic:nvPicPr>
                  <pic:blipFill>
                    <a:blip r:embed="rId10"/>
                    <a:stretch>
                      <a:fillRect/>
                    </a:stretch>
                  </pic:blipFill>
                  <pic:spPr>
                    <a:xfrm>
                      <a:off x="0" y="0"/>
                      <a:ext cx="4114800" cy="2408526"/>
                    </a:xfrm>
                    <a:prstGeom prst="rect"/>
                  </pic:spPr>
                </pic:pic>
              </a:graphicData>
            </a:graphic>
          </wp:inline>
        </w:drawing>
      </w:r>
    </w:p>
    <w:p>
      <w:pPr>
        <w:spacing w:before="30" w:after="120" w:line="242" w:lineRule="auto"/>
        <w:jc w:val="both"/>
      </w:pPr>
      <w:r>
        <w:rPr>
          <w:rFonts w:ascii="Times New Roman" w:hAnsi="Times New Roman"/>
          <w:sz w:val="18"/>
        </w:rPr>
        <w:t>Fig. 2.  Audit execution latency and relative speedup across worker thread allocations (k in {1, 2, 4, 8, 16}).</w:t>
      </w:r>
    </w:p>
    <w:p>
      <w:pPr>
        <w:keepNext/>
        <w:spacing w:before="140" w:after="40"/>
        <w:jc w:val="left"/>
      </w:pPr>
      <w:r>
        <w:rPr>
          <w:rFonts w:ascii="Times New Roman" w:hAnsi="Times New Roman"/>
          <w:b/>
          <w:i/>
          <w:sz w:val="20"/>
        </w:rPr>
        <w:t>B.  Detection Accuracy and Noise Reduction (RQ2)</w:t>
      </w:r>
    </w:p>
    <w:p>
      <w:pPr>
        <w:spacing w:before="30" w:after="40" w:line="252" w:lineRule="auto"/>
        <w:ind w:firstLine="259"/>
        <w:jc w:val="both"/>
      </w:pPr>
      <w:r>
        <w:rPr>
          <w:rFonts w:ascii="Times New Roman" w:hAnsi="Times New Roman"/>
          <w:sz w:val="20"/>
        </w:rPr>
        <w:t>To evaluate detection accuracy, we audited the benchmark application and cross-referenced findings against ground-truth challenge definitions [10]. Table IV details results across all 19 plugins grouped into major vulnerability classifications.</w:t>
      </w:r>
    </w:p>
    <w:p>
      <w:pPr>
        <w:keepNext/>
        <w:spacing w:before="160" w:after="50"/>
        <w:jc w:val="center"/>
      </w:pPr>
      <w:r>
        <w:rPr>
          <w:rFonts w:ascii="Times New Roman" w:hAnsi="Times New Roman"/>
          <w:b/>
          <w:sz w:val="19"/>
        </w:rPr>
        <w:t>TABLE IV   VULNERABILITY DETECTION AND CORRELATION METRICS ACROSS 19 PLUGINS</w:t>
      </w:r>
    </w:p>
    <w:tbl>
      <w:tblPr>
        <w:tblW w:type="auto" w:w="0"/>
        <w:jc w:val="center"/>
        <w:tblLook w:firstColumn="1" w:firstRow="1" w:lastColumn="0" w:lastRow="0" w:noHBand="0" w:noVBand="1" w:val="04A0"/>
        <w:tblBorders>
          <w:top w:val="single" w:sz="4" w:space="0" w:color="B8C0CC"/>
          <w:bottom w:val="single" w:sz="4" w:space="0" w:color="B8C0CC"/>
          <w:left w:val="none"/>
          <w:right w:val="none"/>
          <w:insideH w:val="single" w:sz="4" w:space="0" w:color="B8C0CC"/>
          <w:insideV w:val="none"/>
        </w:tblBorders>
      </w:tblPr>
      <w:tblGrid>
        <w:gridCol w:w="1921"/>
        <w:gridCol w:w="1921"/>
        <w:gridCol w:w="1921"/>
        <w:gridCol w:w="1921"/>
        <w:gridCol w:w="1921"/>
      </w:tblGrid>
      <w:tr>
        <w:tc>
          <w:tcPr>
            <w:tcW w:type="dxa" w:w="1921"/>
            <w:tcMar>
              <w:top w:w="65" w:type="dxa"/>
              <w:bottom w:w="65" w:type="dxa"/>
              <w:left w:w="80" w:type="dxa"/>
              <w:right w:w="80" w:type="dxa"/>
            </w:tcMar>
            <w:shd w:fill="E2E8F0"/>
          </w:tcPr>
          <w:p>
            <w:pPr>
              <w:jc w:val="center"/>
            </w:pPr>
            <w:r>
              <w:rPr>
                <w:rFonts w:ascii="Times New Roman" w:hAnsi="Times New Roman"/>
                <w:b/>
                <w:sz w:val="17"/>
              </w:rPr>
              <w:t>Vulnerability Class (Active Plugins)</w:t>
            </w:r>
          </w:p>
        </w:tc>
        <w:tc>
          <w:tcPr>
            <w:tcW w:type="dxa" w:w="1921"/>
            <w:tcMar>
              <w:top w:w="65" w:type="dxa"/>
              <w:bottom w:w="65" w:type="dxa"/>
              <w:left w:w="80" w:type="dxa"/>
              <w:right w:w="80" w:type="dxa"/>
            </w:tcMar>
            <w:shd w:fill="E2E8F0"/>
          </w:tcPr>
          <w:p>
            <w:pPr>
              <w:jc w:val="center"/>
            </w:pPr>
            <w:r>
              <w:rPr>
                <w:rFonts w:ascii="Times New Roman" w:hAnsi="Times New Roman"/>
                <w:b/>
                <w:sz w:val="17"/>
              </w:rPr>
              <w:t>True Positives (TP)</w:t>
            </w:r>
          </w:p>
        </w:tc>
        <w:tc>
          <w:tcPr>
            <w:tcW w:type="dxa" w:w="1921"/>
            <w:tcMar>
              <w:top w:w="65" w:type="dxa"/>
              <w:bottom w:w="65" w:type="dxa"/>
              <w:left w:w="80" w:type="dxa"/>
              <w:right w:w="80" w:type="dxa"/>
            </w:tcMar>
            <w:shd w:fill="E2E8F0"/>
          </w:tcPr>
          <w:p>
            <w:pPr>
              <w:jc w:val="center"/>
            </w:pPr>
            <w:r>
              <w:rPr>
                <w:rFonts w:ascii="Times New Roman" w:hAnsi="Times New Roman"/>
                <w:b/>
                <w:sz w:val="17"/>
              </w:rPr>
              <w:t>False Positives (FP)</w:t>
            </w:r>
          </w:p>
        </w:tc>
        <w:tc>
          <w:tcPr>
            <w:tcW w:type="dxa" w:w="1921"/>
            <w:tcMar>
              <w:top w:w="65" w:type="dxa"/>
              <w:bottom w:w="65" w:type="dxa"/>
              <w:left w:w="80" w:type="dxa"/>
              <w:right w:w="80" w:type="dxa"/>
            </w:tcMar>
            <w:shd w:fill="E2E8F0"/>
          </w:tcPr>
          <w:p>
            <w:pPr>
              <w:jc w:val="center"/>
            </w:pPr>
            <w:r>
              <w:rPr>
                <w:rFonts w:ascii="Times New Roman" w:hAnsi="Times New Roman"/>
                <w:b/>
                <w:sz w:val="17"/>
              </w:rPr>
              <w:t>Raw Alerts</w:t>
            </w:r>
          </w:p>
        </w:tc>
        <w:tc>
          <w:tcPr>
            <w:tcW w:type="dxa" w:w="1921"/>
            <w:tcMar>
              <w:top w:w="65" w:type="dxa"/>
              <w:bottom w:w="65" w:type="dxa"/>
              <w:left w:w="80" w:type="dxa"/>
              <w:right w:w="80" w:type="dxa"/>
            </w:tcMar>
            <w:shd w:fill="E2E8F0"/>
          </w:tcPr>
          <w:p>
            <w:pPr>
              <w:jc w:val="center"/>
            </w:pPr>
            <w:r>
              <w:rPr>
                <w:rFonts w:ascii="Times New Roman" w:hAnsi="Times New Roman"/>
                <w:b/>
                <w:sz w:val="17"/>
              </w:rPr>
              <w:t>Correlated Findings</w:t>
            </w:r>
          </w:p>
        </w:tc>
      </w:tr>
      <w:tr>
        <w:tc>
          <w:tcPr>
            <w:tcW w:type="dxa" w:w="1921"/>
            <w:tcMar>
              <w:top w:w="55" w:type="dxa"/>
              <w:bottom w:w="55" w:type="dxa"/>
              <w:left w:w="80" w:type="dxa"/>
              <w:right w:w="80" w:type="dxa"/>
            </w:tcMar>
          </w:tcPr>
          <w:p>
            <w:pPr>
              <w:jc w:val="left"/>
            </w:pPr>
            <w:r>
              <w:rPr>
                <w:rFonts w:ascii="Times New Roman" w:hAnsi="Times New Roman"/>
                <w:sz w:val="17"/>
              </w:rPr>
              <w:t>Injection (SQLi, CmdInj, SSTI, OpenRedirect)</w:t>
            </w:r>
          </w:p>
        </w:tc>
        <w:tc>
          <w:tcPr>
            <w:tcW w:type="dxa" w:w="1921"/>
            <w:tcMar>
              <w:top w:w="55" w:type="dxa"/>
              <w:bottom w:w="55" w:type="dxa"/>
              <w:left w:w="80" w:type="dxa"/>
              <w:right w:w="80" w:type="dxa"/>
            </w:tcMar>
          </w:tcPr>
          <w:p>
            <w:pPr>
              <w:jc w:val="center"/>
            </w:pPr>
            <w:r>
              <w:rPr>
                <w:rFonts w:ascii="Times New Roman" w:hAnsi="Times New Roman"/>
                <w:sz w:val="17"/>
              </w:rPr>
              <w:t>8</w:t>
            </w:r>
          </w:p>
        </w:tc>
        <w:tc>
          <w:tcPr>
            <w:tcW w:type="dxa" w:w="1921"/>
            <w:tcMar>
              <w:top w:w="55" w:type="dxa"/>
              <w:bottom w:w="55" w:type="dxa"/>
              <w:left w:w="80" w:type="dxa"/>
              <w:right w:w="80" w:type="dxa"/>
            </w:tcMar>
          </w:tcPr>
          <w:p>
            <w:pPr>
              <w:jc w:val="center"/>
            </w:pPr>
            <w:r>
              <w:rPr>
                <w:rFonts w:ascii="Times New Roman" w:hAnsi="Times New Roman"/>
                <w:sz w:val="17"/>
              </w:rPr>
              <w:t>0</w:t>
            </w:r>
          </w:p>
        </w:tc>
        <w:tc>
          <w:tcPr>
            <w:tcW w:type="dxa" w:w="1921"/>
            <w:tcMar>
              <w:top w:w="55" w:type="dxa"/>
              <w:bottom w:w="55" w:type="dxa"/>
              <w:left w:w="80" w:type="dxa"/>
              <w:right w:w="80" w:type="dxa"/>
            </w:tcMar>
          </w:tcPr>
          <w:p>
            <w:pPr>
              <w:jc w:val="center"/>
            </w:pPr>
            <w:r>
              <w:rPr>
                <w:rFonts w:ascii="Times New Roman" w:hAnsi="Times New Roman"/>
                <w:sz w:val="17"/>
              </w:rPr>
              <w:t>14</w:t>
            </w:r>
          </w:p>
        </w:tc>
        <w:tc>
          <w:tcPr>
            <w:tcW w:type="dxa" w:w="1921"/>
            <w:tcMar>
              <w:top w:w="55" w:type="dxa"/>
              <w:bottom w:w="55" w:type="dxa"/>
              <w:left w:w="80" w:type="dxa"/>
              <w:right w:w="80" w:type="dxa"/>
            </w:tcMar>
          </w:tcPr>
          <w:p>
            <w:pPr>
              <w:jc w:val="center"/>
            </w:pPr>
            <w:r>
              <w:rPr>
                <w:rFonts w:ascii="Times New Roman" w:hAnsi="Times New Roman"/>
                <w:sz w:val="17"/>
              </w:rPr>
              <w:t>8</w:t>
            </w:r>
          </w:p>
        </w:tc>
      </w:tr>
      <w:tr>
        <w:tc>
          <w:tcPr>
            <w:tcW w:type="dxa" w:w="1921"/>
            <w:tcMar>
              <w:top w:w="55" w:type="dxa"/>
              <w:bottom w:w="55" w:type="dxa"/>
              <w:left w:w="80" w:type="dxa"/>
              <w:right w:w="80" w:type="dxa"/>
            </w:tcMar>
          </w:tcPr>
          <w:p>
            <w:pPr>
              <w:jc w:val="left"/>
            </w:pPr>
            <w:r>
              <w:rPr>
                <w:rFonts w:ascii="Times New Roman" w:hAnsi="Times New Roman"/>
                <w:sz w:val="17"/>
              </w:rPr>
              <w:t>Cross-Site Scripting (XSSScanner, CSRFScanner)</w:t>
            </w:r>
          </w:p>
        </w:tc>
        <w:tc>
          <w:tcPr>
            <w:tcW w:type="dxa" w:w="1921"/>
            <w:tcMar>
              <w:top w:w="55" w:type="dxa"/>
              <w:bottom w:w="55" w:type="dxa"/>
              <w:left w:w="80" w:type="dxa"/>
              <w:right w:w="80" w:type="dxa"/>
            </w:tcMar>
          </w:tcPr>
          <w:p>
            <w:pPr>
              <w:jc w:val="center"/>
            </w:pPr>
            <w:r>
              <w:rPr>
                <w:rFonts w:ascii="Times New Roman" w:hAnsi="Times New Roman"/>
                <w:sz w:val="17"/>
              </w:rPr>
              <w:t>12</w:t>
            </w:r>
          </w:p>
        </w:tc>
        <w:tc>
          <w:tcPr>
            <w:tcW w:type="dxa" w:w="1921"/>
            <w:tcMar>
              <w:top w:w="55" w:type="dxa"/>
              <w:bottom w:w="55" w:type="dxa"/>
              <w:left w:w="80" w:type="dxa"/>
              <w:right w:w="80" w:type="dxa"/>
            </w:tcMar>
          </w:tcPr>
          <w:p>
            <w:pPr>
              <w:jc w:val="center"/>
            </w:pPr>
            <w:r>
              <w:rPr>
                <w:rFonts w:ascii="Times New Roman" w:hAnsi="Times New Roman"/>
                <w:sz w:val="17"/>
              </w:rPr>
              <w:t>1</w:t>
            </w:r>
          </w:p>
        </w:tc>
        <w:tc>
          <w:tcPr>
            <w:tcW w:type="dxa" w:w="1921"/>
            <w:tcMar>
              <w:top w:w="55" w:type="dxa"/>
              <w:bottom w:w="55" w:type="dxa"/>
              <w:left w:w="80" w:type="dxa"/>
              <w:right w:w="80" w:type="dxa"/>
            </w:tcMar>
          </w:tcPr>
          <w:p>
            <w:pPr>
              <w:jc w:val="center"/>
            </w:pPr>
            <w:r>
              <w:rPr>
                <w:rFonts w:ascii="Times New Roman" w:hAnsi="Times New Roman"/>
                <w:sz w:val="17"/>
              </w:rPr>
              <w:t>19</w:t>
            </w:r>
          </w:p>
        </w:tc>
        <w:tc>
          <w:tcPr>
            <w:tcW w:type="dxa" w:w="1921"/>
            <w:tcMar>
              <w:top w:w="55" w:type="dxa"/>
              <w:bottom w:w="55" w:type="dxa"/>
              <w:left w:w="80" w:type="dxa"/>
              <w:right w:w="80" w:type="dxa"/>
            </w:tcMar>
          </w:tcPr>
          <w:p>
            <w:pPr>
              <w:jc w:val="center"/>
            </w:pPr>
            <w:r>
              <w:rPr>
                <w:rFonts w:ascii="Times New Roman" w:hAnsi="Times New Roman"/>
                <w:sz w:val="17"/>
              </w:rPr>
              <w:t>13</w:t>
            </w:r>
          </w:p>
        </w:tc>
      </w:tr>
      <w:tr>
        <w:tc>
          <w:tcPr>
            <w:tcW w:type="dxa" w:w="1921"/>
            <w:tcMar>
              <w:top w:w="55" w:type="dxa"/>
              <w:bottom w:w="55" w:type="dxa"/>
              <w:left w:w="80" w:type="dxa"/>
              <w:right w:w="80" w:type="dxa"/>
            </w:tcMar>
          </w:tcPr>
          <w:p>
            <w:pPr>
              <w:jc w:val="left"/>
            </w:pPr>
            <w:r>
              <w:rPr>
                <w:rFonts w:ascii="Times New Roman" w:hAnsi="Times New Roman"/>
                <w:sz w:val="17"/>
              </w:rPr>
              <w:t>Misconfig &amp; Recon (Misconfig, DirBrute, Nikto, Nmap, TLS, Secrets)</w:t>
            </w:r>
          </w:p>
        </w:tc>
        <w:tc>
          <w:tcPr>
            <w:tcW w:type="dxa" w:w="1921"/>
            <w:tcMar>
              <w:top w:w="55" w:type="dxa"/>
              <w:bottom w:w="55" w:type="dxa"/>
              <w:left w:w="80" w:type="dxa"/>
              <w:right w:w="80" w:type="dxa"/>
            </w:tcMar>
          </w:tcPr>
          <w:p>
            <w:pPr>
              <w:jc w:val="center"/>
            </w:pPr>
            <w:r>
              <w:rPr>
                <w:rFonts w:ascii="Times New Roman" w:hAnsi="Times New Roman"/>
                <w:sz w:val="17"/>
              </w:rPr>
              <w:t>15</w:t>
            </w:r>
          </w:p>
        </w:tc>
        <w:tc>
          <w:tcPr>
            <w:tcW w:type="dxa" w:w="1921"/>
            <w:tcMar>
              <w:top w:w="55" w:type="dxa"/>
              <w:bottom w:w="55" w:type="dxa"/>
              <w:left w:w="80" w:type="dxa"/>
              <w:right w:w="80" w:type="dxa"/>
            </w:tcMar>
          </w:tcPr>
          <w:p>
            <w:pPr>
              <w:jc w:val="center"/>
            </w:pPr>
            <w:r>
              <w:rPr>
                <w:rFonts w:ascii="Times New Roman" w:hAnsi="Times New Roman"/>
                <w:sz w:val="17"/>
              </w:rPr>
              <w:t>0</w:t>
            </w:r>
          </w:p>
        </w:tc>
        <w:tc>
          <w:tcPr>
            <w:tcW w:type="dxa" w:w="1921"/>
            <w:tcMar>
              <w:top w:w="55" w:type="dxa"/>
              <w:bottom w:w="55" w:type="dxa"/>
              <w:left w:w="80" w:type="dxa"/>
              <w:right w:w="80" w:type="dxa"/>
            </w:tcMar>
          </w:tcPr>
          <w:p>
            <w:pPr>
              <w:jc w:val="center"/>
            </w:pPr>
            <w:r>
              <w:rPr>
                <w:rFonts w:ascii="Times New Roman" w:hAnsi="Times New Roman"/>
                <w:sz w:val="17"/>
              </w:rPr>
              <w:t>26</w:t>
            </w:r>
          </w:p>
        </w:tc>
        <w:tc>
          <w:tcPr>
            <w:tcW w:type="dxa" w:w="1921"/>
            <w:tcMar>
              <w:top w:w="55" w:type="dxa"/>
              <w:bottom w:w="55" w:type="dxa"/>
              <w:left w:w="80" w:type="dxa"/>
              <w:right w:w="80" w:type="dxa"/>
            </w:tcMar>
          </w:tcPr>
          <w:p>
            <w:pPr>
              <w:jc w:val="center"/>
            </w:pPr>
            <w:r>
              <w:rPr>
                <w:rFonts w:ascii="Times New Roman" w:hAnsi="Times New Roman"/>
                <w:sz w:val="17"/>
              </w:rPr>
              <w:t>15</w:t>
            </w:r>
          </w:p>
        </w:tc>
      </w:tr>
      <w:tr>
        <w:tc>
          <w:tcPr>
            <w:tcW w:type="dxa" w:w="1921"/>
            <w:tcMar>
              <w:top w:w="55" w:type="dxa"/>
              <w:bottom w:w="55" w:type="dxa"/>
              <w:left w:w="80" w:type="dxa"/>
              <w:right w:w="80" w:type="dxa"/>
            </w:tcMar>
          </w:tcPr>
          <w:p>
            <w:pPr>
              <w:jc w:val="left"/>
            </w:pPr>
            <w:r>
              <w:rPr>
                <w:rFonts w:ascii="Times New Roman" w:hAnsi="Times New Roman"/>
                <w:sz w:val="17"/>
              </w:rPr>
              <w:t>Access &amp; Traversal (BOLAIdor, Auth, PathTrav, SSRF)</w:t>
            </w:r>
          </w:p>
        </w:tc>
        <w:tc>
          <w:tcPr>
            <w:tcW w:type="dxa" w:w="1921"/>
            <w:tcMar>
              <w:top w:w="55" w:type="dxa"/>
              <w:bottom w:w="55" w:type="dxa"/>
              <w:left w:w="80" w:type="dxa"/>
              <w:right w:w="80" w:type="dxa"/>
            </w:tcMar>
          </w:tcPr>
          <w:p>
            <w:pPr>
              <w:jc w:val="center"/>
            </w:pPr>
            <w:r>
              <w:rPr>
                <w:rFonts w:ascii="Times New Roman" w:hAnsi="Times New Roman"/>
                <w:sz w:val="17"/>
              </w:rPr>
              <w:t>6</w:t>
            </w:r>
          </w:p>
        </w:tc>
        <w:tc>
          <w:tcPr>
            <w:tcW w:type="dxa" w:w="1921"/>
            <w:tcMar>
              <w:top w:w="55" w:type="dxa"/>
              <w:bottom w:w="55" w:type="dxa"/>
              <w:left w:w="80" w:type="dxa"/>
              <w:right w:w="80" w:type="dxa"/>
            </w:tcMar>
          </w:tcPr>
          <w:p>
            <w:pPr>
              <w:jc w:val="center"/>
            </w:pPr>
            <w:r>
              <w:rPr>
                <w:rFonts w:ascii="Times New Roman" w:hAnsi="Times New Roman"/>
                <w:sz w:val="17"/>
              </w:rPr>
              <w:t>0</w:t>
            </w:r>
          </w:p>
        </w:tc>
        <w:tc>
          <w:tcPr>
            <w:tcW w:type="dxa" w:w="1921"/>
            <w:tcMar>
              <w:top w:w="55" w:type="dxa"/>
              <w:bottom w:w="55" w:type="dxa"/>
              <w:left w:w="80" w:type="dxa"/>
              <w:right w:w="80" w:type="dxa"/>
            </w:tcMar>
          </w:tcPr>
          <w:p>
            <w:pPr>
              <w:jc w:val="center"/>
            </w:pPr>
            <w:r>
              <w:rPr>
                <w:rFonts w:ascii="Times New Roman" w:hAnsi="Times New Roman"/>
                <w:sz w:val="17"/>
              </w:rPr>
              <w:t>9</w:t>
            </w:r>
          </w:p>
        </w:tc>
        <w:tc>
          <w:tcPr>
            <w:tcW w:type="dxa" w:w="1921"/>
            <w:tcMar>
              <w:top w:w="55" w:type="dxa"/>
              <w:bottom w:w="55" w:type="dxa"/>
              <w:left w:w="80" w:type="dxa"/>
              <w:right w:w="80" w:type="dxa"/>
            </w:tcMar>
          </w:tcPr>
          <w:p>
            <w:pPr>
              <w:jc w:val="center"/>
            </w:pPr>
            <w:r>
              <w:rPr>
                <w:rFonts w:ascii="Times New Roman" w:hAnsi="Times New Roman"/>
                <w:sz w:val="17"/>
              </w:rPr>
              <w:t>6</w:t>
            </w:r>
          </w:p>
        </w:tc>
      </w:tr>
      <w:tr>
        <w:tc>
          <w:tcPr>
            <w:tcW w:type="dxa" w:w="1921"/>
            <w:tcMar>
              <w:top w:w="55" w:type="dxa"/>
              <w:bottom w:w="55" w:type="dxa"/>
              <w:left w:w="80" w:type="dxa"/>
              <w:right w:w="80" w:type="dxa"/>
            </w:tcMar>
          </w:tcPr>
          <w:p>
            <w:pPr>
              <w:jc w:val="left"/>
            </w:pPr>
            <w:r>
              <w:rPr>
                <w:rFonts w:ascii="Times New Roman" w:hAnsi="Times New Roman"/>
                <w:sz w:val="17"/>
              </w:rPr>
              <w:t>API &amp; Tokens (APIAbuse, JWT, CORS)</w:t>
            </w:r>
          </w:p>
        </w:tc>
        <w:tc>
          <w:tcPr>
            <w:tcW w:type="dxa" w:w="1921"/>
            <w:tcMar>
              <w:top w:w="55" w:type="dxa"/>
              <w:bottom w:w="55" w:type="dxa"/>
              <w:left w:w="80" w:type="dxa"/>
              <w:right w:w="80" w:type="dxa"/>
            </w:tcMar>
          </w:tcPr>
          <w:p>
            <w:pPr>
              <w:jc w:val="center"/>
            </w:pPr>
            <w:r>
              <w:rPr>
                <w:rFonts w:ascii="Times New Roman" w:hAnsi="Times New Roman"/>
                <w:sz w:val="17"/>
              </w:rPr>
              <w:t>5</w:t>
            </w:r>
          </w:p>
        </w:tc>
        <w:tc>
          <w:tcPr>
            <w:tcW w:type="dxa" w:w="1921"/>
            <w:tcMar>
              <w:top w:w="55" w:type="dxa"/>
              <w:bottom w:w="55" w:type="dxa"/>
              <w:left w:w="80" w:type="dxa"/>
              <w:right w:w="80" w:type="dxa"/>
            </w:tcMar>
          </w:tcPr>
          <w:p>
            <w:pPr>
              <w:jc w:val="center"/>
            </w:pPr>
            <w:r>
              <w:rPr>
                <w:rFonts w:ascii="Times New Roman" w:hAnsi="Times New Roman"/>
                <w:sz w:val="17"/>
              </w:rPr>
              <w:t>0</w:t>
            </w:r>
          </w:p>
        </w:tc>
        <w:tc>
          <w:tcPr>
            <w:tcW w:type="dxa" w:w="1921"/>
            <w:tcMar>
              <w:top w:w="55" w:type="dxa"/>
              <w:bottom w:w="55" w:type="dxa"/>
              <w:left w:w="80" w:type="dxa"/>
              <w:right w:w="80" w:type="dxa"/>
            </w:tcMar>
          </w:tcPr>
          <w:p>
            <w:pPr>
              <w:jc w:val="center"/>
            </w:pPr>
            <w:r>
              <w:rPr>
                <w:rFonts w:ascii="Times New Roman" w:hAnsi="Times New Roman"/>
                <w:sz w:val="17"/>
              </w:rPr>
              <w:t>8</w:t>
            </w:r>
          </w:p>
        </w:tc>
        <w:tc>
          <w:tcPr>
            <w:tcW w:type="dxa" w:w="1921"/>
            <w:tcMar>
              <w:top w:w="55" w:type="dxa"/>
              <w:bottom w:w="55" w:type="dxa"/>
              <w:left w:w="80" w:type="dxa"/>
              <w:right w:w="80" w:type="dxa"/>
            </w:tcMar>
          </w:tcPr>
          <w:p>
            <w:pPr>
              <w:jc w:val="center"/>
            </w:pPr>
            <w:r>
              <w:rPr>
                <w:rFonts w:ascii="Times New Roman" w:hAnsi="Times New Roman"/>
                <w:sz w:val="17"/>
              </w:rPr>
              <w:t>5</w:t>
            </w:r>
          </w:p>
        </w:tc>
      </w:tr>
      <w:tr>
        <w:tc>
          <w:tcPr>
            <w:tcW w:type="dxa" w:w="1921"/>
            <w:tcMar>
              <w:top w:w="55" w:type="dxa"/>
              <w:bottom w:w="55" w:type="dxa"/>
              <w:left w:w="80" w:type="dxa"/>
              <w:right w:w="80" w:type="dxa"/>
            </w:tcMar>
            <w:shd w:fill="FEF3C7"/>
          </w:tcPr>
          <w:p>
            <w:pPr>
              <w:jc w:val="left"/>
            </w:pPr>
            <w:r>
              <w:rPr>
                <w:rFonts w:ascii="Times New Roman" w:hAnsi="Times New Roman"/>
                <w:b/>
                <w:sz w:val="17"/>
              </w:rPr>
              <w:t>Total / Summary</w:t>
            </w:r>
          </w:p>
        </w:tc>
        <w:tc>
          <w:tcPr>
            <w:tcW w:type="dxa" w:w="1921"/>
            <w:tcMar>
              <w:top w:w="55" w:type="dxa"/>
              <w:bottom w:w="55" w:type="dxa"/>
              <w:left w:w="80" w:type="dxa"/>
              <w:right w:w="80" w:type="dxa"/>
            </w:tcMar>
            <w:shd w:fill="FEF3C7"/>
          </w:tcPr>
          <w:p>
            <w:pPr>
              <w:jc w:val="center"/>
            </w:pPr>
            <w:r>
              <w:rPr>
                <w:rFonts w:ascii="Times New Roman" w:hAnsi="Times New Roman"/>
                <w:b/>
                <w:sz w:val="17"/>
              </w:rPr>
              <w:t>46</w:t>
            </w:r>
          </w:p>
        </w:tc>
        <w:tc>
          <w:tcPr>
            <w:tcW w:type="dxa" w:w="1921"/>
            <w:tcMar>
              <w:top w:w="55" w:type="dxa"/>
              <w:bottom w:w="55" w:type="dxa"/>
              <w:left w:w="80" w:type="dxa"/>
              <w:right w:w="80" w:type="dxa"/>
            </w:tcMar>
            <w:shd w:fill="FEF3C7"/>
          </w:tcPr>
          <w:p>
            <w:pPr>
              <w:jc w:val="center"/>
            </w:pPr>
            <w:r>
              <w:rPr>
                <w:rFonts w:ascii="Times New Roman" w:hAnsi="Times New Roman"/>
                <w:b/>
                <w:sz w:val="17"/>
              </w:rPr>
              <w:t>1</w:t>
            </w:r>
          </w:p>
        </w:tc>
        <w:tc>
          <w:tcPr>
            <w:tcW w:type="dxa" w:w="1921"/>
            <w:tcMar>
              <w:top w:w="55" w:type="dxa"/>
              <w:bottom w:w="55" w:type="dxa"/>
              <w:left w:w="80" w:type="dxa"/>
              <w:right w:w="80" w:type="dxa"/>
            </w:tcMar>
            <w:shd w:fill="FEF3C7"/>
          </w:tcPr>
          <w:p>
            <w:pPr>
              <w:jc w:val="center"/>
            </w:pPr>
            <w:r>
              <w:rPr>
                <w:rFonts w:ascii="Times New Roman" w:hAnsi="Times New Roman"/>
                <w:b/>
                <w:sz w:val="17"/>
              </w:rPr>
              <w:t>76</w:t>
            </w:r>
          </w:p>
        </w:tc>
        <w:tc>
          <w:tcPr>
            <w:tcW w:type="dxa" w:w="1921"/>
            <w:tcMar>
              <w:top w:w="55" w:type="dxa"/>
              <w:bottom w:w="55" w:type="dxa"/>
              <w:left w:w="80" w:type="dxa"/>
              <w:right w:w="80" w:type="dxa"/>
            </w:tcMar>
            <w:shd w:fill="FEF3C7"/>
          </w:tcPr>
          <w:p>
            <w:pPr>
              <w:jc w:val="center"/>
            </w:pPr>
            <w:r>
              <w:rPr>
                <w:rFonts w:ascii="Times New Roman" w:hAnsi="Times New Roman"/>
                <w:b/>
                <w:sz w:val="17"/>
              </w:rPr>
              <w:t>47 (-38.2% Noise)</w:t>
            </w:r>
          </w:p>
        </w:tc>
      </w:tr>
    </w:tbl>
    <w:p>
      <w:pPr>
        <w:spacing w:before="20" w:after="60"/>
      </w:pPr>
    </w:p>
    <w:p>
      <w:pPr>
        <w:spacing w:before="30" w:after="40" w:line="252" w:lineRule="auto"/>
        <w:ind w:firstLine="259"/>
        <w:jc w:val="both"/>
      </w:pPr>
      <w:r>
        <w:rPr>
          <w:rFonts w:ascii="Times New Roman" w:hAnsi="Times New Roman"/>
          <w:sz w:val="20"/>
        </w:rPr>
        <w:t>Across 76 raw tool alerts, the intelligence layer consolidated findings into 47 distinct actionable issues (46 TP + 1 FP), achieving a 38.2% reduction in duplicate alert volume (Fig. 3). Evaluated against 52 verified dynamic challenge vulnerabilities in benchmark scope, AutoSecAudit achieved 97.9% precision (46/47), 88.5% recall (46/52), and an F1-score of 92.9%.</w:t>
      </w:r>
    </w:p>
    <w:p>
      <w:pPr>
        <w:keepNext/>
        <w:spacing w:before="120" w:after="40"/>
        <w:jc w:val="center"/>
      </w:pPr>
      <w:r>
        <w:drawing>
          <wp:inline xmlns:a="http://schemas.openxmlformats.org/drawingml/2006/main" xmlns:pic="http://schemas.openxmlformats.org/drawingml/2006/picture">
            <wp:extent cx="4114800" cy="2509845"/>
            <wp:docPr id="3" name="Picture 3"/>
            <wp:cNvGraphicFramePr>
              <a:graphicFrameLocks noChangeAspect="1"/>
            </wp:cNvGraphicFramePr>
            <a:graphic>
              <a:graphicData uri="http://schemas.openxmlformats.org/drawingml/2006/picture">
                <pic:pic>
                  <pic:nvPicPr>
                    <pic:cNvPr id="0" name="fig3_noise_reduction.png"/>
                    <pic:cNvPicPr/>
                  </pic:nvPicPr>
                  <pic:blipFill>
                    <a:blip r:embed="rId11"/>
                    <a:stretch>
                      <a:fillRect/>
                    </a:stretch>
                  </pic:blipFill>
                  <pic:spPr>
                    <a:xfrm>
                      <a:off x="0" y="0"/>
                      <a:ext cx="4114800" cy="2509845"/>
                    </a:xfrm>
                    <a:prstGeom prst="rect"/>
                  </pic:spPr>
                </pic:pic>
              </a:graphicData>
            </a:graphic>
          </wp:inline>
        </w:drawing>
      </w:r>
    </w:p>
    <w:p>
      <w:pPr>
        <w:spacing w:before="30" w:after="120" w:line="242" w:lineRule="auto"/>
        <w:jc w:val="both"/>
      </w:pPr>
      <w:r>
        <w:rPr>
          <w:rFonts w:ascii="Times New Roman" w:hAnsi="Times New Roman"/>
          <w:sz w:val="18"/>
        </w:rPr>
        <w:t>Fig. 3.  Raw tool alerts vs. correlated actionable findings across major vulnerability categories (-38.2% alert reduction).</w:t>
      </w:r>
    </w:p>
    <w:p>
      <w:pPr>
        <w:keepNext/>
        <w:spacing w:before="140" w:after="40"/>
        <w:jc w:val="left"/>
      </w:pPr>
      <w:r>
        <w:rPr>
          <w:rFonts w:ascii="Times New Roman" w:hAnsi="Times New Roman"/>
          <w:b/>
          <w:i/>
          <w:sz w:val="20"/>
        </w:rPr>
        <w:t>C.  Set-Theoretic Delta Regression Tracking (RQ3)</w:t>
      </w:r>
    </w:p>
    <w:p>
      <w:pPr>
        <w:spacing w:before="30" w:after="40" w:line="252" w:lineRule="auto"/>
        <w:ind w:firstLine="259"/>
        <w:jc w:val="both"/>
      </w:pPr>
      <w:r>
        <w:rPr>
          <w:rFonts w:ascii="Times New Roman" w:hAnsi="Times New Roman"/>
          <w:sz w:val="20"/>
        </w:rPr>
        <w:t>We validated regression tracking across a three-phase synthetic release sequence (Fig. 4): (1) Build v1.0 (Baseline): Initial scan identified 47 correlated vulnerabilities; (2) Build v1.1 (Patch &amp; New): 10 misconfigurations were patched and 3 new API access flaws were introduced. The delta analyzer correctly reported 3 Delta_NEW, 10 Delta_FIXED, and 37 Delta_UNCHANGED issues (47 - 10 + 3 = 40 active issues); and (3) Build v1.2 (Hardened Release): 14 vulnerabilities were resolved. The delta analyzer classified 0 Delta_NEW, 14 Delta_FIXED, and 26 Delta_UNCHANGED issues (40 - 14 = 26 active issues). Across all transitions, the delta engine achieved 100% classification fidelity against release ground truths.</w:t>
      </w:r>
    </w:p>
    <w:p>
      <w:pPr>
        <w:keepNext/>
        <w:spacing w:before="120" w:after="40"/>
        <w:jc w:val="center"/>
      </w:pPr>
      <w:r>
        <w:drawing>
          <wp:inline xmlns:a="http://schemas.openxmlformats.org/drawingml/2006/main" xmlns:pic="http://schemas.openxmlformats.org/drawingml/2006/picture">
            <wp:extent cx="4114800" cy="2627142"/>
            <wp:docPr id="4" name="Picture 4"/>
            <wp:cNvGraphicFramePr>
              <a:graphicFrameLocks noChangeAspect="1"/>
            </wp:cNvGraphicFramePr>
            <a:graphic>
              <a:graphicData uri="http://schemas.openxmlformats.org/drawingml/2006/picture">
                <pic:pic>
                  <pic:nvPicPr>
                    <pic:cNvPr id="0" name="fig4_delta_diff.png"/>
                    <pic:cNvPicPr/>
                  </pic:nvPicPr>
                  <pic:blipFill>
                    <a:blip r:embed="rId12"/>
                    <a:stretch>
                      <a:fillRect/>
                    </a:stretch>
                  </pic:blipFill>
                  <pic:spPr>
                    <a:xfrm>
                      <a:off x="0" y="0"/>
                      <a:ext cx="4114800" cy="2627142"/>
                    </a:xfrm>
                    <a:prstGeom prst="rect"/>
                  </pic:spPr>
                </pic:pic>
              </a:graphicData>
            </a:graphic>
          </wp:inline>
        </w:drawing>
      </w:r>
    </w:p>
    <w:p>
      <w:pPr>
        <w:spacing w:before="30" w:after="120" w:line="242" w:lineRule="auto"/>
        <w:jc w:val="both"/>
      </w:pPr>
      <w:r>
        <w:rPr>
          <w:rFonts w:ascii="Times New Roman" w:hAnsi="Times New Roman"/>
          <w:sz w:val="18"/>
        </w:rPr>
        <w:t>Fig. 4.  Vulnerability lifecycle tracking across sequential software builds via set-theoretic delta diffing.</w:t>
      </w:r>
    </w:p>
    <w:p>
      <w:pPr>
        <w:keepNext/>
        <w:spacing w:before="140" w:after="40"/>
        <w:jc w:val="left"/>
      </w:pPr>
      <w:r>
        <w:rPr>
          <w:rFonts w:ascii="Times New Roman" w:hAnsi="Times New Roman"/>
          <w:b/>
          <w:i/>
          <w:sz w:val="20"/>
        </w:rPr>
        <w:t>D.  System Reliability and Test Suite Coverage (RQ4)</w:t>
      </w:r>
    </w:p>
    <w:p>
      <w:pPr>
        <w:spacing w:before="30" w:after="40" w:line="252" w:lineRule="auto"/>
        <w:ind w:firstLine="259"/>
        <w:jc w:val="both"/>
      </w:pPr>
      <w:r>
        <w:rPr>
          <w:rFonts w:ascii="Times New Roman" w:hAnsi="Times New Roman"/>
          <w:sz w:val="20"/>
        </w:rPr>
        <w:t>AutoSecAudit maintains high operational stability verified by an automated test suite of 165 unit and integration tests. The test suite exercises all 19 scanner plugins, the Statistical Timing Engine and dual-baseline calibration, deep recursive JSON fuzzing, the Plain-English Danger Engine, multi-framework code fix recipes, the Model Context Protocol (MCP) server tools, and CI/CD exit-code gating.</w:t>
      </w:r>
    </w:p>
    <w:p>
      <w:pPr>
        <w:keepNext/>
        <w:spacing w:before="200" w:after="60"/>
        <w:jc w:val="center"/>
      </w:pPr>
      <w:r>
        <w:rPr>
          <w:rFonts w:ascii="Times New Roman" w:hAnsi="Times New Roman"/>
          <w:b/>
          <w:sz w:val="21"/>
        </w:rPr>
        <w:t>V.  DISCUSSION AND DEPLOYMENT CONSIDERATIONS</w:t>
      </w:r>
    </w:p>
    <w:p>
      <w:pPr>
        <w:spacing w:before="30" w:after="40" w:line="252" w:lineRule="auto"/>
        <w:ind w:firstLine="259"/>
        <w:jc w:val="both"/>
      </w:pPr>
      <w:r>
        <w:rPr>
          <w:rFonts w:ascii="Times New Roman" w:hAnsi="Times New Roman"/>
          <w:sz w:val="20"/>
        </w:rPr>
        <w:t>Deploying dynamic security scanning into production CI/CD workflows introduces critical engineering considerations: (1) Dynamic Client-Side Single Page Applications (SPAs): While regex extraction uncovers embedded REST API endpoints, complex client-side applications benefit from pairing the crawler with headless browser drivers (e.g., Playwright) for full DOM event execution; (2) Air-Gapped Environments: When scanning within networks without external internet access, AutoSecAudit falls back to an embedded offline CVE/CWE dictionary to prevent external API timeouts; and (3) Enterprise Authentication: Complex identity provider flows (such as SAML 2.0 or mTLS) require pre-authenticated session tokens injected via environment configuration.</w:t>
      </w:r>
    </w:p>
    <w:p>
      <w:pPr>
        <w:keepNext/>
        <w:spacing w:before="200" w:after="60"/>
        <w:jc w:val="center"/>
      </w:pPr>
      <w:r>
        <w:rPr>
          <w:rFonts w:ascii="Times New Roman" w:hAnsi="Times New Roman"/>
          <w:b/>
          <w:sz w:val="21"/>
        </w:rPr>
        <w:t>VI.  CONCLUSION AND FUTURE WORK</w:t>
      </w:r>
    </w:p>
    <w:p>
      <w:pPr>
        <w:spacing w:before="30" w:after="40" w:line="252" w:lineRule="auto"/>
        <w:ind w:firstLine="259"/>
        <w:jc w:val="both"/>
      </w:pPr>
      <w:r>
        <w:rPr>
          <w:rFonts w:ascii="Times New Roman" w:hAnsi="Times New Roman"/>
          <w:sz w:val="20"/>
        </w:rPr>
        <w:t>AutoSecAudit provides an extensible, low-latency vulnerability auditing framework and autonomous AI remediation platform for modern DevSecOps pipelines. By orchestrating parallel execution across 19 specialized scanner plugins, the system reduces scan latency by 64.8% (2.84x speedup) over sequential auditing. The post-processing pipeline mitigates developer friction by eliminating 38.2% of duplicate alerts via compound-key deduplication, automatically generating compliance metadata, translating findings into plain-English business danger assessments with executive posture grades, and tracking regression lifecycles with 100% classification fidelity. Furthermore, through standard Model Context Protocol (MCP) integration, AutoSecAudit bridges dynamic security auditing directly into AI coding workflows, closing the loop from vulnerability detection to verified code remediation. Future work will investigate local Large Language Model (LLM) agents for automated patch synthesis and distributed multi-node scanning architectures.</w:t>
      </w:r>
    </w:p>
    <w:p>
      <w:pPr>
        <w:keepNext/>
        <w:spacing w:before="200" w:after="60"/>
        <w:jc w:val="center"/>
      </w:pPr>
      <w:r>
        <w:rPr>
          <w:rFonts w:ascii="Times New Roman" w:hAnsi="Times New Roman"/>
          <w:b/>
          <w:sz w:val="21"/>
        </w:rPr>
        <w:t>ACKNOWLEDGMENT</w:t>
      </w:r>
    </w:p>
    <w:p>
      <w:pPr>
        <w:spacing w:before="30" w:after="40" w:line="252" w:lineRule="auto"/>
        <w:ind w:firstLine="259"/>
        <w:jc w:val="both"/>
      </w:pPr>
      <w:r>
        <w:rPr>
          <w:rFonts w:ascii="Times New Roman" w:hAnsi="Times New Roman"/>
          <w:sz w:val="20"/>
        </w:rPr>
        <w:t>This research was conducted as part of the AutoSec Security Engineering Initiative in the Department of Computer Science and Engineering at Don Bosco Institute of Technology, Bangalore. The authors express sincere gratitude to faculty mentor Ms. Ranjitha R, department leadership, and the open-source security engineering community for foundational tools, benchmark platforms, and ongoing support.</w:t>
      </w:r>
    </w:p>
    <w:p>
      <w:pPr>
        <w:keepNext/>
        <w:spacing w:before="200" w:after="60"/>
        <w:jc w:val="center"/>
      </w:pPr>
      <w:r>
        <w:rPr>
          <w:rFonts w:ascii="Times New Roman" w:hAnsi="Times New Roman"/>
          <w:b/>
          <w:sz w:val="21"/>
        </w:rPr>
        <w:t>REFERENCES</w:t>
      </w:r>
    </w:p>
    <w:p>
      <w:pPr>
        <w:spacing w:before="20" w:after="30" w:line="242" w:lineRule="auto"/>
        <w:jc w:val="both"/>
      </w:pPr>
      <w:r>
        <w:rPr>
          <w:rFonts w:ascii="Times New Roman" w:hAnsi="Times New Roman"/>
          <w:sz w:val="16"/>
        </w:rPr>
        <w:t>[1] G. F. Lyon, Nmap Network Scanning: The Official Nmap Project Guide to Network Discovery and Vulnerability Scanning. Insecure.Com LLC, 2009.</w:t>
      </w:r>
    </w:p>
    <w:p>
      <w:pPr>
        <w:spacing w:before="20" w:after="30" w:line="242" w:lineRule="auto"/>
        <w:jc w:val="both"/>
      </w:pPr>
      <w:r>
        <w:rPr>
          <w:rFonts w:ascii="Times New Roman" w:hAnsi="Times New Roman"/>
          <w:sz w:val="16"/>
        </w:rPr>
        <w:t>[2] C. Sullo and D. Lodge, "Nikto Web Server Scanner," Open Source Security Tool, 2023. Available: https://cirt.net/Nikto2</w:t>
      </w:r>
    </w:p>
    <w:p>
      <w:pPr>
        <w:spacing w:before="20" w:after="30" w:line="242" w:lineRule="auto"/>
        <w:jc w:val="both"/>
      </w:pPr>
      <w:r>
        <w:rPr>
          <w:rFonts w:ascii="Times New Roman" w:hAnsi="Times New Roman"/>
          <w:sz w:val="16"/>
        </w:rPr>
        <w:t>[3] ProjectDiscovery, "Nuclei: Fast and Customizable Vulnerability Scanner Based on Simple YAML DSL," 2024. Available: https://github.com/projectdiscovery/nuclei</w:t>
      </w:r>
    </w:p>
    <w:p>
      <w:pPr>
        <w:spacing w:before="20" w:after="30" w:line="242" w:lineRule="auto"/>
        <w:jc w:val="both"/>
      </w:pPr>
      <w:r>
        <w:rPr>
          <w:rFonts w:ascii="Times New Roman" w:hAnsi="Times New Roman"/>
          <w:sz w:val="16"/>
        </w:rPr>
        <w:t>[4] OWASP Foundation, "OWASP Zed Attack Proxy (ZAP)," 2024. Available: https://www.zaproxy.org/</w:t>
      </w:r>
    </w:p>
    <w:p>
      <w:pPr>
        <w:spacing w:before="20" w:after="30" w:line="242" w:lineRule="auto"/>
        <w:jc w:val="both"/>
      </w:pPr>
      <w:r>
        <w:rPr>
          <w:rFonts w:ascii="Times New Roman" w:hAnsi="Times New Roman"/>
          <w:sz w:val="16"/>
        </w:rPr>
        <w:t>[5] OWASP Foundation, "OWASP DefectDojo: Vulnerability Management Orchestration," 2024. Available: https://www.defectdojo.org/</w:t>
      </w:r>
    </w:p>
    <w:p>
      <w:pPr>
        <w:spacing w:before="20" w:after="30" w:line="242" w:lineRule="auto"/>
        <w:jc w:val="both"/>
      </w:pPr>
      <w:r>
        <w:rPr>
          <w:rFonts w:ascii="Times New Roman" w:hAnsi="Times New Roman"/>
          <w:sz w:val="16"/>
        </w:rPr>
        <w:t>[6] OWASP Top 10 Team, "OWASP Top 10: 2021 The Ten Most Critical Web Application Security Risks," OWASP Foundation, 2021. Available: https://owasp.org/Top10/</w:t>
      </w:r>
    </w:p>
    <w:p>
      <w:pPr>
        <w:spacing w:before="20" w:after="30" w:line="242" w:lineRule="auto"/>
        <w:jc w:val="both"/>
      </w:pPr>
      <w:r>
        <w:rPr>
          <w:rFonts w:ascii="Times New Roman" w:hAnsi="Times New Roman"/>
          <w:sz w:val="16"/>
        </w:rPr>
        <w:t>[7] PCI Security Standards Council, Payment Card Industry Data Security Standard (PCI-DSS): Requirements and Testing Procedures, Version 4.0, 2022.</w:t>
      </w:r>
    </w:p>
    <w:p>
      <w:pPr>
        <w:spacing w:before="20" w:after="30" w:line="242" w:lineRule="auto"/>
        <w:jc w:val="both"/>
      </w:pPr>
      <w:r>
        <w:rPr>
          <w:rFonts w:ascii="Times New Roman" w:hAnsi="Times New Roman"/>
          <w:sz w:val="16"/>
        </w:rPr>
        <w:t>[8] National Institute of Standards and Technology (NIST), "National Vulnerability Database (NVD) REST API v2.0," U.S. Department of Commerce, 2023.</w:t>
      </w:r>
    </w:p>
    <w:p>
      <w:pPr>
        <w:spacing w:before="20" w:after="30" w:line="242" w:lineRule="auto"/>
        <w:jc w:val="both"/>
      </w:pPr>
      <w:r>
        <w:rPr>
          <w:rFonts w:ascii="Times New Roman" w:hAnsi="Times New Roman"/>
          <w:sz w:val="16"/>
        </w:rPr>
        <w:t>[9] M. Myrbakken and R. Colomo-Palacios, "DevSecOps: A Multivocal Literature Review," in Communications in Computer and Information Science, vol. 770, Springer, 2017, pp. 17–29.</w:t>
      </w:r>
    </w:p>
    <w:p>
      <w:pPr>
        <w:spacing w:before="20" w:after="30" w:line="242" w:lineRule="auto"/>
        <w:jc w:val="both"/>
      </w:pPr>
      <w:r>
        <w:rPr>
          <w:rFonts w:ascii="Times New Roman" w:hAnsi="Times New Roman"/>
          <w:sz w:val="16"/>
        </w:rPr>
        <w:t>[10] B. Bau, F. Bursztein, D. Gupta, and J. C. Mitchell, "State of the Art: Automated Black-Box Web Application Vulnerability Testing," in Proc. 31st IEEE Symposium on Security and Privacy (S&amp;P '10), 2010, pp. 332–345.</w:t>
      </w:r>
    </w:p>
    <w:p>
      <w:pPr>
        <w:spacing w:before="20" w:after="30" w:line="242" w:lineRule="auto"/>
        <w:jc w:val="both"/>
      </w:pPr>
      <w:r>
        <w:rPr>
          <w:rFonts w:ascii="Times New Roman" w:hAnsi="Times New Roman"/>
          <w:sz w:val="16"/>
        </w:rPr>
        <w:t>[11] A. Doupé, M. Cova, and G. Vigna, "Enemy of the State: A State-Aware Black-Box Web Vulnerability Scanner," in Proc. 21st USENIX Security Symposium (USENIX Security '12), 2012, pp. 523–538.</w:t>
      </w:r>
    </w:p>
    <w:p>
      <w:pPr>
        <w:spacing w:before="20" w:after="30" w:line="242" w:lineRule="auto"/>
        <w:jc w:val="both"/>
      </w:pPr>
      <w:r>
        <w:rPr>
          <w:rFonts w:ascii="Times New Roman" w:hAnsi="Times New Roman"/>
          <w:sz w:val="16"/>
        </w:rPr>
        <w:t>[12] V. Atlidakis, P. Godefroid, and M. Polishchuk, "RESTler: Stateful REST API Fuzzing," in Proc. 41st IEEE/ACM International Conference on Software Engineering (ICSE '19), 2019, pp. 748–758.</w:t>
      </w:r>
    </w:p>
    <w:p>
      <w:pPr>
        <w:spacing w:before="20" w:after="30" w:line="242" w:lineRule="auto"/>
        <w:jc w:val="both"/>
      </w:pPr>
      <w:r>
        <w:rPr>
          <w:rFonts w:ascii="Times New Roman" w:hAnsi="Times New Roman"/>
          <w:sz w:val="16"/>
        </w:rPr>
        <w:t>[13] B. Johnson, Y. Song, E. Murphy-Hill, and R. Bowdidge, "Why Don't Software Developers Use Static Analysis Tools to Find Bugs?" in Proc. 35th IEEE/ACM International Conference on Software Engineering (ICSE '13), 2013, pp. 672–681.</w:t>
      </w:r>
    </w:p>
    <w:p>
      <w:pPr>
        <w:spacing w:before="20" w:after="30" w:line="242" w:lineRule="auto"/>
        <w:jc w:val="both"/>
      </w:pPr>
      <w:r>
        <w:rPr>
          <w:rFonts w:ascii="Times New Roman" w:hAnsi="Times New Roman"/>
          <w:sz w:val="16"/>
        </w:rPr>
        <w:t>[14] C. Vassallo, S. Proksch, H. C. Gall, and M. Di Penta, "Continuous Code Quality: How Developers Manage Technical Debt in CI/CD," IEEE Transactions on Software Engineering (TSE), vol. 46, no. 8, pp. 838–855, 2020.</w:t>
      </w:r>
    </w:p>
    <w:p>
      <w:pPr>
        <w:spacing w:before="20" w:after="30" w:line="242" w:lineRule="auto"/>
        <w:jc w:val="both"/>
      </w:pPr>
      <w:r>
        <w:rPr>
          <w:rFonts w:ascii="Times New Roman" w:hAnsi="Times New Roman"/>
          <w:sz w:val="16"/>
        </w:rPr>
        <w:t>[15] Anthropic, "Model Context Protocol (MCP) Specification: Open Standard for Seamless AI Application Integration," 2024. Available: https://modelcontextprotocol.io</w:t>
      </w:r>
    </w:p>
    <w:p>
      <w:pPr>
        <w:keepNext/>
        <w:spacing w:before="200" w:after="60"/>
        <w:jc w:val="center"/>
      </w:pPr>
      <w:r>
        <w:rPr>
          <w:rFonts w:ascii="Times New Roman" w:hAnsi="Times New Roman"/>
          <w:b/>
          <w:sz w:val="21"/>
        </w:rPr>
        <w:t>BIOGRAPHY</w:t>
      </w:r>
    </w:p>
    <w:p>
      <w:pPr>
        <w:spacing w:before="30" w:after="40" w:line="252" w:lineRule="auto"/>
        <w:ind w:firstLine="259"/>
        <w:jc w:val="both"/>
      </w:pPr>
      <w:r>
        <w:rPr>
          <w:rFonts w:ascii="Times New Roman" w:hAnsi="Times New Roman"/>
          <w:sz w:val="20"/>
        </w:rPr>
        <w:t>The authors are undergraduate research scholars and faculty mentors in the Department of Computer Science and Engineering at Don Bosco Institute of Technology (DBIT), Bangalore, affiliated with Visvesvaraya Technological University (VTU), Belagavi, Karnataka, India. Their research focuses on automated vulnerability assessment, DevSecOps engineering, intelligent security orchestration, and agentic AI remediation systems.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