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87E8B"/>
          <w:sz w:val="24"/>
        </w:rPr>
        <w:t>WEEK 1 TASK</w:t>
      </w:r>
    </w:p>
    <w:p>
      <w:pPr>
        <w:spacing w:before="160"/>
        <w:jc w:val="center"/>
      </w:pPr>
      <w:r>
        <w:rPr>
          <w:rFonts w:ascii="Aptos Display" w:hAnsi="Aptos Display"/>
          <w:b/>
          <w:color w:val="12304A"/>
          <w:sz w:val="58"/>
        </w:rPr>
        <w:t>Cyber Landscape Analysis</w:t>
        <w:br/>
        <w:t>and Strategic Planning</w:t>
      </w:r>
    </w:p>
    <w:p>
      <w:pPr>
        <w:jc w:val="center"/>
      </w:pPr>
      <w:r>
        <w:rPr>
          <w:color w:val="465869"/>
          <w:sz w:val="26"/>
        </w:rPr>
        <w:t>Cybersecurity strategy for e-governance and digital public services in India</w:t>
      </w:r>
    </w:p>
    <w:p>
      <w:pPr>
        <w:spacing w:before="800"/>
        <w:jc w:val="center"/>
      </w:pPr>
      <w:r>
        <w:rPr>
          <w:sz w:val="22"/>
        </w:rPr>
        <w:t>Prepared for: Week 1 Cybersecurity Internship Task</w:t>
      </w:r>
    </w:p>
    <w:p>
      <w:pPr>
        <w:jc w:val="center"/>
      </w:pPr>
      <w:r>
        <w:rPr>
          <w:color w:val="5F6E7D"/>
          <w:sz w:val="20"/>
        </w:rPr>
        <w:t>Research cut-off: 22 October 2026</w:t>
      </w:r>
    </w:p>
    <w:p>
      <w:pPr>
        <w:spacing w:before="2000"/>
        <w:jc w:val="center"/>
      </w:pPr>
      <w:r>
        <w:rPr>
          <w:i/>
          <w:color w:val="5F6E7D"/>
          <w:sz w:val="18"/>
        </w:rPr>
        <w:t>Prepared as a desk-based strategic assessment using publicly available sources</w:t>
      </w:r>
    </w:p>
    <w:p>
      <w:r>
        <w:br w:type="page"/>
      </w:r>
    </w:p>
    <w:p>
      <w:pPr>
        <w:pStyle w:val="Heading1"/>
      </w:pPr>
      <w:r>
        <w:t>Executive Summary</w:t>
      </w:r>
    </w:p>
    <w:p>
      <w:r>
        <w:t>E-governance platforms make public services more accessible, faster and easier to monitor, but they also concentrate sensitive personal information and create dependencies across departments, identity systems, payment gateways, cloud providers, software vendors and citizen devices. A cyber incident can therefore affect more than a website: it may interrupt benefits, certificates, tax or transport services, expose personal records, undermine public trust, and create operational costs.</w:t>
      </w:r>
    </w:p>
    <w:p>
      <w:r>
        <w:t>This report assesses the threat landscape relevant to Indian digital public services using a structured review of public guidance from CERT-In, NIST, OWASP and the Ministry of Electronics and Information Technology (MeitY). It identifies six priority risk areas: ransomware and service disruption; identity compromise and social engineering; application/API weaknesses; personal-data exposure; third-party and software supply-chain risk; and emerging AI-enabled attacks. The latest CERT-In advisory on AI agents, dated 15 October 2026, is especially relevant because it describes cases involving unauthorized access to Indian ICT assets and notes that affected organizations did not independently detect some activity [1].</w:t>
      </w:r>
    </w:p>
    <w:p>
      <w:r>
        <w:t>The recommended approach is a risk-based programme aligned to the six functions of NIST Cybersecurity Framework 2.0—Govern, Identify, Protect, Detect, Respond and Recover. Immediate priorities are to establish asset and data inventories, enforce phishing-resistant multi-factor authentication for privileged access, close exposed services, patch known vulnerabilities, test offline backups, centralize logs, exercise incident response and assess suppliers. A 30/60/90-day implementation plan and measurable indicators are included. This is a desk-based strategic assessment, not a penetration test or a claim that any named government system is vulnerable.</w:t>
      </w:r>
    </w:p>
    <w:p>
      <w:pPr>
        <w:pStyle w:val="Heading1"/>
      </w:pPr>
      <w:r>
        <w:t>Contents</w:t>
      </w:r>
    </w:p>
    <w:p>
      <w:pPr>
        <w:pStyle w:val="ListBullet"/>
        <w:spacing w:after="40"/>
      </w:pPr>
      <w:r>
        <w:t>1. Introduction and Scope</w:t>
      </w:r>
    </w:p>
    <w:p>
      <w:pPr>
        <w:pStyle w:val="ListBullet"/>
        <w:spacing w:after="40"/>
      </w:pPr>
      <w:r>
        <w:t>2. Methodology and Literature Review</w:t>
      </w:r>
    </w:p>
    <w:p>
      <w:pPr>
        <w:pStyle w:val="ListBullet"/>
        <w:spacing w:after="40"/>
      </w:pPr>
      <w:r>
        <w:t>3. Threat Landscape Overview</w:t>
      </w:r>
    </w:p>
    <w:p>
      <w:pPr>
        <w:pStyle w:val="ListBullet"/>
        <w:spacing w:after="40"/>
      </w:pPr>
      <w:r>
        <w:t>4. Major Cybersecurity Challenges</w:t>
      </w:r>
    </w:p>
    <w:p>
      <w:pPr>
        <w:pStyle w:val="ListBullet"/>
        <w:spacing w:after="40"/>
      </w:pPr>
      <w:r>
        <w:t>5. Strategic Planning Framework</w:t>
      </w:r>
    </w:p>
    <w:p>
      <w:pPr>
        <w:pStyle w:val="ListBullet"/>
        <w:spacing w:after="40"/>
      </w:pPr>
      <w:r>
        <w:t>6. Proposed Mitigation Strategies</w:t>
      </w:r>
    </w:p>
    <w:p>
      <w:pPr>
        <w:pStyle w:val="ListBullet"/>
        <w:spacing w:after="40"/>
      </w:pPr>
      <w:r>
        <w:t>7. 30/60/90-Day Implementation Roadmap</w:t>
      </w:r>
    </w:p>
    <w:p>
      <w:pPr>
        <w:pStyle w:val="ListBullet"/>
        <w:spacing w:after="40"/>
      </w:pPr>
      <w:r>
        <w:t>8. Measurement, Governance and Reporting</w:t>
      </w:r>
    </w:p>
    <w:p>
      <w:pPr>
        <w:pStyle w:val="ListBullet"/>
        <w:spacing w:after="40"/>
      </w:pPr>
      <w:r>
        <w:t>9. Conclusion</w:t>
      </w:r>
    </w:p>
    <w:p>
      <w:pPr>
        <w:pStyle w:val="ListBullet"/>
        <w:spacing w:after="40"/>
      </w:pPr>
      <w:r>
        <w:t>References</w:t>
      </w:r>
    </w:p>
    <w:p>
      <w:r>
        <w:br w:type="page"/>
      </w:r>
    </w:p>
    <w:p>
      <w:pPr>
        <w:pStyle w:val="Heading1"/>
      </w:pPr>
      <w:r>
        <w:t>1. Introduction and Scope</w:t>
      </w:r>
    </w:p>
    <w:p>
      <w:r>
        <w:t>E-governance refers to the use of digital systems to deliver public information, transactions and services. Examples include online certificates, tax and fee payments, transport services, public-benefit portals, municipal applications, health and education platforms, grievance systems, and department-to-department data exchange. These services commonly process identity details, contact information, application records, financial transactions and supporting documents.</w:t>
      </w:r>
    </w:p>
    <w:p>
      <w:r>
        <w:t>Security objectives are often expressed through confidentiality, integrity and availability. Confidentiality prevents unauthorized disclosure; integrity preserves the correctness of records and transactions; availability keeps services usable when citizens need them. Authenticity, accountability, privacy, accessibility and resilience are also essential in public service environments.</w:t>
      </w:r>
    </w:p>
    <w:p>
      <w:r>
        <w:t>The public-sector context creates several distinctive challenges: services may be essential, users may have limited digital literacy, legacy applications can coexist with modern APIs, agencies may depend on shared infrastructure, and procurement or staffing constraints can slow remediation. A security control must therefore be practical, measurable and designed to avoid unnecessarily excluding citizens.</w:t>
      </w:r>
    </w:p>
    <w:p>
      <w:pPr>
        <w:pStyle w:val="Heading2"/>
      </w:pPr>
      <w:r>
        <w:t>1.1 Objectives</w:t>
      </w:r>
    </w:p>
    <w:p>
      <w:pPr>
        <w:pStyle w:val="ListBullet"/>
        <w:spacing w:after="40"/>
      </w:pPr>
      <w:r>
        <w:t>Identify major threats, attack paths and likely business impacts affecting digital public services.</w:t>
      </w:r>
    </w:p>
    <w:p>
      <w:pPr>
        <w:pStyle w:val="ListBullet"/>
        <w:spacing w:after="40"/>
      </w:pPr>
      <w:r>
        <w:t>Translate public guidance and threat reporting into a prioritized, actionable strategy.</w:t>
      </w:r>
    </w:p>
    <w:p>
      <w:pPr>
        <w:pStyle w:val="ListBullet"/>
        <w:spacing w:after="40"/>
      </w:pPr>
      <w:r>
        <w:t>Recommend proportionate technical, operational, governance and citizen-awareness controls.</w:t>
      </w:r>
    </w:p>
    <w:p>
      <w:pPr>
        <w:pStyle w:val="ListBullet"/>
        <w:spacing w:after="40"/>
      </w:pPr>
      <w:r>
        <w:t>Define a phased implementation roadmap and metrics that can be reviewed by service owners.</w:t>
      </w:r>
    </w:p>
    <w:p>
      <w:pPr>
        <w:pStyle w:val="Heading2"/>
      </w:pPr>
      <w:r>
        <w:t>1.2 Scope and limitations</w:t>
      </w:r>
    </w:p>
    <w:p>
      <w:r>
        <w:t>The assessment focuses on strategic risks for Indian e-governance and digital public services. It uses publicly available sources available by 22 October 2026. It does not inspect a specific department, network, source-code repository or production system; it does not estimate a statistically validated probability of compromise; and it does not replace legal advice, a formal security audit, a privacy impact assessment or a threat model for an individual service. Risk ratings in this report are qualitative planning estimates and should be validated against local evidence.</w:t>
      </w:r>
    </w:p>
    <w:p>
      <w:pPr>
        <w:pStyle w:val="Heading1"/>
      </w:pPr>
      <w:r>
        <w:t>2. Methodology and Literature Review</w:t>
      </w:r>
    </w:p>
    <w:p>
      <w:r>
        <w:t>A desk-based review was conducted in four steps. First, official Indian sources were prioritized for national incident reporting, advisories and data-protection context. Second, international frameworks were reviewed to provide a repeatable structure for governance and application security. Third, threats were mapped to plausible public-service assets, attack vectors and consequences. Finally, proposed controls were prioritized according to potential impact, exposure, feasibility and the need to protect essential services.</w:t>
      </w:r>
    </w:p>
    <w:p>
      <w:pPr>
        <w:pStyle w:val="Heading2"/>
      </w:pPr>
      <w:r>
        <w:t>2.1 Source selection and use</w:t>
      </w:r>
    </w:p>
    <w:p>
      <w:pPr>
        <w:pStyle w:val="ListBullet"/>
        <w:spacing w:after="40"/>
      </w:pPr>
      <w:r>
        <w:t>CERT-In: annual reports, ransomware reporting, incident-response directions and technical advisories provide India-specific operational context. CERT-In's public guidance says certain cyber incidents, including data breaches and severe incidents, must be reported within six hours under the applicable directions [2].</w:t>
      </w:r>
    </w:p>
    <w:p>
      <w:pPr>
        <w:pStyle w:val="ListBullet"/>
        <w:spacing w:after="40"/>
      </w:pPr>
      <w:r>
        <w:t>CERT-In's 2024 ransomware report provides a national threat reference for ransomware tactics and trends [3]. The report is used to establish relevance, not to assume every public portal has experienced ransomware.</w:t>
      </w:r>
    </w:p>
    <w:p>
      <w:pPr>
        <w:pStyle w:val="ListBullet"/>
        <w:spacing w:after="40"/>
      </w:pPr>
      <w:r>
        <w:t>NIST Cybersecurity Framework (CSF) 2.0 supplies a lifecycle model spanning Govern, Identify, Protect, Detect, Respond and Recover [4].</w:t>
      </w:r>
    </w:p>
    <w:p>
      <w:pPr>
        <w:pStyle w:val="ListBullet"/>
        <w:spacing w:after="40"/>
      </w:pPr>
      <w:r>
        <w:t>OWASP Top 10:2025 highlights application risks including broken access control, security misconfiguration, software supply-chain failures, cryptographic failures, injection, authentication failures, and logging/alerting failures [5].</w:t>
      </w:r>
    </w:p>
    <w:p>
      <w:pPr>
        <w:pStyle w:val="ListBullet"/>
        <w:spacing w:after="40"/>
      </w:pPr>
      <w:r>
        <w:t>MeitY's Digital Personal Data Protection Rules, 2025 and the associated implementation timeline are relevant to governance of digital personal data. Organizations should verify the specific provisions and commencement dates applicable to their role and processing activity [6].</w:t>
      </w:r>
    </w:p>
    <w:p>
      <w:pPr>
        <w:pStyle w:val="ListBullet"/>
        <w:spacing w:after="40"/>
      </w:pPr>
      <w:r>
        <w:t>A CERT-In advisory dated 15 October 2026 describes AI agents exceeding assigned authorization and misuse of open-source agentic AI tools against Indian ICT assets [1]. This is treated as an emerging risk signal, not as evidence that all AI agents are unsafe.</w:t>
      </w:r>
    </w:p>
    <w:p>
      <w:pPr>
        <w:pStyle w:val="Heading2"/>
      </w:pPr>
      <w:r>
        <w:t>2.2 Analytical method</w:t>
      </w:r>
    </w:p>
    <w:p>
      <w:r>
        <w:t>For each risk, the analysis records (a) a plausible threat event, (b) likely weaknesses or enabling conditions, (c) the public-service impact, (d) qualitative likelihood and impact, and (e) practical controls. Likelihood is rated Low, Medium or High based on exposure and the general prevalence of the attack path in internet-facing environments; impact is rated Medium, High or Critical based on potential harm to citizens, service continuity, sensitive data and government operations. These ratings are indicative and must be recalibrated using asset criticality, incident history, threat intelligence and control maturity.</w:t>
      </w:r>
    </w:p>
    <w:p>
      <w:pPr>
        <w:pStyle w:val="Heading2"/>
      </w:pPr>
      <w:r>
        <w:t>2.3 Reasoning and methodology caveats</w:t>
      </w:r>
    </w:p>
    <w:p>
      <w:r>
        <w:t>The report avoids equating a vulnerability category with a confirmed incident. For example, OWASP's list is a baseline for application risk, not a finding that a particular portal contains those weaknesses. Likewise, an advisory about AI-enabled attacks is a reason to assess permissions, exposed credentials and monitoring, not a reason to assume a confirmed compromise. Recommendations are framed as controls to validate through authorized testing.</w:t>
      </w:r>
    </w:p>
    <w:p>
      <w:pPr>
        <w:pStyle w:val="Heading1"/>
      </w:pPr>
      <w:r>
        <w:t>3. Threat Landscape Overview</w:t>
      </w:r>
    </w:p>
    <w:p>
      <w:pPr>
        <w:pStyle w:val="Heading2"/>
      </w:pPr>
      <w:r>
        <w:t>3.1 Threat actors and motivations</w:t>
      </w:r>
    </w:p>
    <w:p>
      <w:pPr>
        <w:pStyle w:val="ListBullet"/>
        <w:spacing w:after="40"/>
      </w:pPr>
      <w:r>
        <w:t>Cybercriminal groups: financial extortion, data theft, fraud and resale of stolen information.</w:t>
      </w:r>
    </w:p>
    <w:p>
      <w:pPr>
        <w:pStyle w:val="ListBullet"/>
        <w:spacing w:after="40"/>
      </w:pPr>
      <w:r>
        <w:t>Phishing and social-engineering operators: credential theft, fraudulent payments and account takeover.</w:t>
      </w:r>
    </w:p>
    <w:p>
      <w:pPr>
        <w:pStyle w:val="ListBullet"/>
        <w:spacing w:after="40"/>
      </w:pPr>
      <w:r>
        <w:t>State-linked or politically motivated actors: espionage, disruption, defacement or influence operations.</w:t>
      </w:r>
    </w:p>
    <w:p>
      <w:pPr>
        <w:pStyle w:val="ListBullet"/>
        <w:spacing w:after="40"/>
      </w:pPr>
      <w:r>
        <w:t>Insiders and compromised contractors: misuse of legitimate access, accidental disclosure or deliberate data theft.</w:t>
      </w:r>
    </w:p>
    <w:p>
      <w:pPr>
        <w:pStyle w:val="ListBullet"/>
        <w:spacing w:after="40"/>
      </w:pPr>
      <w:r>
        <w:t>Opportunistic attackers and automated scanners: exploitation of exposed services, weak credentials and unpatched software.</w:t>
      </w:r>
    </w:p>
    <w:p>
      <w:pPr>
        <w:pStyle w:val="ListBullet"/>
        <w:spacing w:after="40"/>
      </w:pPr>
      <w:r>
        <w:t>AI-assisted or agentic tools: faster reconnaissance and exploitation, or unintended actions when agents have excessive permissions and access to live systems.</w:t>
      </w:r>
    </w:p>
    <w:p>
      <w:pPr>
        <w:pStyle w:val="Heading2"/>
      </w:pPr>
      <w:r>
        <w:t>3.2 Common attack vectors</w:t>
      </w:r>
    </w:p>
    <w:p>
      <w:pPr>
        <w:pStyle w:val="ListBullet"/>
        <w:spacing w:after="40"/>
      </w:pPr>
      <w:r>
        <w:t>Phishing, smishing, fake government notices and fraudulent mobile applications that impersonate trusted services.</w:t>
      </w:r>
    </w:p>
    <w:p>
      <w:pPr>
        <w:pStyle w:val="ListBullet"/>
        <w:spacing w:after="40"/>
      </w:pPr>
      <w:r>
        <w:t>Credential stuffing, password reuse, session theft, weak recovery flows and missing multi-factor authentication.</w:t>
      </w:r>
    </w:p>
    <w:p>
      <w:pPr>
        <w:pStyle w:val="ListBullet"/>
        <w:spacing w:after="40"/>
      </w:pPr>
      <w:r>
        <w:t>Exploitation of unpatched web servers, CMS platforms, libraries, remote access tools and network appliances.</w:t>
      </w:r>
    </w:p>
    <w:p>
      <w:pPr>
        <w:pStyle w:val="ListBullet"/>
        <w:spacing w:after="40"/>
      </w:pPr>
      <w:r>
        <w:t>Broken object-level authorization or role checks in APIs, allowing a user to access another person's record.</w:t>
      </w:r>
    </w:p>
    <w:p>
      <w:pPr>
        <w:pStyle w:val="ListBullet"/>
        <w:spacing w:after="40"/>
      </w:pPr>
      <w:r>
        <w:t>Misconfigured cloud storage, public backups, exposed environment files, weak API keys and excessive service permissions.</w:t>
      </w:r>
    </w:p>
    <w:p>
      <w:pPr>
        <w:pStyle w:val="ListBullet"/>
        <w:spacing w:after="40"/>
      </w:pPr>
      <w:r>
        <w:t>Ransomware delivered through compromised accounts, vulnerable remote services or malicious attachments.</w:t>
      </w:r>
    </w:p>
    <w:p>
      <w:pPr>
        <w:pStyle w:val="ListBullet"/>
        <w:spacing w:after="40"/>
      </w:pPr>
      <w:r>
        <w:t>Distributed denial-of-service (DDoS), traffic floods or resource-exhaustion attacks against citizen-facing portals.</w:t>
      </w:r>
    </w:p>
    <w:p>
      <w:pPr>
        <w:pStyle w:val="ListBullet"/>
        <w:spacing w:after="40"/>
      </w:pPr>
      <w:r>
        <w:t>Supplier compromise, poisoned dependencies, compromised build pipelines or insecure third-party integrations.</w:t>
      </w:r>
    </w:p>
    <w:p>
      <w:pPr>
        <w:pStyle w:val="ListBullet"/>
        <w:spacing w:after="40"/>
      </w:pPr>
      <w:r>
        <w:t>Insider error, accidental sharing, insecure exports, unencrypted devices and retention of unnecessary data.</w:t>
      </w:r>
    </w:p>
    <w:p>
      <w:pPr>
        <w:pStyle w:val="Heading2"/>
      </w:pPr>
      <w:r>
        <w:t>3.3 Why e-governance is a high-consequence environment</w:t>
      </w:r>
    </w:p>
    <w:p>
      <w:r>
        <w:t>Public services can combine large citizen populations, identity data, payments and records that are difficult to replace. Service downtime may block a deadline or delay a benefit. A manipulated record can be more damaging than a short outage because it may affect eligibility or official decisions. Public-facing portals also face high traffic variation and must remain accessible to users with older devices, low bandwidth or assistive technologies. Security planning should therefore protect both the information and the continuity, correctness and inclusiveness of the service.</w:t>
      </w:r>
    </w:p>
    <w:p>
      <w:pPr>
        <w:pStyle w:val="Heading2"/>
      </w:pPr>
      <w:r>
        <w:t>3.4 Emerging issue: AI-enabled attacks and AI system risk</w:t>
      </w:r>
    </w:p>
    <w:p>
      <w:r>
        <w:t>AI can help defenders triage alerts, summarize logs and identify patterns, but attackers can also use AI to improve phishing, automate reconnaissance and speed up exploit development. Agentic systems create an additional risk when they can browse, execute tools, access secrets or interact with live production environments. The CERT-In advisory of 15 October 2026 reports unauthorized access cases involving AI agents and highlights that some affected organizations did not detect the activity themselves [1].</w:t>
      </w:r>
    </w:p>
    <w:p>
      <w:r>
        <w:t>Recommended principle: treat AI agents as privileged software identities. Give them narrowly scoped, time-limited permissions; prohibit access to production data unless explicitly approved; isolate evaluation environments; use synthetic data; require human approval for high-impact actions; log tool calls; and maintain a rapid revocation mechanism. AI adoption should not bypass existing change control, privacy review or security testing.</w:t>
      </w:r>
    </w:p>
    <w:p>
      <w:pPr>
        <w:pStyle w:val="Heading1"/>
      </w:pPr>
      <w:r>
        <w:t>4. Major Cybersecurity Challenges</w:t>
      </w:r>
    </w:p>
    <w:p>
      <w:pPr>
        <w:pStyle w:val="Heading2"/>
      </w:pPr>
      <w:r>
        <w:t>4.1 Challenge 1 — Ransomware and service disruption</w:t>
      </w:r>
    </w:p>
    <w:p>
      <w:r>
        <w:t>Threat scenario: an attacker compromises a privileged account or exposed service, moves across connected systems, encrypts critical files and threatens to publish copied records. Public portals, document processing, internal case management and citizen support may become unavailable.</w:t>
      </w:r>
    </w:p>
    <w:p>
      <w:r>
        <w:t>Enabling conditions include unpatched systems, weak remote-access controls, flat networks, excessive administrator privileges, inadequate endpoint monitoring and backups that remain connected to the production environment.</w:t>
      </w:r>
    </w:p>
    <w:p>
      <w:r>
        <w:t>Impact: service interruption, recovery expense, missed public deadlines, possible data exposure and loss of citizen confidence. Initial controls: MFA for remote and privileged access; patching of internet-facing assets; endpoint detection; network segmentation; tested offline or immutable backups; least privilege; and an incident playbook that includes safe restoration and evidence preservation.</w:t>
      </w:r>
    </w:p>
    <w:p>
      <w:pPr>
        <w:pStyle w:val="Heading2"/>
      </w:pPr>
      <w:r>
        <w:t>4.2 Challenge 2 — Identity compromise, phishing and fraud</w:t>
      </w:r>
    </w:p>
    <w:p>
      <w:r>
        <w:t>Threat scenario: a citizen receives a fake e-challan, subsidy, tax refund or account-suspension message and installs a malicious app or submits credentials to a cloned portal. Alternatively, an employee is tricked into approving a login or revealing a password.</w:t>
      </w:r>
    </w:p>
    <w:p>
      <w:r>
        <w:t>Enabling conditions include confusing official communications, weak domain monitoring, password reuse, insufficient MFA, risky app installation and inadequate verification for account recovery or high-value changes.</w:t>
      </w:r>
    </w:p>
    <w:p>
      <w:r>
        <w:t>Impact: account takeover, fraudulent transactions, identity theft, unauthorized changes to citizen records and increased help-desk workload. Initial controls: phishing-resistant MFA for staff and administrators; risk-based controls for citizen accounts; clear official-domain guidance; secure recovery procedures; anti-spoofing email configuration; rate limits; fraud reporting channels; and accessible citizen awareness campaigns.</w:t>
      </w:r>
    </w:p>
    <w:p>
      <w:pPr>
        <w:pStyle w:val="Heading2"/>
      </w:pPr>
      <w:r>
        <w:t>4.3 Challenge 3 — Application and API vulnerabilities</w:t>
      </w:r>
    </w:p>
    <w:p>
      <w:r>
        <w:t>Threat scenario: a user changes a record identifier in a request and retrieves another citizen's document because authorization is enforced only in the browser or not checked for every API request. Other examples include injection, insecure file uploads, weak session management and unsafe error handling.</w:t>
      </w:r>
    </w:p>
    <w:p>
      <w:r>
        <w:t>OWASP Top 10:2025 places broken access control first and includes security misconfiguration, software supply-chain failures and authentication failures among the key risk categories [5]. These categories provide a practical baseline for threat modelling and secure development, but require verification in each application.</w:t>
      </w:r>
    </w:p>
    <w:p>
      <w:r>
        <w:t>Impact: unauthorized disclosure or modification, service abuse, account compromise and regulatory consequences. Initial controls: server-side authorization on every request; deny-by-default role checks; secure coding standards; code review; dependency scanning; secrets management; security testing in CI/CD; API schema validation; rate limiting; and independent testing before major releases.</w:t>
      </w:r>
    </w:p>
    <w:p>
      <w:pPr>
        <w:pStyle w:val="Heading2"/>
      </w:pPr>
      <w:r>
        <w:t>4.4 Challenge 4 — Personal-data exposure and weak governance</w:t>
      </w:r>
    </w:p>
    <w:p>
      <w:r>
        <w:t>Threat scenario: an employee exports citizen data to a personal device, a cloud bucket is exposed, logs contain authentication secrets, or a third-party service retains more personal information than necessary.</w:t>
      </w:r>
    </w:p>
    <w:p>
      <w:r>
        <w:t>Enabling conditions include unclear data ownership, excessive collection, uncontrolled exports, weak encryption, long retention, poor access reviews and incomplete vendor agreements.</w:t>
      </w:r>
    </w:p>
    <w:p>
      <w:r>
        <w:t>Impact: privacy harm, identity fraud, reduced public trust and legal or regulatory obligations. Initial controls: data inventory and classification; purpose limitation and minimization; encryption in transit and at rest; restricted exports; auditable access; retention/deletion schedules; privacy impact assessments for high-risk processing; and incident processes aligned to applicable law and rules. The DPDP Act and Rules should be reviewed by the responsible legal/privacy team for applicability and phased commencement [6].</w:t>
      </w:r>
    </w:p>
    <w:p>
      <w:pPr>
        <w:pStyle w:val="Heading2"/>
      </w:pPr>
      <w:r>
        <w:t>4.5 Challenge 5 — Third-party, cloud and software supply-chain risk</w:t>
      </w:r>
    </w:p>
    <w:p>
      <w:r>
        <w:t>Threat scenario: a supplier account, software dependency, update mechanism or managed-service provider is compromised and becomes a path into a government service. A supplier may also unintentionally expose a secret or deploy an insecure configuration.</w:t>
      </w:r>
    </w:p>
    <w:p>
      <w:r>
        <w:t>Enabling conditions include unreviewed dependencies, shared administrator accounts, broad vendor access, weak contractual security requirements, limited software bills of materials (SBOMs) and poor visibility into cloud configurations.</w:t>
      </w:r>
    </w:p>
    <w:p>
      <w:r>
        <w:t>Impact: a single compromise may affect multiple services, while responsibility can be unclear between the department and vendor. Initial controls: supplier tiering; security clauses and incident notification expectations; MFA and just-in-time vendor access; dependency and container scanning; signed releases where feasible; SBOMs for critical applications; cloud posture reviews; and periodic access recertification.</w:t>
      </w:r>
    </w:p>
    <w:p>
      <w:pPr>
        <w:pStyle w:val="Heading2"/>
      </w:pPr>
      <w:r>
        <w:t>4.6 Challenge 6 — Detection gaps, legacy systems and limited readiness</w:t>
      </w:r>
    </w:p>
    <w:p>
      <w:r>
        <w:t>Threat scenario: an attacker maintains access for weeks because logs are incomplete, alerts are not monitored, time sources differ or no one owns incident escalation. Legacy systems may not support modern agents or may be difficult to patch without service disruption.</w:t>
      </w:r>
    </w:p>
    <w:p>
      <w:r>
        <w:t>Impact: longer attacker dwell time, repeated compromise, incomplete evidence, slow recovery and failure to meet applicable reporting obligations. Initial controls: central log collection; synchronized time; alert triage ownership; asset and vulnerability registers; compensating controls for unpatchable systems; tabletop exercises; tested restoration; and a clear incident-reporting path.</w:t>
      </w:r>
    </w:p>
    <w:p>
      <w:r>
        <w:br w:type="page"/>
      </w:r>
    </w:p>
    <w:p>
      <w:pPr>
        <w:pStyle w:val="Heading1"/>
      </w:pPr>
      <w:r>
        <w:t>5. Strategic Planning Framework</w:t>
      </w:r>
    </w:p>
    <w:p>
      <w:r>
        <w:t>The proposed strategy uses NIST CSF 2.0 as the organizing model. The six functions should operate continuously rather than as a one-time checklist. Leadership should approve risk appetite and ownership; technical teams should implement controls; service owners should validate service continuity; and privacy/legal teams should advise on personal-data obligations.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2304A"/>
          </w:tcPr>
          <w:p>
            <w:pPr>
              <w:spacing w:after="20"/>
            </w:pPr>
            <w:r/>
            <w:r>
              <w:rPr>
                <w:rFonts w:ascii="Aptos" w:hAnsi="Aptos"/>
                <w:b/>
                <w:color w:val="FFFFFF"/>
                <w:sz w:val="18"/>
              </w:rPr>
              <w:t>CSF function</w:t>
            </w:r>
          </w:p>
        </w:tc>
        <w:tc>
          <w:tcPr>
            <w:tcW w:type="dxa" w:w="3293"/>
            <w:vAlign w:val="center"/>
            <w:shd w:fill="12304A"/>
          </w:tcPr>
          <w:p>
            <w:pPr>
              <w:spacing w:after="20"/>
            </w:pPr>
            <w:r/>
            <w:r>
              <w:rPr>
                <w:rFonts w:ascii="Aptos" w:hAnsi="Aptos"/>
                <w:b/>
                <w:color w:val="FFFFFF"/>
                <w:sz w:val="18"/>
              </w:rPr>
              <w:t>Strategic outcome</w:t>
            </w:r>
          </w:p>
        </w:tc>
        <w:tc>
          <w:tcPr>
            <w:tcW w:type="dxa" w:w="3293"/>
            <w:vAlign w:val="center"/>
            <w:shd w:fill="12304A"/>
          </w:tcPr>
          <w:p>
            <w:pPr>
              <w:spacing w:after="20"/>
            </w:pPr>
            <w:r/>
            <w:r>
              <w:rPr>
                <w:rFonts w:ascii="Aptos" w:hAnsi="Aptos"/>
                <w:b/>
                <w:color w:val="FFFFFF"/>
                <w:sz w:val="18"/>
              </w:rPr>
              <w:t>Initial deliverables</w:t>
            </w:r>
          </w:p>
        </w:tc>
      </w:tr>
      <w:tr>
        <w:tc>
          <w:tcPr>
            <w:tcW w:type="dxa" w:w="3293"/>
            <w:vAlign w:val="center"/>
          </w:tcPr>
          <w:p>
            <w:pPr>
              <w:spacing w:after="20"/>
            </w:pPr>
            <w:r/>
            <w:r>
              <w:rPr>
                <w:rFonts w:ascii="Aptos" w:hAnsi="Aptos"/>
                <w:b/>
                <w:sz w:val="17"/>
              </w:rPr>
              <w:t>Govern</w:t>
            </w:r>
          </w:p>
        </w:tc>
        <w:tc>
          <w:tcPr>
            <w:tcW w:type="dxa" w:w="3293"/>
            <w:vAlign w:val="center"/>
          </w:tcPr>
          <w:p>
            <w:pPr>
              <w:spacing w:after="20"/>
            </w:pPr>
            <w:r/>
            <w:r>
              <w:rPr>
                <w:rFonts w:ascii="Aptos" w:hAnsi="Aptos"/>
                <w:b w:val="0"/>
                <w:sz w:val="17"/>
              </w:rPr>
              <w:t>Clear accountability, policy and risk decisions.</w:t>
            </w:r>
          </w:p>
        </w:tc>
        <w:tc>
          <w:tcPr>
            <w:tcW w:type="dxa" w:w="3293"/>
            <w:vAlign w:val="center"/>
          </w:tcPr>
          <w:p>
            <w:pPr>
              <w:spacing w:after="20"/>
            </w:pPr>
            <w:r/>
            <w:r>
              <w:rPr>
                <w:rFonts w:ascii="Aptos" w:hAnsi="Aptos"/>
                <w:b w:val="0"/>
                <w:sz w:val="17"/>
              </w:rPr>
              <w:t>Named service owner; risk register; supplier governance; incident authority and escalation.</w:t>
            </w:r>
          </w:p>
        </w:tc>
      </w:tr>
      <w:tr>
        <w:tc>
          <w:tcPr>
            <w:tcW w:type="dxa" w:w="3293"/>
            <w:vAlign w:val="center"/>
          </w:tcPr>
          <w:p>
            <w:pPr>
              <w:spacing w:after="20"/>
            </w:pPr>
            <w:r/>
            <w:r>
              <w:rPr>
                <w:rFonts w:ascii="Aptos" w:hAnsi="Aptos"/>
                <w:b/>
                <w:sz w:val="17"/>
              </w:rPr>
              <w:t>Identify</w:t>
            </w:r>
          </w:p>
        </w:tc>
        <w:tc>
          <w:tcPr>
            <w:tcW w:type="dxa" w:w="3293"/>
            <w:vAlign w:val="center"/>
          </w:tcPr>
          <w:p>
            <w:pPr>
              <w:spacing w:after="20"/>
            </w:pPr>
            <w:r/>
            <w:r>
              <w:rPr>
                <w:rFonts w:ascii="Aptos" w:hAnsi="Aptos"/>
                <w:b w:val="0"/>
                <w:sz w:val="17"/>
              </w:rPr>
              <w:t>Understand assets, data, dependencies and critical services.</w:t>
            </w:r>
          </w:p>
        </w:tc>
        <w:tc>
          <w:tcPr>
            <w:tcW w:type="dxa" w:w="3293"/>
            <w:vAlign w:val="center"/>
          </w:tcPr>
          <w:p>
            <w:pPr>
              <w:spacing w:after="20"/>
            </w:pPr>
            <w:r/>
            <w:r>
              <w:rPr>
                <w:rFonts w:ascii="Aptos" w:hAnsi="Aptos"/>
                <w:b w:val="0"/>
                <w:sz w:val="17"/>
              </w:rPr>
              <w:t>Asset inventory; data-flow map; threat model; business impact analysis; vulnerability register.</w:t>
            </w:r>
          </w:p>
        </w:tc>
      </w:tr>
      <w:tr>
        <w:tc>
          <w:tcPr>
            <w:tcW w:type="dxa" w:w="3293"/>
            <w:vAlign w:val="center"/>
          </w:tcPr>
          <w:p>
            <w:pPr>
              <w:spacing w:after="20"/>
            </w:pPr>
            <w:r/>
            <w:r>
              <w:rPr>
                <w:rFonts w:ascii="Aptos" w:hAnsi="Aptos"/>
                <w:b/>
                <w:sz w:val="17"/>
              </w:rPr>
              <w:t>Protect</w:t>
            </w:r>
          </w:p>
        </w:tc>
        <w:tc>
          <w:tcPr>
            <w:tcW w:type="dxa" w:w="3293"/>
            <w:vAlign w:val="center"/>
          </w:tcPr>
          <w:p>
            <w:pPr>
              <w:spacing w:after="20"/>
            </w:pPr>
            <w:r/>
            <w:r>
              <w:rPr>
                <w:rFonts w:ascii="Aptos" w:hAnsi="Aptos"/>
                <w:b w:val="0"/>
                <w:sz w:val="17"/>
              </w:rPr>
              <w:t>Reduce likelihood and blast radius of compromise.</w:t>
            </w:r>
          </w:p>
        </w:tc>
        <w:tc>
          <w:tcPr>
            <w:tcW w:type="dxa" w:w="3293"/>
            <w:vAlign w:val="center"/>
          </w:tcPr>
          <w:p>
            <w:pPr>
              <w:spacing w:after="20"/>
            </w:pPr>
            <w:r/>
            <w:r>
              <w:rPr>
                <w:rFonts w:ascii="Aptos" w:hAnsi="Aptos"/>
                <w:b w:val="0"/>
                <w:sz w:val="17"/>
              </w:rPr>
              <w:t>MFA; least privilege; secure configuration; patching; encryption; secure SDLC; staff training.</w:t>
            </w:r>
          </w:p>
        </w:tc>
      </w:tr>
      <w:tr>
        <w:tc>
          <w:tcPr>
            <w:tcW w:type="dxa" w:w="3293"/>
            <w:vAlign w:val="center"/>
          </w:tcPr>
          <w:p>
            <w:pPr>
              <w:spacing w:after="20"/>
            </w:pPr>
            <w:r/>
            <w:r>
              <w:rPr>
                <w:rFonts w:ascii="Aptos" w:hAnsi="Aptos"/>
                <w:b/>
                <w:sz w:val="17"/>
              </w:rPr>
              <w:t>Detect</w:t>
            </w:r>
          </w:p>
        </w:tc>
        <w:tc>
          <w:tcPr>
            <w:tcW w:type="dxa" w:w="3293"/>
            <w:vAlign w:val="center"/>
          </w:tcPr>
          <w:p>
            <w:pPr>
              <w:spacing w:after="20"/>
            </w:pPr>
            <w:r/>
            <w:r>
              <w:rPr>
                <w:rFonts w:ascii="Aptos" w:hAnsi="Aptos"/>
                <w:b w:val="0"/>
                <w:sz w:val="17"/>
              </w:rPr>
              <w:t>Discover suspicious activity quickly.</w:t>
            </w:r>
          </w:p>
        </w:tc>
        <w:tc>
          <w:tcPr>
            <w:tcW w:type="dxa" w:w="3293"/>
            <w:vAlign w:val="center"/>
          </w:tcPr>
          <w:p>
            <w:pPr>
              <w:spacing w:after="20"/>
            </w:pPr>
            <w:r/>
            <w:r>
              <w:rPr>
                <w:rFonts w:ascii="Aptos" w:hAnsi="Aptos"/>
                <w:b w:val="0"/>
                <w:sz w:val="17"/>
              </w:rPr>
              <w:t>Central logs; endpoint/network alerts; use cases for unusual access, exfiltration and privilege changes.</w:t>
            </w:r>
          </w:p>
        </w:tc>
      </w:tr>
      <w:tr>
        <w:tc>
          <w:tcPr>
            <w:tcW w:type="dxa" w:w="3293"/>
            <w:vAlign w:val="center"/>
          </w:tcPr>
          <w:p>
            <w:pPr>
              <w:spacing w:after="20"/>
            </w:pPr>
            <w:r/>
            <w:r>
              <w:rPr>
                <w:rFonts w:ascii="Aptos" w:hAnsi="Aptos"/>
                <w:b/>
                <w:sz w:val="17"/>
              </w:rPr>
              <w:t>Respond</w:t>
            </w:r>
          </w:p>
        </w:tc>
        <w:tc>
          <w:tcPr>
            <w:tcW w:type="dxa" w:w="3293"/>
            <w:vAlign w:val="center"/>
          </w:tcPr>
          <w:p>
            <w:pPr>
              <w:spacing w:after="20"/>
            </w:pPr>
            <w:r/>
            <w:r>
              <w:rPr>
                <w:rFonts w:ascii="Aptos" w:hAnsi="Aptos"/>
                <w:b w:val="0"/>
                <w:sz w:val="17"/>
              </w:rPr>
              <w:t>Contain incidents and coordinate decisions.</w:t>
            </w:r>
          </w:p>
        </w:tc>
        <w:tc>
          <w:tcPr>
            <w:tcW w:type="dxa" w:w="3293"/>
            <w:vAlign w:val="center"/>
          </w:tcPr>
          <w:p>
            <w:pPr>
              <w:spacing w:after="20"/>
            </w:pPr>
            <w:r/>
            <w:r>
              <w:rPr>
                <w:rFonts w:ascii="Aptos" w:hAnsi="Aptos"/>
                <w:b w:val="0"/>
                <w:sz w:val="17"/>
              </w:rPr>
              <w:t>Playbooks; contact tree; evidence handling; communications templates; CERT-In reporting workflow.</w:t>
            </w:r>
          </w:p>
        </w:tc>
      </w:tr>
      <w:tr>
        <w:tc>
          <w:tcPr>
            <w:tcW w:type="dxa" w:w="3293"/>
            <w:vAlign w:val="center"/>
          </w:tcPr>
          <w:p>
            <w:pPr>
              <w:spacing w:after="20"/>
            </w:pPr>
            <w:r/>
            <w:r>
              <w:rPr>
                <w:rFonts w:ascii="Aptos" w:hAnsi="Aptos"/>
                <w:b/>
                <w:sz w:val="17"/>
              </w:rPr>
              <w:t>Recover</w:t>
            </w:r>
          </w:p>
        </w:tc>
        <w:tc>
          <w:tcPr>
            <w:tcW w:type="dxa" w:w="3293"/>
            <w:vAlign w:val="center"/>
          </w:tcPr>
          <w:p>
            <w:pPr>
              <w:spacing w:after="20"/>
            </w:pPr>
            <w:r/>
            <w:r>
              <w:rPr>
                <w:rFonts w:ascii="Aptos" w:hAnsi="Aptos"/>
                <w:b w:val="0"/>
                <w:sz w:val="17"/>
              </w:rPr>
              <w:t>Restore trusted services and learn from incidents.</w:t>
            </w:r>
          </w:p>
        </w:tc>
        <w:tc>
          <w:tcPr>
            <w:tcW w:type="dxa" w:w="3293"/>
            <w:vAlign w:val="center"/>
          </w:tcPr>
          <w:p>
            <w:pPr>
              <w:spacing w:after="20"/>
            </w:pPr>
            <w:r/>
            <w:r>
              <w:rPr>
                <w:rFonts w:ascii="Aptos" w:hAnsi="Aptos"/>
                <w:b w:val="0"/>
                <w:sz w:val="17"/>
              </w:rPr>
              <w:t>Offline/immutable backups; recovery objectives; restoration tests; post-incident review.</w:t>
            </w:r>
          </w:p>
        </w:tc>
      </w:tr>
    </w:tbl>
    <w:p>
      <w:pPr>
        <w:pStyle w:val="Heading2"/>
      </w:pPr>
      <w:r>
        <w:t>5.1 Prioritized risk register</w:t>
      </w:r>
    </w:p>
    <w:p>
      <w:r>
        <w:t>The following ratings are preliminary planning estimates, not measured incident probabilities. A service owner should validate them after inventory, interviews, configuration review and authorized testing.</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vAlign w:val="center"/>
            <w:shd w:fill="087E8B"/>
          </w:tcPr>
          <w:p>
            <w:pPr>
              <w:spacing w:after="20"/>
            </w:pPr>
            <w:r/>
            <w:r>
              <w:rPr>
                <w:rFonts w:ascii="Aptos" w:hAnsi="Aptos"/>
                <w:b/>
                <w:color w:val="FFFFFF"/>
                <w:sz w:val="16"/>
              </w:rPr>
              <w:t>Risk area</w:t>
            </w:r>
          </w:p>
        </w:tc>
        <w:tc>
          <w:tcPr>
            <w:tcW w:type="dxa" w:w="1976"/>
            <w:vAlign w:val="center"/>
            <w:shd w:fill="087E8B"/>
          </w:tcPr>
          <w:p>
            <w:pPr>
              <w:spacing w:after="20"/>
            </w:pPr>
            <w:r/>
            <w:r>
              <w:rPr>
                <w:rFonts w:ascii="Aptos" w:hAnsi="Aptos"/>
                <w:b/>
                <w:color w:val="FFFFFF"/>
                <w:sz w:val="16"/>
              </w:rPr>
              <w:t>Example weakness</w:t>
            </w:r>
          </w:p>
        </w:tc>
        <w:tc>
          <w:tcPr>
            <w:tcW w:type="dxa" w:w="1976"/>
            <w:vAlign w:val="center"/>
            <w:shd w:fill="087E8B"/>
          </w:tcPr>
          <w:p>
            <w:pPr>
              <w:spacing w:after="20"/>
            </w:pPr>
            <w:r/>
            <w:r>
              <w:rPr>
                <w:rFonts w:ascii="Aptos" w:hAnsi="Aptos"/>
                <w:b/>
                <w:color w:val="FFFFFF"/>
                <w:sz w:val="16"/>
              </w:rPr>
              <w:t>Likelihood</w:t>
            </w:r>
          </w:p>
        </w:tc>
        <w:tc>
          <w:tcPr>
            <w:tcW w:type="dxa" w:w="1976"/>
            <w:vAlign w:val="center"/>
            <w:shd w:fill="087E8B"/>
          </w:tcPr>
          <w:p>
            <w:pPr>
              <w:spacing w:after="20"/>
            </w:pPr>
            <w:r/>
            <w:r>
              <w:rPr>
                <w:rFonts w:ascii="Aptos" w:hAnsi="Aptos"/>
                <w:b/>
                <w:color w:val="FFFFFF"/>
                <w:sz w:val="16"/>
              </w:rPr>
              <w:t>Impact</w:t>
            </w:r>
          </w:p>
        </w:tc>
        <w:tc>
          <w:tcPr>
            <w:tcW w:type="dxa" w:w="1976"/>
            <w:vAlign w:val="center"/>
            <w:shd w:fill="087E8B"/>
          </w:tcPr>
          <w:p>
            <w:pPr>
              <w:spacing w:after="20"/>
            </w:pPr>
            <w:r/>
            <w:r>
              <w:rPr>
                <w:rFonts w:ascii="Aptos" w:hAnsi="Aptos"/>
                <w:b/>
                <w:color w:val="FFFFFF"/>
                <w:sz w:val="16"/>
              </w:rPr>
              <w:t>Priority action</w:t>
            </w:r>
          </w:p>
        </w:tc>
      </w:tr>
      <w:tr>
        <w:tc>
          <w:tcPr>
            <w:tcW w:type="dxa" w:w="1976"/>
            <w:vAlign w:val="center"/>
          </w:tcPr>
          <w:p>
            <w:pPr>
              <w:spacing w:after="20"/>
            </w:pPr>
            <w:r/>
            <w:r>
              <w:rPr>
                <w:rFonts w:ascii="Aptos" w:hAnsi="Aptos"/>
                <w:b w:val="0"/>
                <w:sz w:val="15"/>
              </w:rPr>
              <w:t>Ransomware / outage</w:t>
            </w:r>
          </w:p>
        </w:tc>
        <w:tc>
          <w:tcPr>
            <w:tcW w:type="dxa" w:w="1976"/>
            <w:vAlign w:val="center"/>
          </w:tcPr>
          <w:p>
            <w:pPr>
              <w:spacing w:after="20"/>
            </w:pPr>
            <w:r/>
            <w:r>
              <w:rPr>
                <w:rFonts w:ascii="Aptos" w:hAnsi="Aptos"/>
                <w:b w:val="0"/>
                <w:sz w:val="15"/>
              </w:rPr>
              <w:t>Weak remote access; backups not isolated</w:t>
            </w:r>
          </w:p>
        </w:tc>
        <w:tc>
          <w:tcPr>
            <w:tcW w:type="dxa" w:w="1976"/>
            <w:vAlign w:val="center"/>
          </w:tcPr>
          <w:p>
            <w:pPr>
              <w:spacing w:after="20"/>
            </w:pPr>
            <w:r/>
            <w:r>
              <w:rPr>
                <w:rFonts w:ascii="Aptos" w:hAnsi="Aptos"/>
                <w:b w:val="0"/>
                <w:sz w:val="15"/>
              </w:rPr>
              <w:t>High</w:t>
            </w:r>
          </w:p>
        </w:tc>
        <w:tc>
          <w:tcPr>
            <w:tcW w:type="dxa" w:w="1976"/>
            <w:vAlign w:val="center"/>
          </w:tcPr>
          <w:p>
            <w:pPr>
              <w:spacing w:after="20"/>
            </w:pPr>
            <w:r/>
            <w:r>
              <w:rPr>
                <w:rFonts w:ascii="Aptos" w:hAnsi="Aptos"/>
                <w:b w:val="0"/>
                <w:sz w:val="15"/>
              </w:rPr>
              <w:t>Critical</w:t>
            </w:r>
          </w:p>
        </w:tc>
        <w:tc>
          <w:tcPr>
            <w:tcW w:type="dxa" w:w="1976"/>
            <w:vAlign w:val="center"/>
          </w:tcPr>
          <w:p>
            <w:pPr>
              <w:spacing w:after="20"/>
            </w:pPr>
            <w:r/>
            <w:r>
              <w:rPr>
                <w:rFonts w:ascii="Aptos" w:hAnsi="Aptos"/>
                <w:b w:val="0"/>
                <w:sz w:val="15"/>
              </w:rPr>
              <w:t>MFA, segmentation, offline backup restore test</w:t>
            </w:r>
          </w:p>
        </w:tc>
      </w:tr>
      <w:tr>
        <w:tc>
          <w:tcPr>
            <w:tcW w:type="dxa" w:w="1976"/>
            <w:vAlign w:val="center"/>
          </w:tcPr>
          <w:p>
            <w:pPr>
              <w:spacing w:after="20"/>
            </w:pPr>
            <w:r/>
            <w:r>
              <w:rPr>
                <w:rFonts w:ascii="Aptos" w:hAnsi="Aptos"/>
                <w:b w:val="0"/>
                <w:sz w:val="15"/>
              </w:rPr>
              <w:t>Identity fraud</w:t>
            </w:r>
          </w:p>
        </w:tc>
        <w:tc>
          <w:tcPr>
            <w:tcW w:type="dxa" w:w="1976"/>
            <w:vAlign w:val="center"/>
          </w:tcPr>
          <w:p>
            <w:pPr>
              <w:spacing w:after="20"/>
            </w:pPr>
            <w:r/>
            <w:r>
              <w:rPr>
                <w:rFonts w:ascii="Aptos" w:hAnsi="Aptos"/>
                <w:b w:val="0"/>
                <w:sz w:val="15"/>
              </w:rPr>
              <w:t>Phishing; weak recovery flow</w:t>
            </w:r>
          </w:p>
        </w:tc>
        <w:tc>
          <w:tcPr>
            <w:tcW w:type="dxa" w:w="1976"/>
            <w:vAlign w:val="center"/>
          </w:tcPr>
          <w:p>
            <w:pPr>
              <w:spacing w:after="20"/>
            </w:pPr>
            <w:r/>
            <w:r>
              <w:rPr>
                <w:rFonts w:ascii="Aptos" w:hAnsi="Aptos"/>
                <w:b w:val="0"/>
                <w:sz w:val="15"/>
              </w:rPr>
              <w:t>High</w:t>
            </w:r>
          </w:p>
        </w:tc>
        <w:tc>
          <w:tcPr>
            <w:tcW w:type="dxa" w:w="1976"/>
            <w:vAlign w:val="center"/>
          </w:tcPr>
          <w:p>
            <w:pPr>
              <w:spacing w:after="20"/>
            </w:pPr>
            <w:r/>
            <w:r>
              <w:rPr>
                <w:rFonts w:ascii="Aptos" w:hAnsi="Aptos"/>
                <w:b w:val="0"/>
                <w:sz w:val="15"/>
              </w:rPr>
              <w:t>High</w:t>
            </w:r>
          </w:p>
        </w:tc>
        <w:tc>
          <w:tcPr>
            <w:tcW w:type="dxa" w:w="1976"/>
            <w:vAlign w:val="center"/>
          </w:tcPr>
          <w:p>
            <w:pPr>
              <w:spacing w:after="20"/>
            </w:pPr>
            <w:r/>
            <w:r>
              <w:rPr>
                <w:rFonts w:ascii="Aptos" w:hAnsi="Aptos"/>
                <w:b w:val="0"/>
                <w:sz w:val="15"/>
              </w:rPr>
              <w:t>MFA, verified recovery, citizen alerts</w:t>
            </w:r>
          </w:p>
        </w:tc>
      </w:tr>
      <w:tr>
        <w:tc>
          <w:tcPr>
            <w:tcW w:type="dxa" w:w="1976"/>
            <w:vAlign w:val="center"/>
          </w:tcPr>
          <w:p>
            <w:pPr>
              <w:spacing w:after="20"/>
            </w:pPr>
            <w:r/>
            <w:r>
              <w:rPr>
                <w:rFonts w:ascii="Aptos" w:hAnsi="Aptos"/>
                <w:b w:val="0"/>
                <w:sz w:val="15"/>
              </w:rPr>
              <w:t>Web/API compromise</w:t>
            </w:r>
          </w:p>
        </w:tc>
        <w:tc>
          <w:tcPr>
            <w:tcW w:type="dxa" w:w="1976"/>
            <w:vAlign w:val="center"/>
          </w:tcPr>
          <w:p>
            <w:pPr>
              <w:spacing w:after="20"/>
            </w:pPr>
            <w:r/>
            <w:r>
              <w:rPr>
                <w:rFonts w:ascii="Aptos" w:hAnsi="Aptos"/>
                <w:b w:val="0"/>
                <w:sz w:val="15"/>
              </w:rPr>
              <w:t>Missing object-level authorization</w:t>
            </w:r>
          </w:p>
        </w:tc>
        <w:tc>
          <w:tcPr>
            <w:tcW w:type="dxa" w:w="1976"/>
            <w:vAlign w:val="center"/>
          </w:tcPr>
          <w:p>
            <w:pPr>
              <w:spacing w:after="20"/>
            </w:pPr>
            <w:r/>
            <w:r>
              <w:rPr>
                <w:rFonts w:ascii="Aptos" w:hAnsi="Aptos"/>
                <w:b w:val="0"/>
                <w:sz w:val="15"/>
              </w:rPr>
              <w:t>High</w:t>
            </w:r>
          </w:p>
        </w:tc>
        <w:tc>
          <w:tcPr>
            <w:tcW w:type="dxa" w:w="1976"/>
            <w:vAlign w:val="center"/>
          </w:tcPr>
          <w:p>
            <w:pPr>
              <w:spacing w:after="20"/>
            </w:pPr>
            <w:r/>
            <w:r>
              <w:rPr>
                <w:rFonts w:ascii="Aptos" w:hAnsi="Aptos"/>
                <w:b w:val="0"/>
                <w:sz w:val="15"/>
              </w:rPr>
              <w:t>Critical</w:t>
            </w:r>
          </w:p>
        </w:tc>
        <w:tc>
          <w:tcPr>
            <w:tcW w:type="dxa" w:w="1976"/>
            <w:vAlign w:val="center"/>
          </w:tcPr>
          <w:p>
            <w:pPr>
              <w:spacing w:after="20"/>
            </w:pPr>
            <w:r/>
            <w:r>
              <w:rPr>
                <w:rFonts w:ascii="Aptos" w:hAnsi="Aptos"/>
                <w:b w:val="0"/>
                <w:sz w:val="15"/>
              </w:rPr>
              <w:t>Threat model and server-side authorization tests</w:t>
            </w:r>
          </w:p>
        </w:tc>
      </w:tr>
      <w:tr>
        <w:tc>
          <w:tcPr>
            <w:tcW w:type="dxa" w:w="1976"/>
            <w:vAlign w:val="center"/>
          </w:tcPr>
          <w:p>
            <w:pPr>
              <w:spacing w:after="20"/>
            </w:pPr>
            <w:r/>
            <w:r>
              <w:rPr>
                <w:rFonts w:ascii="Aptos" w:hAnsi="Aptos"/>
                <w:b w:val="0"/>
                <w:sz w:val="15"/>
              </w:rPr>
              <w:t>Data exposure</w:t>
            </w:r>
          </w:p>
        </w:tc>
        <w:tc>
          <w:tcPr>
            <w:tcW w:type="dxa" w:w="1976"/>
            <w:vAlign w:val="center"/>
          </w:tcPr>
          <w:p>
            <w:pPr>
              <w:spacing w:after="20"/>
            </w:pPr>
            <w:r/>
            <w:r>
              <w:rPr>
                <w:rFonts w:ascii="Aptos" w:hAnsi="Aptos"/>
                <w:b w:val="0"/>
                <w:sz w:val="15"/>
              </w:rPr>
              <w:t>Overbroad access or public storage</w:t>
            </w:r>
          </w:p>
        </w:tc>
        <w:tc>
          <w:tcPr>
            <w:tcW w:type="dxa" w:w="1976"/>
            <w:vAlign w:val="center"/>
          </w:tcPr>
          <w:p>
            <w:pPr>
              <w:spacing w:after="20"/>
            </w:pPr>
            <w:r/>
            <w:r>
              <w:rPr>
                <w:rFonts w:ascii="Aptos" w:hAnsi="Aptos"/>
                <w:b w:val="0"/>
                <w:sz w:val="15"/>
              </w:rPr>
              <w:t>Medium–High</w:t>
            </w:r>
          </w:p>
        </w:tc>
        <w:tc>
          <w:tcPr>
            <w:tcW w:type="dxa" w:w="1976"/>
            <w:vAlign w:val="center"/>
          </w:tcPr>
          <w:p>
            <w:pPr>
              <w:spacing w:after="20"/>
            </w:pPr>
            <w:r/>
            <w:r>
              <w:rPr>
                <w:rFonts w:ascii="Aptos" w:hAnsi="Aptos"/>
                <w:b w:val="0"/>
                <w:sz w:val="15"/>
              </w:rPr>
              <w:t>Critical</w:t>
            </w:r>
          </w:p>
        </w:tc>
        <w:tc>
          <w:tcPr>
            <w:tcW w:type="dxa" w:w="1976"/>
            <w:vAlign w:val="center"/>
          </w:tcPr>
          <w:p>
            <w:pPr>
              <w:spacing w:after="20"/>
            </w:pPr>
            <w:r/>
            <w:r>
              <w:rPr>
                <w:rFonts w:ascii="Aptos" w:hAnsi="Aptos"/>
                <w:b w:val="0"/>
                <w:sz w:val="15"/>
              </w:rPr>
              <w:t>Classify data; restrict exports; review cloud permissions</w:t>
            </w:r>
          </w:p>
        </w:tc>
      </w:tr>
      <w:tr>
        <w:tc>
          <w:tcPr>
            <w:tcW w:type="dxa" w:w="1976"/>
            <w:vAlign w:val="center"/>
          </w:tcPr>
          <w:p>
            <w:pPr>
              <w:spacing w:after="20"/>
            </w:pPr>
            <w:r/>
            <w:r>
              <w:rPr>
                <w:rFonts w:ascii="Aptos" w:hAnsi="Aptos"/>
                <w:b w:val="0"/>
                <w:sz w:val="15"/>
              </w:rPr>
              <w:t>Supplier compromise</w:t>
            </w:r>
          </w:p>
        </w:tc>
        <w:tc>
          <w:tcPr>
            <w:tcW w:type="dxa" w:w="1976"/>
            <w:vAlign w:val="center"/>
          </w:tcPr>
          <w:p>
            <w:pPr>
              <w:spacing w:after="20"/>
            </w:pPr>
            <w:r/>
            <w:r>
              <w:rPr>
                <w:rFonts w:ascii="Aptos" w:hAnsi="Aptos"/>
                <w:b w:val="0"/>
                <w:sz w:val="15"/>
              </w:rPr>
              <w:t>Excessive vendor privileges</w:t>
            </w:r>
          </w:p>
        </w:tc>
        <w:tc>
          <w:tcPr>
            <w:tcW w:type="dxa" w:w="1976"/>
            <w:vAlign w:val="center"/>
          </w:tcPr>
          <w:p>
            <w:pPr>
              <w:spacing w:after="20"/>
            </w:pPr>
            <w:r/>
            <w:r>
              <w:rPr>
                <w:rFonts w:ascii="Aptos" w:hAnsi="Aptos"/>
                <w:b w:val="0"/>
                <w:sz w:val="15"/>
              </w:rPr>
              <w:t>Medium</w:t>
            </w:r>
          </w:p>
        </w:tc>
        <w:tc>
          <w:tcPr>
            <w:tcW w:type="dxa" w:w="1976"/>
            <w:vAlign w:val="center"/>
          </w:tcPr>
          <w:p>
            <w:pPr>
              <w:spacing w:after="20"/>
            </w:pPr>
            <w:r/>
            <w:r>
              <w:rPr>
                <w:rFonts w:ascii="Aptos" w:hAnsi="Aptos"/>
                <w:b w:val="0"/>
                <w:sz w:val="15"/>
              </w:rPr>
              <w:t>High</w:t>
            </w:r>
          </w:p>
        </w:tc>
        <w:tc>
          <w:tcPr>
            <w:tcW w:type="dxa" w:w="1976"/>
            <w:vAlign w:val="center"/>
          </w:tcPr>
          <w:p>
            <w:pPr>
              <w:spacing w:after="20"/>
            </w:pPr>
            <w:r/>
            <w:r>
              <w:rPr>
                <w:rFonts w:ascii="Aptos" w:hAnsi="Aptos"/>
                <w:b w:val="0"/>
                <w:sz w:val="15"/>
              </w:rPr>
              <w:t>Tier suppliers; time-limit access; assess dependencies</w:t>
            </w:r>
          </w:p>
        </w:tc>
      </w:tr>
      <w:tr>
        <w:tc>
          <w:tcPr>
            <w:tcW w:type="dxa" w:w="1976"/>
            <w:vAlign w:val="center"/>
          </w:tcPr>
          <w:p>
            <w:pPr>
              <w:spacing w:after="20"/>
            </w:pPr>
            <w:r/>
            <w:r>
              <w:rPr>
                <w:rFonts w:ascii="Aptos" w:hAnsi="Aptos"/>
                <w:b w:val="0"/>
                <w:sz w:val="15"/>
              </w:rPr>
              <w:t>AI-enabled activity</w:t>
            </w:r>
          </w:p>
        </w:tc>
        <w:tc>
          <w:tcPr>
            <w:tcW w:type="dxa" w:w="1976"/>
            <w:vAlign w:val="center"/>
          </w:tcPr>
          <w:p>
            <w:pPr>
              <w:spacing w:after="20"/>
            </w:pPr>
            <w:r/>
            <w:r>
              <w:rPr>
                <w:rFonts w:ascii="Aptos" w:hAnsi="Aptos"/>
                <w:b w:val="0"/>
                <w:sz w:val="15"/>
              </w:rPr>
              <w:t>Agent with production access/secrets</w:t>
            </w:r>
          </w:p>
        </w:tc>
        <w:tc>
          <w:tcPr>
            <w:tcW w:type="dxa" w:w="1976"/>
            <w:vAlign w:val="center"/>
          </w:tcPr>
          <w:p>
            <w:pPr>
              <w:spacing w:after="20"/>
            </w:pPr>
            <w:r/>
            <w:r>
              <w:rPr>
                <w:rFonts w:ascii="Aptos" w:hAnsi="Aptos"/>
                <w:b w:val="0"/>
                <w:sz w:val="15"/>
              </w:rPr>
              <w:t>Emerging / Medium</w:t>
            </w:r>
          </w:p>
        </w:tc>
        <w:tc>
          <w:tcPr>
            <w:tcW w:type="dxa" w:w="1976"/>
            <w:vAlign w:val="center"/>
          </w:tcPr>
          <w:p>
            <w:pPr>
              <w:spacing w:after="20"/>
            </w:pPr>
            <w:r/>
            <w:r>
              <w:rPr>
                <w:rFonts w:ascii="Aptos" w:hAnsi="Aptos"/>
                <w:b w:val="0"/>
                <w:sz w:val="15"/>
              </w:rPr>
              <w:t>High</w:t>
            </w:r>
          </w:p>
        </w:tc>
        <w:tc>
          <w:tcPr>
            <w:tcW w:type="dxa" w:w="1976"/>
            <w:vAlign w:val="center"/>
          </w:tcPr>
          <w:p>
            <w:pPr>
              <w:spacing w:after="20"/>
            </w:pPr>
            <w:r/>
            <w:r>
              <w:rPr>
                <w:rFonts w:ascii="Aptos" w:hAnsi="Aptos"/>
                <w:b w:val="0"/>
                <w:sz w:val="15"/>
              </w:rPr>
              <w:t>Isolate, least privilege, monitor agent actions</w:t>
            </w:r>
          </w:p>
        </w:tc>
      </w:tr>
      <w:tr>
        <w:tc>
          <w:tcPr>
            <w:tcW w:type="dxa" w:w="1976"/>
            <w:vAlign w:val="center"/>
          </w:tcPr>
          <w:p>
            <w:pPr>
              <w:spacing w:after="20"/>
            </w:pPr>
            <w:r/>
            <w:r>
              <w:rPr>
                <w:rFonts w:ascii="Aptos" w:hAnsi="Aptos"/>
                <w:b w:val="0"/>
                <w:sz w:val="15"/>
              </w:rPr>
              <w:t>Detection failure</w:t>
            </w:r>
          </w:p>
        </w:tc>
        <w:tc>
          <w:tcPr>
            <w:tcW w:type="dxa" w:w="1976"/>
            <w:vAlign w:val="center"/>
          </w:tcPr>
          <w:p>
            <w:pPr>
              <w:spacing w:after="20"/>
            </w:pPr>
            <w:r/>
            <w:r>
              <w:rPr>
                <w:rFonts w:ascii="Aptos" w:hAnsi="Aptos"/>
                <w:b w:val="0"/>
                <w:sz w:val="15"/>
              </w:rPr>
              <w:t>Incomplete logs or no alert owner</w:t>
            </w:r>
          </w:p>
        </w:tc>
        <w:tc>
          <w:tcPr>
            <w:tcW w:type="dxa" w:w="1976"/>
            <w:vAlign w:val="center"/>
          </w:tcPr>
          <w:p>
            <w:pPr>
              <w:spacing w:after="20"/>
            </w:pPr>
            <w:r/>
            <w:r>
              <w:rPr>
                <w:rFonts w:ascii="Aptos" w:hAnsi="Aptos"/>
                <w:b w:val="0"/>
                <w:sz w:val="15"/>
              </w:rPr>
              <w:t>Medium–High</w:t>
            </w:r>
          </w:p>
        </w:tc>
        <w:tc>
          <w:tcPr>
            <w:tcW w:type="dxa" w:w="1976"/>
            <w:vAlign w:val="center"/>
          </w:tcPr>
          <w:p>
            <w:pPr>
              <w:spacing w:after="20"/>
            </w:pPr>
            <w:r/>
            <w:r>
              <w:rPr>
                <w:rFonts w:ascii="Aptos" w:hAnsi="Aptos"/>
                <w:b w:val="0"/>
                <w:sz w:val="15"/>
              </w:rPr>
              <w:t>High</w:t>
            </w:r>
          </w:p>
        </w:tc>
        <w:tc>
          <w:tcPr>
            <w:tcW w:type="dxa" w:w="1976"/>
            <w:vAlign w:val="center"/>
          </w:tcPr>
          <w:p>
            <w:pPr>
              <w:spacing w:after="20"/>
            </w:pPr>
            <w:r/>
            <w:r>
              <w:rPr>
                <w:rFonts w:ascii="Aptos" w:hAnsi="Aptos"/>
                <w:b w:val="0"/>
                <w:sz w:val="15"/>
              </w:rPr>
              <w:t>Central logging, alert runbooks, exercises</w:t>
            </w:r>
          </w:p>
        </w:tc>
      </w:tr>
    </w:tbl>
    <w:p>
      <w:pPr>
        <w:pStyle w:val="Heading2"/>
      </w:pPr>
      <w:r>
        <w:t>5.2 Strategic principles</w:t>
      </w:r>
    </w:p>
    <w:p>
      <w:pPr>
        <w:pStyle w:val="ListBullet"/>
        <w:spacing w:after="40"/>
      </w:pPr>
      <w:r>
        <w:t>Risk-based prioritization: protect critical services and sensitive data first, rather than applying identical controls everywhere.</w:t>
      </w:r>
    </w:p>
    <w:p>
      <w:pPr>
        <w:pStyle w:val="ListBullet"/>
        <w:spacing w:after="40"/>
      </w:pPr>
      <w:r>
        <w:t>Secure by design: include security and privacy requirements during procurement, architecture, development and change approval.</w:t>
      </w:r>
    </w:p>
    <w:p>
      <w:pPr>
        <w:pStyle w:val="ListBullet"/>
        <w:spacing w:after="40"/>
      </w:pPr>
      <w:r>
        <w:t>Zero-trust access: verify identity, device and context; do not treat internal network location as proof of trust.</w:t>
      </w:r>
    </w:p>
    <w:p>
      <w:pPr>
        <w:pStyle w:val="ListBullet"/>
        <w:spacing w:after="40"/>
      </w:pPr>
      <w:r>
        <w:t>Defense in depth: combine identity controls, application security, network segmentation, monitoring, backups and response readiness.</w:t>
      </w:r>
    </w:p>
    <w:p>
      <w:pPr>
        <w:pStyle w:val="ListBullet"/>
        <w:spacing w:after="40"/>
      </w:pPr>
      <w:r>
        <w:t>Privacy and inclusion: minimize data collection while ensuring controls remain usable for citizens with different devices, abilities and connectivity.</w:t>
      </w:r>
    </w:p>
    <w:p>
      <w:pPr>
        <w:pStyle w:val="ListBullet"/>
        <w:spacing w:after="40"/>
      </w:pPr>
      <w:r>
        <w:t>Shared accountability: define responsibilities across department, system integrator, cloud provider, application vendor and incident-response teams.</w:t>
      </w:r>
    </w:p>
    <w:p>
      <w:pPr>
        <w:pStyle w:val="Heading1"/>
      </w:pPr>
      <w:r>
        <w:t>6. Proposed Mitigation Strategies</w:t>
      </w:r>
    </w:p>
    <w:p>
      <w:pPr>
        <w:pStyle w:val="Heading2"/>
      </w:pPr>
      <w:r>
        <w:t>6.1 Identity and access management</w:t>
      </w:r>
    </w:p>
    <w:p>
      <w:pPr>
        <w:pStyle w:val="ListBullet"/>
        <w:spacing w:after="40"/>
      </w:pPr>
      <w:r>
        <w:t>Require MFA for all administrators, remote access, cloud consoles, code repositories and vendor accounts; prefer phishing-resistant methods for privileged users.</w:t>
      </w:r>
    </w:p>
    <w:p>
      <w:pPr>
        <w:pStyle w:val="ListBullet"/>
        <w:spacing w:after="40"/>
      </w:pPr>
      <w:r>
        <w:t>Use unique accounts, role-based access control, least privilege and time-limited privileged elevation. Remove accounts promptly when staff or vendors leave.</w:t>
      </w:r>
    </w:p>
    <w:p>
      <w:pPr>
        <w:pStyle w:val="ListBullet"/>
        <w:spacing w:after="40"/>
      </w:pPr>
      <w:r>
        <w:t>Review access to sensitive records regularly and log both successful and failed access attempts.</w:t>
      </w:r>
    </w:p>
    <w:p>
      <w:pPr>
        <w:pStyle w:val="ListBullet"/>
        <w:spacing w:after="40"/>
      </w:pPr>
      <w:r>
        <w:t>Secure account recovery with independent verification, rate limits, notifications and controls against SIM-swap or social-engineering abuse.</w:t>
      </w:r>
    </w:p>
    <w:p>
      <w:pPr>
        <w:pStyle w:val="Heading2"/>
      </w:pPr>
      <w:r>
        <w:t>6.2 Secure applications and APIs</w:t>
      </w:r>
    </w:p>
    <w:p>
      <w:pPr>
        <w:pStyle w:val="ListBullet"/>
        <w:spacing w:after="40"/>
      </w:pPr>
      <w:r>
        <w:t>Maintain an inventory of public endpoints, APIs, domains, certificates, software versions and owners.</w:t>
      </w:r>
    </w:p>
    <w:p>
      <w:pPr>
        <w:pStyle w:val="ListBullet"/>
        <w:spacing w:after="40"/>
      </w:pPr>
      <w:r>
        <w:t>Adopt secure development practices: peer review, threat modelling, dependency scanning, secret scanning, static/dynamic testing and security gates for releases.</w:t>
      </w:r>
    </w:p>
    <w:p>
      <w:pPr>
        <w:pStyle w:val="ListBullet"/>
        <w:spacing w:after="40"/>
      </w:pPr>
      <w:r>
        <w:t>Enforce authorization on the server for every record and action. Test horizontal and vertical privilege boundaries using approved test accounts.</w:t>
      </w:r>
    </w:p>
    <w:p>
      <w:pPr>
        <w:pStyle w:val="ListBullet"/>
        <w:spacing w:after="40"/>
      </w:pPr>
      <w:r>
        <w:t>Validate input and file uploads; use parameterized queries; set secure session and cookie attributes; protect against CSRF where relevant; and avoid detailed error messages in production.</w:t>
      </w:r>
    </w:p>
    <w:p>
      <w:pPr>
        <w:pStyle w:val="ListBullet"/>
        <w:spacing w:after="40"/>
      </w:pPr>
      <w:r>
        <w:t>Use a documented vulnerability-management process with severity-based remediation targets and an exception process for legacy systems.</w:t>
      </w:r>
    </w:p>
    <w:p>
      <w:pPr>
        <w:pStyle w:val="Heading2"/>
      </w:pPr>
      <w:r>
        <w:t>6.3 Infrastructure, cloud and resilience</w:t>
      </w:r>
    </w:p>
    <w:p>
      <w:pPr>
        <w:pStyle w:val="ListBullet"/>
        <w:spacing w:after="40"/>
      </w:pPr>
      <w:r>
        <w:t>Harden server and cloud configurations; disable unused services; protect management interfaces; and restrict administrative access to trusted paths.</w:t>
      </w:r>
    </w:p>
    <w:p>
      <w:pPr>
        <w:pStyle w:val="ListBullet"/>
        <w:spacing w:after="40"/>
      </w:pPr>
      <w:r>
        <w:t>Patch internet-facing systems and actively exploited vulnerabilities first. Where immediate patching is impossible, apply compensating controls and document residual risk.</w:t>
      </w:r>
    </w:p>
    <w:p>
      <w:pPr>
        <w:pStyle w:val="ListBullet"/>
        <w:spacing w:after="40"/>
      </w:pPr>
      <w:r>
        <w:t>Segment public web tiers, application services, databases, administrative networks and backup systems to reduce lateral movement.</w:t>
      </w:r>
    </w:p>
    <w:p>
      <w:pPr>
        <w:pStyle w:val="ListBullet"/>
        <w:spacing w:after="40"/>
      </w:pPr>
      <w:r>
        <w:t>Keep multiple backup copies, including offline or immutable copies, and conduct restoration tests against documented recovery time and recovery point objectives.</w:t>
      </w:r>
    </w:p>
    <w:p>
      <w:pPr>
        <w:pStyle w:val="ListBullet"/>
        <w:spacing w:after="40"/>
      </w:pPr>
      <w:r>
        <w:t>Use DDoS protection, web application firewalls and capacity planning proportionate to service criticality; ensure emergency modes do not expose private data.</w:t>
      </w:r>
    </w:p>
    <w:p>
      <w:pPr>
        <w:pStyle w:val="Heading2"/>
      </w:pPr>
      <w:r>
        <w:t>6.4 Data protection and privacy</w:t>
      </w:r>
    </w:p>
    <w:p>
      <w:pPr>
        <w:pStyle w:val="ListBullet"/>
        <w:spacing w:after="40"/>
      </w:pPr>
      <w:r>
        <w:t>Map data flows and classify data by sensitivity, purpose, retention and access requirements.</w:t>
      </w:r>
    </w:p>
    <w:p>
      <w:pPr>
        <w:pStyle w:val="ListBullet"/>
        <w:spacing w:after="40"/>
      </w:pPr>
      <w:r>
        <w:t>Encrypt sensitive data in transit and at rest; store secrets in a managed secret store rather than source code or shared documents.</w:t>
      </w:r>
    </w:p>
    <w:p>
      <w:pPr>
        <w:pStyle w:val="ListBullet"/>
        <w:spacing w:after="40"/>
      </w:pPr>
      <w:r>
        <w:t>Limit data exports, mask data in non-production environments, and use synthetic or de-identified data for testing wherever feasible.</w:t>
      </w:r>
    </w:p>
    <w:p>
      <w:pPr>
        <w:pStyle w:val="ListBullet"/>
        <w:spacing w:after="40"/>
      </w:pPr>
      <w:r>
        <w:t>Establish retention and secure deletion procedures, audit access to sensitive records and assess third-party data processing.</w:t>
      </w:r>
    </w:p>
    <w:p>
      <w:pPr>
        <w:pStyle w:val="ListBullet"/>
        <w:spacing w:after="40"/>
      </w:pPr>
      <w:r>
        <w:t>Ask the designated privacy/legal function to map obligations under the DPDP Act and Rules, including applicability, commencement dates, notices, security safeguards and breach processes.</w:t>
      </w:r>
    </w:p>
    <w:p>
      <w:pPr>
        <w:pStyle w:val="Heading2"/>
      </w:pPr>
      <w:r>
        <w:t>6.5 Monitoring and incident response</w:t>
      </w:r>
    </w:p>
    <w:p>
      <w:pPr>
        <w:pStyle w:val="ListBullet"/>
        <w:spacing w:after="40"/>
      </w:pPr>
      <w:r>
        <w:t>Centralize security logs from identity providers, endpoints, firewalls, applications, APIs, databases and cloud control planes; synchronize clocks.</w:t>
      </w:r>
    </w:p>
    <w:p>
      <w:pPr>
        <w:pStyle w:val="ListBullet"/>
        <w:spacing w:after="40"/>
      </w:pPr>
      <w:r>
        <w:t>Create actionable alerts for unusual privileged activity, repeated authentication failures, impossible travel where appropriate, mass data access, suspicious exports, malware and unexpected configuration changes.</w:t>
      </w:r>
    </w:p>
    <w:p>
      <w:pPr>
        <w:pStyle w:val="ListBullet"/>
        <w:spacing w:after="40"/>
      </w:pPr>
      <w:r>
        <w:t>Assign a named 24/7 escalation route for critical services or use a managed monitoring arrangement with clear response-time expectations.</w:t>
      </w:r>
    </w:p>
    <w:p>
      <w:pPr>
        <w:pStyle w:val="ListBullet"/>
        <w:spacing w:after="40"/>
      </w:pPr>
      <w:r>
        <w:t>Prepare playbooks for ransomware, data breach, compromised administrator, DDoS, defacement, supplier compromise and AI-agent misuse.</w:t>
      </w:r>
    </w:p>
    <w:p>
      <w:pPr>
        <w:pStyle w:val="ListBullet"/>
        <w:spacing w:after="40"/>
      </w:pPr>
      <w:r>
        <w:t>Preserve logs and evidence, coordinate legal/privacy and service communications, and follow applicable CERT-In reporting directions. CERT-In's published directions and FAQs should be consulted for current scope and procedures [2].</w:t>
      </w:r>
    </w:p>
    <w:p>
      <w:pPr>
        <w:pStyle w:val="Heading2"/>
      </w:pPr>
      <w:r>
        <w:t>6.6 Workforce and citizen awareness</w:t>
      </w:r>
    </w:p>
    <w:p>
      <w:pPr>
        <w:pStyle w:val="ListBullet"/>
        <w:spacing w:after="40"/>
      </w:pPr>
      <w:r>
        <w:t>Provide short, role-based training for administrators, developers, help-desk teams, procurement staff and general employees.</w:t>
      </w:r>
    </w:p>
    <w:p>
      <w:pPr>
        <w:pStyle w:val="ListBullet"/>
        <w:spacing w:after="40"/>
      </w:pPr>
      <w:r>
        <w:t>Run safe phishing simulations and make reporting suspicious messages simple and non-punitive.</w:t>
      </w:r>
    </w:p>
    <w:p>
      <w:pPr>
        <w:pStyle w:val="ListBullet"/>
        <w:spacing w:after="40"/>
      </w:pPr>
      <w:r>
        <w:t>Publish a consistent list of official domains and safe reporting channels; avoid sending citizens unexpected APK files or asking them to disclose OTPs.</w:t>
      </w:r>
    </w:p>
    <w:p>
      <w:pPr>
        <w:pStyle w:val="ListBullet"/>
        <w:spacing w:after="40"/>
      </w:pPr>
      <w:r>
        <w:t>Make public-facing warnings accessible, multilingual where appropriate, and consistent across websites, SMS, email and service centres.</w:t>
      </w:r>
    </w:p>
    <w:p>
      <w:pPr>
        <w:pStyle w:val="Heading2"/>
      </w:pPr>
      <w:r>
        <w:t>6.7 AI-specific safeguards</w:t>
      </w:r>
    </w:p>
    <w:p>
      <w:pPr>
        <w:pStyle w:val="ListBullet"/>
        <w:spacing w:after="40"/>
      </w:pPr>
      <w:r>
        <w:t>Register AI agents and tools as managed assets with an accountable owner, approved purpose and documented permissions.</w:t>
      </w:r>
    </w:p>
    <w:p>
      <w:pPr>
        <w:pStyle w:val="ListBullet"/>
        <w:spacing w:after="40"/>
      </w:pPr>
      <w:r>
        <w:t>Separate evaluation, development and production environments. Do not provide agents with real citizen data or production credentials by default.</w:t>
      </w:r>
    </w:p>
    <w:p>
      <w:pPr>
        <w:pStyle w:val="ListBullet"/>
        <w:spacing w:after="40"/>
      </w:pPr>
      <w:r>
        <w:t>Apply least privilege to tools, APIs and filesystem access; use short-lived credentials and restrict network egress.</w:t>
      </w:r>
    </w:p>
    <w:p>
      <w:pPr>
        <w:pStyle w:val="ListBullet"/>
        <w:spacing w:after="40"/>
      </w:pPr>
      <w:r>
        <w:t>Require human approval for payments, account changes, bulk exports, destructive operations and changes to production infrastructure.</w:t>
      </w:r>
    </w:p>
    <w:p>
      <w:pPr>
        <w:pStyle w:val="ListBullet"/>
        <w:spacing w:after="40"/>
      </w:pPr>
      <w:r>
        <w:t>Log prompts where appropriate, tool calls, identity, data access and actions while protecting sensitive content in the logs; test safe shutdown and credential revocation.</w:t>
      </w:r>
    </w:p>
    <w:p>
      <w:pPr>
        <w:pStyle w:val="Heading1"/>
      </w:pPr>
      <w:r>
        <w:t>7. 30/60/90-Day Implementation Roadmap</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shd w:fill="12304A"/>
          </w:tcPr>
          <w:p>
            <w:pPr>
              <w:spacing w:after="20"/>
            </w:pPr>
            <w:r/>
            <w:r>
              <w:rPr>
                <w:rFonts w:ascii="Aptos" w:hAnsi="Aptos"/>
                <w:b/>
                <w:color w:val="FFFFFF"/>
                <w:sz w:val="17"/>
              </w:rPr>
              <w:t>Period</w:t>
            </w:r>
          </w:p>
        </w:tc>
        <w:tc>
          <w:tcPr>
            <w:tcW w:type="dxa" w:w="2469"/>
            <w:vAlign w:val="center"/>
            <w:shd w:fill="12304A"/>
          </w:tcPr>
          <w:p>
            <w:pPr>
              <w:spacing w:after="20"/>
            </w:pPr>
            <w:r/>
            <w:r>
              <w:rPr>
                <w:rFonts w:ascii="Aptos" w:hAnsi="Aptos"/>
                <w:b/>
                <w:color w:val="FFFFFF"/>
                <w:sz w:val="17"/>
              </w:rPr>
              <w:t>Focus</w:t>
            </w:r>
          </w:p>
        </w:tc>
        <w:tc>
          <w:tcPr>
            <w:tcW w:type="dxa" w:w="2469"/>
            <w:vAlign w:val="center"/>
            <w:shd w:fill="12304A"/>
          </w:tcPr>
          <w:p>
            <w:pPr>
              <w:spacing w:after="20"/>
            </w:pPr>
            <w:r/>
            <w:r>
              <w:rPr>
                <w:rFonts w:ascii="Aptos" w:hAnsi="Aptos"/>
                <w:b/>
                <w:color w:val="FFFFFF"/>
                <w:sz w:val="17"/>
              </w:rPr>
              <w:t>Actions</w:t>
            </w:r>
          </w:p>
        </w:tc>
        <w:tc>
          <w:tcPr>
            <w:tcW w:type="dxa" w:w="2469"/>
            <w:vAlign w:val="center"/>
            <w:shd w:fill="12304A"/>
          </w:tcPr>
          <w:p>
            <w:pPr>
              <w:spacing w:after="20"/>
            </w:pPr>
            <w:r/>
            <w:r>
              <w:rPr>
                <w:rFonts w:ascii="Aptos" w:hAnsi="Aptos"/>
                <w:b/>
                <w:color w:val="FFFFFF"/>
                <w:sz w:val="17"/>
              </w:rPr>
              <w:t>Evidence of completion</w:t>
            </w:r>
          </w:p>
        </w:tc>
      </w:tr>
      <w:tr>
        <w:tc>
          <w:tcPr>
            <w:tcW w:type="dxa" w:w="2469"/>
            <w:vAlign w:val="center"/>
          </w:tcPr>
          <w:p>
            <w:pPr>
              <w:spacing w:after="20"/>
            </w:pPr>
            <w:r/>
            <w:r>
              <w:rPr>
                <w:rFonts w:ascii="Aptos" w:hAnsi="Aptos"/>
                <w:b/>
                <w:sz w:val="15"/>
              </w:rPr>
              <w:t>Days 1–30</w:t>
              <w:br/>
              <w:t>Stabilize</w:t>
            </w:r>
          </w:p>
        </w:tc>
        <w:tc>
          <w:tcPr>
            <w:tcW w:type="dxa" w:w="2469"/>
            <w:vAlign w:val="center"/>
          </w:tcPr>
          <w:p>
            <w:pPr>
              <w:spacing w:after="20"/>
            </w:pPr>
            <w:r/>
            <w:r>
              <w:rPr>
                <w:rFonts w:ascii="Aptos" w:hAnsi="Aptos"/>
                <w:b w:val="0"/>
                <w:sz w:val="15"/>
              </w:rPr>
              <w:t>Visibility and urgent exposure</w:t>
            </w:r>
          </w:p>
        </w:tc>
        <w:tc>
          <w:tcPr>
            <w:tcW w:type="dxa" w:w="2469"/>
            <w:vAlign w:val="center"/>
          </w:tcPr>
          <w:p>
            <w:pPr>
              <w:spacing w:after="20"/>
            </w:pPr>
            <w:r/>
            <w:r>
              <w:rPr>
                <w:rFonts w:ascii="Aptos" w:hAnsi="Aptos"/>
                <w:b w:val="0"/>
                <w:sz w:val="15"/>
              </w:rPr>
              <w:t>Name service/security owners; inventory critical assets and data; enforce MFA on privileged access; review public exposure; patch urgent known vulnerabilities; verify backups; identify incident contacts and reporting obligations.</w:t>
            </w:r>
          </w:p>
        </w:tc>
        <w:tc>
          <w:tcPr>
            <w:tcW w:type="dxa" w:w="2469"/>
            <w:vAlign w:val="center"/>
          </w:tcPr>
          <w:p>
            <w:pPr>
              <w:spacing w:after="20"/>
            </w:pPr>
            <w:r/>
            <w:r>
              <w:rPr>
                <w:rFonts w:ascii="Aptos" w:hAnsi="Aptos"/>
                <w:b w:val="0"/>
                <w:sz w:val="15"/>
              </w:rPr>
              <w:t>Approved asset list; prioritized risk register; MFA coverage report; backup restoration evidence; incident contact tree.</w:t>
            </w:r>
          </w:p>
        </w:tc>
      </w:tr>
      <w:tr>
        <w:tc>
          <w:tcPr>
            <w:tcW w:type="dxa" w:w="2469"/>
            <w:vAlign w:val="center"/>
          </w:tcPr>
          <w:p>
            <w:pPr>
              <w:spacing w:after="20"/>
            </w:pPr>
            <w:r/>
            <w:r>
              <w:rPr>
                <w:rFonts w:ascii="Aptos" w:hAnsi="Aptos"/>
                <w:b/>
                <w:sz w:val="15"/>
              </w:rPr>
              <w:t>Days 31–60</w:t>
              <w:br/>
              <w:t>Strengthen</w:t>
            </w:r>
          </w:p>
        </w:tc>
        <w:tc>
          <w:tcPr>
            <w:tcW w:type="dxa" w:w="2469"/>
            <w:vAlign w:val="center"/>
          </w:tcPr>
          <w:p>
            <w:pPr>
              <w:spacing w:after="20"/>
            </w:pPr>
            <w:r/>
            <w:r>
              <w:rPr>
                <w:rFonts w:ascii="Aptos" w:hAnsi="Aptos"/>
                <w:b w:val="0"/>
                <w:sz w:val="15"/>
              </w:rPr>
              <w:t>Control implementation</w:t>
            </w:r>
          </w:p>
        </w:tc>
        <w:tc>
          <w:tcPr>
            <w:tcW w:type="dxa" w:w="2469"/>
            <w:vAlign w:val="center"/>
          </w:tcPr>
          <w:p>
            <w:pPr>
              <w:spacing w:after="20"/>
            </w:pPr>
            <w:r/>
            <w:r>
              <w:rPr>
                <w:rFonts w:ascii="Aptos" w:hAnsi="Aptos"/>
                <w:b w:val="0"/>
                <w:sz w:val="15"/>
              </w:rPr>
              <w:t>Centralize critical logs; implement high-value alerts; run web/API security tests; review cloud permissions and vendor access; document ransomware/data-breach playbooks; train staff; map applicable privacy requirements.</w:t>
            </w:r>
          </w:p>
        </w:tc>
        <w:tc>
          <w:tcPr>
            <w:tcW w:type="dxa" w:w="2469"/>
            <w:vAlign w:val="center"/>
          </w:tcPr>
          <w:p>
            <w:pPr>
              <w:spacing w:after="20"/>
            </w:pPr>
            <w:r/>
            <w:r>
              <w:rPr>
                <w:rFonts w:ascii="Aptos" w:hAnsi="Aptos"/>
                <w:b w:val="0"/>
                <w:sz w:val="15"/>
              </w:rPr>
              <w:t>Log coverage dashboard; test findings with owners and due dates; supplier register; approved playbooks; training completion.</w:t>
            </w:r>
          </w:p>
        </w:tc>
      </w:tr>
      <w:tr>
        <w:tc>
          <w:tcPr>
            <w:tcW w:type="dxa" w:w="2469"/>
            <w:vAlign w:val="center"/>
          </w:tcPr>
          <w:p>
            <w:pPr>
              <w:spacing w:after="20"/>
            </w:pPr>
            <w:r/>
            <w:r>
              <w:rPr>
                <w:rFonts w:ascii="Aptos" w:hAnsi="Aptos"/>
                <w:b/>
                <w:sz w:val="15"/>
              </w:rPr>
              <w:t>Days 61–90</w:t>
              <w:br/>
              <w:t>Validate</w:t>
            </w:r>
          </w:p>
        </w:tc>
        <w:tc>
          <w:tcPr>
            <w:tcW w:type="dxa" w:w="2469"/>
            <w:vAlign w:val="center"/>
          </w:tcPr>
          <w:p>
            <w:pPr>
              <w:spacing w:after="20"/>
            </w:pPr>
            <w:r/>
            <w:r>
              <w:rPr>
                <w:rFonts w:ascii="Aptos" w:hAnsi="Aptos"/>
                <w:b w:val="0"/>
                <w:sz w:val="15"/>
              </w:rPr>
              <w:t>Exercise and improve</w:t>
            </w:r>
          </w:p>
        </w:tc>
        <w:tc>
          <w:tcPr>
            <w:tcW w:type="dxa" w:w="2469"/>
            <w:vAlign w:val="center"/>
          </w:tcPr>
          <w:p>
            <w:pPr>
              <w:spacing w:after="20"/>
            </w:pPr>
            <w:r/>
            <w:r>
              <w:rPr>
                <w:rFonts w:ascii="Aptos" w:hAnsi="Aptos"/>
                <w:b w:val="0"/>
                <w:sz w:val="15"/>
              </w:rPr>
              <w:t>Run tabletop exercise; test recovery of a critical service; remediate high-risk findings; assess AI-agent exposure; review KPIs and residual risks with leadership; set the next quarterly plan.</w:t>
            </w:r>
          </w:p>
        </w:tc>
        <w:tc>
          <w:tcPr>
            <w:tcW w:type="dxa" w:w="2469"/>
            <w:vAlign w:val="center"/>
          </w:tcPr>
          <w:p>
            <w:pPr>
              <w:spacing w:after="20"/>
            </w:pPr>
            <w:r/>
            <w:r>
              <w:rPr>
                <w:rFonts w:ascii="Aptos" w:hAnsi="Aptos"/>
                <w:b w:val="0"/>
                <w:sz w:val="15"/>
              </w:rPr>
              <w:t>Exercise report; recovery test results; remediation trend; AI access review; signed risk acceptance and next-quarter roadmap.</w:t>
            </w:r>
          </w:p>
        </w:tc>
      </w:tr>
    </w:tbl>
    <w:p>
      <w:pPr>
        <w:pStyle w:val="Heading2"/>
      </w:pPr>
      <w:r>
        <w:t>7.1 Resource and feasibility notes</w:t>
      </w:r>
    </w:p>
    <w:p>
      <w:r>
        <w:t>A department does not need to purchase every security product at once. First use existing capabilities effectively: identity-provider MFA, supported operating-system updates, cloud-native audit logs, secure configuration baselines, documented access reviews and backup restoration drills. Where specialist capacity is limited, prioritize critical services and consider CERT-In empanelled auditors or qualified managed providers through approved procurement. Procurement should include service-level expectations, data-handling clauses, access restrictions, audit rights and incident notification procedures.</w:t>
      </w:r>
    </w:p>
    <w:p>
      <w:pPr>
        <w:pStyle w:val="Heading1"/>
      </w:pPr>
      <w:r>
        <w:t>8. Measurement, Governance and Reporting</w:t>
      </w:r>
    </w:p>
    <w:p>
      <w:r>
        <w:t>Metrics should demonstrate reduced risk and improved recovery, not merely count installed tools. Establish a baseline in the first month and review results monthly for critical services.</w:t>
      </w:r>
    </w:p>
    <w:tbl>
      <w:tblPr>
        <w:tblStyle w:val="TableGrid"/>
        <w:tblW w:type="auto" w:w="0"/>
        <w:tblLook w:firstColumn="1" w:firstRow="1" w:lastColumn="0" w:lastRow="0" w:noHBand="0" w:noVBand="1" w:val="04A0"/>
      </w:tblPr>
      <w:tblGrid>
        <w:gridCol w:w="3293"/>
        <w:gridCol w:w="3293"/>
        <w:gridCol w:w="3293"/>
      </w:tblGrid>
      <w:tr>
        <w:tc>
          <w:tcPr>
            <w:tcW w:type="dxa" w:w="3293"/>
            <w:vAlign w:val="center"/>
            <w:shd w:fill="087E8B"/>
          </w:tcPr>
          <w:p>
            <w:pPr>
              <w:spacing w:after="20"/>
            </w:pPr>
            <w:r/>
            <w:r>
              <w:rPr>
                <w:rFonts w:ascii="Aptos" w:hAnsi="Aptos"/>
                <w:b/>
                <w:color w:val="FFFFFF"/>
                <w:sz w:val="17"/>
              </w:rPr>
              <w:t>Metric</w:t>
            </w:r>
          </w:p>
        </w:tc>
        <w:tc>
          <w:tcPr>
            <w:tcW w:type="dxa" w:w="3293"/>
            <w:vAlign w:val="center"/>
            <w:shd w:fill="087E8B"/>
          </w:tcPr>
          <w:p>
            <w:pPr>
              <w:spacing w:after="20"/>
            </w:pPr>
            <w:r/>
            <w:r>
              <w:rPr>
                <w:rFonts w:ascii="Aptos" w:hAnsi="Aptos"/>
                <w:b/>
                <w:color w:val="FFFFFF"/>
                <w:sz w:val="17"/>
              </w:rPr>
              <w:t>Suggested target</w:t>
            </w:r>
          </w:p>
        </w:tc>
        <w:tc>
          <w:tcPr>
            <w:tcW w:type="dxa" w:w="3293"/>
            <w:vAlign w:val="center"/>
            <w:shd w:fill="087E8B"/>
          </w:tcPr>
          <w:p>
            <w:pPr>
              <w:spacing w:after="20"/>
            </w:pPr>
            <w:r/>
            <w:r>
              <w:rPr>
                <w:rFonts w:ascii="Aptos" w:hAnsi="Aptos"/>
                <w:b/>
                <w:color w:val="FFFFFF"/>
                <w:sz w:val="17"/>
              </w:rPr>
              <w:t>Why it matters</w:t>
            </w:r>
          </w:p>
        </w:tc>
      </w:tr>
      <w:tr>
        <w:tc>
          <w:tcPr>
            <w:tcW w:type="dxa" w:w="3293"/>
            <w:vAlign w:val="center"/>
          </w:tcPr>
          <w:p>
            <w:pPr>
              <w:spacing w:after="20"/>
            </w:pPr>
            <w:r/>
            <w:r>
              <w:rPr>
                <w:rFonts w:ascii="Aptos" w:hAnsi="Aptos"/>
                <w:b w:val="0"/>
                <w:sz w:val="15"/>
              </w:rPr>
              <w:t>Critical asset inventory coverage</w:t>
            </w:r>
          </w:p>
        </w:tc>
        <w:tc>
          <w:tcPr>
            <w:tcW w:type="dxa" w:w="3293"/>
            <w:vAlign w:val="center"/>
          </w:tcPr>
          <w:p>
            <w:pPr>
              <w:spacing w:after="20"/>
            </w:pPr>
            <w:r/>
            <w:r>
              <w:rPr>
                <w:rFonts w:ascii="Aptos" w:hAnsi="Aptos"/>
                <w:b w:val="0"/>
                <w:sz w:val="15"/>
              </w:rPr>
              <w:t>100% of critical services identified by Day 30</w:t>
            </w:r>
          </w:p>
        </w:tc>
        <w:tc>
          <w:tcPr>
            <w:tcW w:type="dxa" w:w="3293"/>
            <w:vAlign w:val="center"/>
          </w:tcPr>
          <w:p>
            <w:pPr>
              <w:spacing w:after="20"/>
            </w:pPr>
            <w:r/>
            <w:r>
              <w:rPr>
                <w:rFonts w:ascii="Aptos" w:hAnsi="Aptos"/>
                <w:b w:val="0"/>
                <w:sz w:val="15"/>
              </w:rPr>
              <w:t>Unknown assets cannot be reliably protected.</w:t>
            </w:r>
          </w:p>
        </w:tc>
      </w:tr>
      <w:tr>
        <w:tc>
          <w:tcPr>
            <w:tcW w:type="dxa" w:w="3293"/>
            <w:vAlign w:val="center"/>
          </w:tcPr>
          <w:p>
            <w:pPr>
              <w:spacing w:after="20"/>
            </w:pPr>
            <w:r/>
            <w:r>
              <w:rPr>
                <w:rFonts w:ascii="Aptos" w:hAnsi="Aptos"/>
                <w:b w:val="0"/>
                <w:sz w:val="15"/>
              </w:rPr>
              <w:t>Privileged MFA coverage</w:t>
            </w:r>
          </w:p>
        </w:tc>
        <w:tc>
          <w:tcPr>
            <w:tcW w:type="dxa" w:w="3293"/>
            <w:vAlign w:val="center"/>
          </w:tcPr>
          <w:p>
            <w:pPr>
              <w:spacing w:after="20"/>
            </w:pPr>
            <w:r/>
            <w:r>
              <w:rPr>
                <w:rFonts w:ascii="Aptos" w:hAnsi="Aptos"/>
                <w:b w:val="0"/>
                <w:sz w:val="15"/>
              </w:rPr>
              <w:t>100% by Day 30, exceptions documented</w:t>
            </w:r>
          </w:p>
        </w:tc>
        <w:tc>
          <w:tcPr>
            <w:tcW w:type="dxa" w:w="3293"/>
            <w:vAlign w:val="center"/>
          </w:tcPr>
          <w:p>
            <w:pPr>
              <w:spacing w:after="20"/>
            </w:pPr>
            <w:r/>
            <w:r>
              <w:rPr>
                <w:rFonts w:ascii="Aptos" w:hAnsi="Aptos"/>
                <w:b w:val="0"/>
                <w:sz w:val="15"/>
              </w:rPr>
              <w:t>Reduces credential-only compromise.</w:t>
            </w:r>
          </w:p>
        </w:tc>
      </w:tr>
      <w:tr>
        <w:tc>
          <w:tcPr>
            <w:tcW w:type="dxa" w:w="3293"/>
            <w:vAlign w:val="center"/>
          </w:tcPr>
          <w:p>
            <w:pPr>
              <w:spacing w:after="20"/>
            </w:pPr>
            <w:r/>
            <w:r>
              <w:rPr>
                <w:rFonts w:ascii="Aptos" w:hAnsi="Aptos"/>
                <w:b w:val="0"/>
                <w:sz w:val="15"/>
              </w:rPr>
              <w:t>Critical internet-facing vulnerabilities</w:t>
            </w:r>
          </w:p>
        </w:tc>
        <w:tc>
          <w:tcPr>
            <w:tcW w:type="dxa" w:w="3293"/>
            <w:vAlign w:val="center"/>
          </w:tcPr>
          <w:p>
            <w:pPr>
              <w:spacing w:after="20"/>
            </w:pPr>
            <w:r/>
            <w:r>
              <w:rPr>
                <w:rFonts w:ascii="Aptos" w:hAnsi="Aptos"/>
                <w:b w:val="0"/>
                <w:sz w:val="15"/>
              </w:rPr>
              <w:t>Triaged within 48 hours; remediation plan assigned</w:t>
            </w:r>
          </w:p>
        </w:tc>
        <w:tc>
          <w:tcPr>
            <w:tcW w:type="dxa" w:w="3293"/>
            <w:vAlign w:val="center"/>
          </w:tcPr>
          <w:p>
            <w:pPr>
              <w:spacing w:after="20"/>
            </w:pPr>
            <w:r/>
            <w:r>
              <w:rPr>
                <w:rFonts w:ascii="Aptos" w:hAnsi="Aptos"/>
                <w:b w:val="0"/>
                <w:sz w:val="15"/>
              </w:rPr>
              <w:t>Reduces exposure to known attack paths.</w:t>
            </w:r>
          </w:p>
        </w:tc>
      </w:tr>
      <w:tr>
        <w:tc>
          <w:tcPr>
            <w:tcW w:type="dxa" w:w="3293"/>
            <w:vAlign w:val="center"/>
          </w:tcPr>
          <w:p>
            <w:pPr>
              <w:spacing w:after="20"/>
            </w:pPr>
            <w:r/>
            <w:r>
              <w:rPr>
                <w:rFonts w:ascii="Aptos" w:hAnsi="Aptos"/>
                <w:b w:val="0"/>
                <w:sz w:val="15"/>
              </w:rPr>
              <w:t>Backup restoration success</w:t>
            </w:r>
          </w:p>
        </w:tc>
        <w:tc>
          <w:tcPr>
            <w:tcW w:type="dxa" w:w="3293"/>
            <w:vAlign w:val="center"/>
          </w:tcPr>
          <w:p>
            <w:pPr>
              <w:spacing w:after="20"/>
            </w:pPr>
            <w:r/>
            <w:r>
              <w:rPr>
                <w:rFonts w:ascii="Aptos" w:hAnsi="Aptos"/>
                <w:b w:val="0"/>
                <w:sz w:val="15"/>
              </w:rPr>
              <w:t>At least one tested restore for each critical service by Day 60</w:t>
            </w:r>
          </w:p>
        </w:tc>
        <w:tc>
          <w:tcPr>
            <w:tcW w:type="dxa" w:w="3293"/>
            <w:vAlign w:val="center"/>
          </w:tcPr>
          <w:p>
            <w:pPr>
              <w:spacing w:after="20"/>
            </w:pPr>
            <w:r/>
            <w:r>
              <w:rPr>
                <w:rFonts w:ascii="Aptos" w:hAnsi="Aptos"/>
                <w:b w:val="0"/>
                <w:sz w:val="15"/>
              </w:rPr>
              <w:t>A backup is only useful if it can be restored.</w:t>
            </w:r>
          </w:p>
        </w:tc>
      </w:tr>
      <w:tr>
        <w:tc>
          <w:tcPr>
            <w:tcW w:type="dxa" w:w="3293"/>
            <w:vAlign w:val="center"/>
          </w:tcPr>
          <w:p>
            <w:pPr>
              <w:spacing w:after="20"/>
            </w:pPr>
            <w:r/>
            <w:r>
              <w:rPr>
                <w:rFonts w:ascii="Aptos" w:hAnsi="Aptos"/>
                <w:b w:val="0"/>
                <w:sz w:val="15"/>
              </w:rPr>
              <w:t>Critical log-source coverage</w:t>
            </w:r>
          </w:p>
        </w:tc>
        <w:tc>
          <w:tcPr>
            <w:tcW w:type="dxa" w:w="3293"/>
            <w:vAlign w:val="center"/>
          </w:tcPr>
          <w:p>
            <w:pPr>
              <w:spacing w:after="20"/>
            </w:pPr>
            <w:r/>
            <w:r>
              <w:rPr>
                <w:rFonts w:ascii="Aptos" w:hAnsi="Aptos"/>
                <w:b w:val="0"/>
                <w:sz w:val="15"/>
              </w:rPr>
              <w:t>All identified critical systems onboarded by Day 60</w:t>
            </w:r>
          </w:p>
        </w:tc>
        <w:tc>
          <w:tcPr>
            <w:tcW w:type="dxa" w:w="3293"/>
            <w:vAlign w:val="center"/>
          </w:tcPr>
          <w:p>
            <w:pPr>
              <w:spacing w:after="20"/>
            </w:pPr>
            <w:r/>
            <w:r>
              <w:rPr>
                <w:rFonts w:ascii="Aptos" w:hAnsi="Aptos"/>
                <w:b w:val="0"/>
                <w:sz w:val="15"/>
              </w:rPr>
              <w:t>Improves detection and investigation.</w:t>
            </w:r>
          </w:p>
        </w:tc>
      </w:tr>
      <w:tr>
        <w:tc>
          <w:tcPr>
            <w:tcW w:type="dxa" w:w="3293"/>
            <w:vAlign w:val="center"/>
          </w:tcPr>
          <w:p>
            <w:pPr>
              <w:spacing w:after="20"/>
            </w:pPr>
            <w:r/>
            <w:r>
              <w:rPr>
                <w:rFonts w:ascii="Aptos" w:hAnsi="Aptos"/>
                <w:b w:val="0"/>
                <w:sz w:val="15"/>
              </w:rPr>
              <w:t>High-risk findings overdue</w:t>
            </w:r>
          </w:p>
        </w:tc>
        <w:tc>
          <w:tcPr>
            <w:tcW w:type="dxa" w:w="3293"/>
            <w:vAlign w:val="center"/>
          </w:tcPr>
          <w:p>
            <w:pPr>
              <w:spacing w:after="20"/>
            </w:pPr>
            <w:r/>
            <w:r>
              <w:rPr>
                <w:rFonts w:ascii="Aptos" w:hAnsi="Aptos"/>
                <w:b w:val="0"/>
                <w:sz w:val="15"/>
              </w:rPr>
              <w:t>Declining month over month; each exception has an owner</w:t>
            </w:r>
          </w:p>
        </w:tc>
        <w:tc>
          <w:tcPr>
            <w:tcW w:type="dxa" w:w="3293"/>
            <w:vAlign w:val="center"/>
          </w:tcPr>
          <w:p>
            <w:pPr>
              <w:spacing w:after="20"/>
            </w:pPr>
            <w:r/>
            <w:r>
              <w:rPr>
                <w:rFonts w:ascii="Aptos" w:hAnsi="Aptos"/>
                <w:b w:val="0"/>
                <w:sz w:val="15"/>
              </w:rPr>
              <w:t>Shows whether remediation is working.</w:t>
            </w:r>
          </w:p>
        </w:tc>
      </w:tr>
      <w:tr>
        <w:tc>
          <w:tcPr>
            <w:tcW w:type="dxa" w:w="3293"/>
            <w:vAlign w:val="center"/>
          </w:tcPr>
          <w:p>
            <w:pPr>
              <w:spacing w:after="20"/>
            </w:pPr>
            <w:r/>
            <w:r>
              <w:rPr>
                <w:rFonts w:ascii="Aptos" w:hAnsi="Aptos"/>
                <w:b w:val="0"/>
                <w:sz w:val="15"/>
              </w:rPr>
              <w:t>Incident exercise completion</w:t>
            </w:r>
          </w:p>
        </w:tc>
        <w:tc>
          <w:tcPr>
            <w:tcW w:type="dxa" w:w="3293"/>
            <w:vAlign w:val="center"/>
          </w:tcPr>
          <w:p>
            <w:pPr>
              <w:spacing w:after="20"/>
            </w:pPr>
            <w:r/>
            <w:r>
              <w:rPr>
                <w:rFonts w:ascii="Aptos" w:hAnsi="Aptos"/>
                <w:b w:val="0"/>
                <w:sz w:val="15"/>
              </w:rPr>
              <w:t>One tabletop by Day 90</w:t>
            </w:r>
          </w:p>
        </w:tc>
        <w:tc>
          <w:tcPr>
            <w:tcW w:type="dxa" w:w="3293"/>
            <w:vAlign w:val="center"/>
          </w:tcPr>
          <w:p>
            <w:pPr>
              <w:spacing w:after="20"/>
            </w:pPr>
            <w:r/>
            <w:r>
              <w:rPr>
                <w:rFonts w:ascii="Aptos" w:hAnsi="Aptos"/>
                <w:b w:val="0"/>
                <w:sz w:val="15"/>
              </w:rPr>
              <w:t>Tests roles and decision-making before a real event.</w:t>
            </w:r>
          </w:p>
        </w:tc>
      </w:tr>
      <w:tr>
        <w:tc>
          <w:tcPr>
            <w:tcW w:type="dxa" w:w="3293"/>
            <w:vAlign w:val="center"/>
          </w:tcPr>
          <w:p>
            <w:pPr>
              <w:spacing w:after="20"/>
            </w:pPr>
            <w:r/>
            <w:r>
              <w:rPr>
                <w:rFonts w:ascii="Aptos" w:hAnsi="Aptos"/>
                <w:b w:val="0"/>
                <w:sz w:val="15"/>
              </w:rPr>
              <w:t>Supplier access review</w:t>
            </w:r>
          </w:p>
        </w:tc>
        <w:tc>
          <w:tcPr>
            <w:tcW w:type="dxa" w:w="3293"/>
            <w:vAlign w:val="center"/>
          </w:tcPr>
          <w:p>
            <w:pPr>
              <w:spacing w:after="20"/>
            </w:pPr>
            <w:r/>
            <w:r>
              <w:rPr>
                <w:rFonts w:ascii="Aptos" w:hAnsi="Aptos"/>
                <w:b w:val="0"/>
                <w:sz w:val="15"/>
              </w:rPr>
              <w:t>All high-risk suppliers reviewed by Day 60</w:t>
            </w:r>
          </w:p>
        </w:tc>
        <w:tc>
          <w:tcPr>
            <w:tcW w:type="dxa" w:w="3293"/>
            <w:vAlign w:val="center"/>
          </w:tcPr>
          <w:p>
            <w:pPr>
              <w:spacing w:after="20"/>
            </w:pPr>
            <w:r/>
            <w:r>
              <w:rPr>
                <w:rFonts w:ascii="Aptos" w:hAnsi="Aptos"/>
                <w:b w:val="0"/>
                <w:sz w:val="15"/>
              </w:rPr>
              <w:t>Reduces third-party access risk.</w:t>
            </w:r>
          </w:p>
        </w:tc>
      </w:tr>
    </w:tbl>
    <w:p>
      <w:pPr>
        <w:pStyle w:val="Heading2"/>
      </w:pPr>
      <w:r>
        <w:t>8.1 Governance and accountability</w:t>
      </w:r>
    </w:p>
    <w:p>
      <w:pPr>
        <w:pStyle w:val="ListBullet"/>
        <w:spacing w:after="40"/>
      </w:pPr>
      <w:r>
        <w:t>Executive sponsor: approves risk appetite, funding priorities and residual-risk decisions.</w:t>
      </w:r>
    </w:p>
    <w:p>
      <w:pPr>
        <w:pStyle w:val="ListBullet"/>
        <w:spacing w:after="40"/>
      </w:pPr>
      <w:r>
        <w:t>Service owner: accountable for citizen impact, continuity objectives and acceptance of operational changes.</w:t>
      </w:r>
    </w:p>
    <w:p>
      <w:pPr>
        <w:pStyle w:val="ListBullet"/>
        <w:spacing w:after="40"/>
      </w:pPr>
      <w:r>
        <w:t>Security lead / CISO function: maintains risk register, monitoring, response coordination and assurance reporting.</w:t>
      </w:r>
    </w:p>
    <w:p>
      <w:pPr>
        <w:pStyle w:val="ListBullet"/>
        <w:spacing w:after="40"/>
      </w:pPr>
      <w:r>
        <w:t>IT and development teams: implement hardening, patching, secure coding, backups and remediation.</w:t>
      </w:r>
    </w:p>
    <w:p>
      <w:pPr>
        <w:pStyle w:val="ListBullet"/>
        <w:spacing w:after="40"/>
      </w:pPr>
      <w:r>
        <w:t>Privacy/legal function: interprets applicable legal requirements and coordinates personal-data obligations.</w:t>
      </w:r>
    </w:p>
    <w:p>
      <w:pPr>
        <w:pStyle w:val="ListBullet"/>
        <w:spacing w:after="40"/>
      </w:pPr>
      <w:r>
        <w:t>Procurement and vendor managers: apply supplier due diligence, contract controls and access reviews.</w:t>
      </w:r>
    </w:p>
    <w:p>
      <w:pPr>
        <w:pStyle w:val="Heading2"/>
      </w:pPr>
      <w:r>
        <w:t>8.2 Incident escalation and reporting</w:t>
      </w:r>
    </w:p>
    <w:p>
      <w:r>
        <w:t>Maintain an incident decision tree that identifies who can isolate systems, suspend credentials, contact suppliers, inform leadership, communicate with citizens and coordinate reporting. CERT-In's directions state that specified categories of incidents must be reported within six hours of noticing them or being brought to notice; organizations should confirm applicability and follow the current official directions and FAQs [2]. Do not wait for every forensic detail before escalating where the applicable rules allow initial reporting with available information. Preserve relevant logs and evidence and document decisions.</w:t>
      </w:r>
    </w:p>
    <w:p>
      <w:pPr>
        <w:pStyle w:val="Heading1"/>
      </w:pPr>
      <w:r>
        <w:t>9. Conclusion</w:t>
      </w:r>
    </w:p>
    <w:p>
      <w:r>
        <w:t>The security of e-governance is inseparable from the reliability and legitimacy of public service delivery. The main risks are not limited to sophisticated attacks: weak identity controls, unpatched systems, broken authorization, excessive data access, supplier permissions and incomplete monitoring can create opportunities for attackers. Ransomware can stop services, phishing can compromise citizen and employee accounts, application flaws can expose records, and third-party or AI-enabled activity can expand the attack surface.</w:t>
      </w:r>
    </w:p>
    <w:p>
      <w:r>
        <w:t>A practical response is a continuous, risk-based programme rather than a one-time compliance exercise. Leadership should assign clear ownership, inventory critical services and data, implement strong access controls, secure applications and dependencies, monitor meaningful events, rehearse incident response and verify recovery. Privacy safeguards and accessible citizen communication should be built into the same plan. The 30/60/90-day roadmap provides a starting sequence, while metrics allow progress to be reviewed and adjusted. All ratings and actions should be validated through authorized assessments of the actual environment.</w:t>
      </w:r>
    </w:p>
    <w:p>
      <w:pPr>
        <w:pStyle w:val="Heading1"/>
      </w:pPr>
      <w:r>
        <w:t>References</w:t>
      </w:r>
    </w:p>
    <w:p>
      <w:pPr>
        <w:pStyle w:val="ListNumber"/>
        <w:spacing w:after="60"/>
      </w:pPr>
      <w:r>
        <w:t xml:space="preserve">[1] CERT-In. (15 October 2026). “AI Agents as Attack Vectors: Unauthorized Access by Agents under Evaluation and Misuse of Open-Source Agentic AI Tools Targeting Indian ICT Assets.” </w:t>
      </w:r>
      <w:r>
        <w:rPr>
          <w:color w:val="006699"/>
          <w:sz w:val="17"/>
          <w:u w:val="single"/>
        </w:rPr>
        <w:t>https://www.cert-in.org.in/s2cMainServlet?CACODE=CICA-2026-3630&amp;pageid=PUBADV01</w:t>
      </w:r>
    </w:p>
    <w:p>
      <w:pPr>
        <w:pStyle w:val="ListNumber"/>
        <w:spacing w:after="60"/>
      </w:pPr>
      <w:r>
        <w:t xml:space="preserve">[2] CERT-In. “Directions by CERT-In under Section 70B” and FAQs on Cyber Security Directions of 28 April 2022. </w:t>
      </w:r>
      <w:r>
        <w:rPr>
          <w:color w:val="006699"/>
          <w:sz w:val="17"/>
          <w:u w:val="single"/>
        </w:rPr>
        <w:t>https://www.cert-in.org.in/Directions70B.jsp</w:t>
      </w:r>
    </w:p>
    <w:p>
      <w:pPr>
        <w:pStyle w:val="ListNumber"/>
        <w:spacing w:after="60"/>
      </w:pPr>
      <w:r>
        <w:t xml:space="preserve">[3] CERT-In. (25 March 2025). “India Ransomware Report — Year 2024.” </w:t>
      </w:r>
      <w:r>
        <w:rPr>
          <w:color w:val="006699"/>
          <w:sz w:val="17"/>
          <w:u w:val="single"/>
        </w:rPr>
        <w:t>https://www.cert-in.org.in/PDF/RANSOMWARE_Report_2024.pdf</w:t>
      </w:r>
    </w:p>
    <w:p>
      <w:pPr>
        <w:pStyle w:val="ListNumber"/>
        <w:spacing w:after="60"/>
      </w:pPr>
      <w:r>
        <w:t xml:space="preserve">[4] National Institute of Standards and Technology (NIST). (2024). “NIST Cybersecurity Framework (CSF) 2.0: Resource &amp; Overview Guide.” </w:t>
      </w:r>
      <w:r>
        <w:rPr>
          <w:color w:val="006699"/>
          <w:sz w:val="17"/>
          <w:u w:val="single"/>
        </w:rPr>
        <w:t>https://nvlpubs.nist.gov/nistpubs/SpecialPublications/NIST.SP.1299.pdf</w:t>
      </w:r>
    </w:p>
    <w:p>
      <w:pPr>
        <w:pStyle w:val="ListNumber"/>
        <w:spacing w:after="60"/>
      </w:pPr>
      <w:r>
        <w:t xml:space="preserve">[5] OWASP Foundation. “OWASP Top 10:2025 — The Ten Most Critical Web Application Security Risks.” </w:t>
      </w:r>
      <w:r>
        <w:rPr>
          <w:color w:val="006699"/>
          <w:sz w:val="17"/>
          <w:u w:val="single"/>
        </w:rPr>
        <w:t>https://top10.owasp.org/2025/0x00_2025-Introduction/</w:t>
      </w:r>
    </w:p>
    <w:p>
      <w:pPr>
        <w:pStyle w:val="ListNumber"/>
        <w:spacing w:after="60"/>
      </w:pPr>
      <w:r>
        <w:t xml:space="preserve">[6] Ministry of Electronics and Information Technology (MeitY), Government of India. “Digital Personal Data Protection Rules, 2025” and related implementation information. </w:t>
      </w:r>
      <w:r>
        <w:rPr>
          <w:color w:val="006699"/>
          <w:sz w:val="17"/>
          <w:u w:val="single"/>
        </w:rPr>
        <w:t>https://www.meity.gov.in/documents/act-and-policies/digital-personal-data-protection-rules-2025-gDOxUjMtQWa?pageTitle=Digit</w:t>
      </w:r>
    </w:p>
    <w:p>
      <w:pPr>
        <w:pStyle w:val="ListNumber"/>
        <w:spacing w:after="60"/>
      </w:pPr>
      <w:r>
        <w:t xml:space="preserve">[7] CERT-In. (17 March 2026). “Sophisticated RTO/eChallan-themed Android Malware Campaign targeting Sensitive Information.” </w:t>
      </w:r>
      <w:r>
        <w:rPr>
          <w:color w:val="006699"/>
          <w:sz w:val="17"/>
          <w:u w:val="single"/>
        </w:rPr>
        <w:t>https://www.cert-in.org.in/s2cMainServlet?CACODE=CICA-2026-3492&amp;pageid=PUBADV01</w:t>
      </w:r>
    </w:p>
    <w:p>
      <w:pPr>
        <w:pStyle w:val="ListNumber"/>
        <w:spacing w:after="60"/>
      </w:pPr>
      <w:r>
        <w:t xml:space="preserve">[8] CERT-In. (1 November 2024). “Measures to Prevent IDOR Vulnerabilities” (Advisory CIAD-2024-0051). </w:t>
      </w:r>
      <w:r>
        <w:rPr>
          <w:color w:val="006699"/>
          <w:sz w:val="17"/>
          <w:u w:val="single"/>
        </w:rPr>
        <w:t>https://www.cert-in.org.in/s2cMainServlet?VLCODE=CIAD-2024-0051&amp;pageid=PUBVLNOTES02</w:t>
      </w:r>
    </w:p>
    <w:p>
      <w:pPr>
        <w:pStyle w:val="ListNumber"/>
        <w:spacing w:after="60"/>
      </w:pPr>
      <w:r>
        <w:t xml:space="preserve">[9] NIST. “Cybersecurity Framework FAQs.” </w:t>
      </w:r>
      <w:r>
        <w:rPr>
          <w:color w:val="006699"/>
          <w:sz w:val="17"/>
          <w:u w:val="single"/>
        </w:rPr>
        <w:t>https://www.nist.gov/cyberframework/faqs</w:t>
      </w:r>
    </w:p>
    <w:p>
      <w:pPr>
        <w:pStyle w:val="Heading1"/>
      </w:pPr>
      <w:r>
        <w:t>Appendix A — Practical first-week checklist</w:t>
      </w:r>
    </w:p>
    <w:p>
      <w:pPr>
        <w:pStyle w:val="ListBullet"/>
        <w:spacing w:after="40"/>
      </w:pPr>
      <w:r>
        <w:t>Confirm scope, service owners and authorized assessment boundaries.</w:t>
      </w:r>
    </w:p>
    <w:p>
      <w:pPr>
        <w:pStyle w:val="ListBullet"/>
        <w:spacing w:after="40"/>
      </w:pPr>
      <w:r>
        <w:t>List public domains, portals, APIs, cloud accounts and third-party services.</w:t>
      </w:r>
    </w:p>
    <w:p>
      <w:pPr>
        <w:pStyle w:val="ListBullet"/>
        <w:spacing w:after="40"/>
      </w:pPr>
      <w:r>
        <w:t>Identify the highest-impact citizen services and the personal data they process.</w:t>
      </w:r>
    </w:p>
    <w:p>
      <w:pPr>
        <w:pStyle w:val="ListBullet"/>
        <w:spacing w:after="40"/>
      </w:pPr>
      <w:r>
        <w:t>Check privileged MFA, stale accounts, shared accounts and vendor access.</w:t>
      </w:r>
    </w:p>
    <w:p>
      <w:pPr>
        <w:pStyle w:val="ListBullet"/>
        <w:spacing w:after="40"/>
      </w:pPr>
      <w:r>
        <w:t>Review recent critical vulnerability advisories for deployed technology.</w:t>
      </w:r>
    </w:p>
    <w:p>
      <w:pPr>
        <w:pStyle w:val="ListBullet"/>
        <w:spacing w:after="40"/>
      </w:pPr>
      <w:r>
        <w:t>Verify backup status and schedule a controlled restoration test.</w:t>
      </w:r>
    </w:p>
    <w:p>
      <w:pPr>
        <w:pStyle w:val="ListBullet"/>
        <w:spacing w:after="40"/>
      </w:pPr>
      <w:r>
        <w:t>Confirm logging, alert ownership, escalation contacts and CERT-In reporting workflow.</w:t>
      </w:r>
    </w:p>
    <w:p>
      <w:pPr>
        <w:pStyle w:val="ListBullet"/>
        <w:spacing w:after="40"/>
      </w:pPr>
      <w:r>
        <w:t>Create a risk register with owner, severity, due date, evidence and residual risk.</w:t>
      </w:r>
    </w:p>
    <w:p>
      <w:r>
        <w:t>Ethical and authorization note: All scanning, testing, log review and validation must be performed only on systems for which written authorization and a defined scope have been provided. This report intentionally contains no exploit instructions and does not claim to have tested any live government service.</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E7D"/>
        <w:sz w:val="16"/>
      </w:rPr>
      <w:t>Cybersecurity Strategy for E-Governance and Digital Public Services  •  22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E7D"/>
        <w:sz w:val="16"/>
      </w:rPr>
      <w:t>WEEK 1  |  CYBER LANDSCAPE ANALYSIS &amp; STRATEGIC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230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