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28"/>
        </w:rPr>
        <w:t>WEEK 3 TASK</w:t>
      </w:r>
    </w:p>
    <w:p>
      <w:pPr>
        <w:jc w:val="center"/>
      </w:pPr>
      <w:r>
        <w:rPr>
          <w:b/>
          <w:color w:val="1F4E79"/>
          <w:sz w:val="50"/>
        </w:rPr>
        <w:t>CYBERSECURITY POLICY</w:t>
        <w:br/>
        <w:t>FRAMEWORK DEVELOPMENT</w:t>
      </w:r>
    </w:p>
    <w:p>
      <w:pPr>
        <w:jc w:val="center"/>
      </w:pPr>
      <w:r>
        <w:rPr>
          <w:i/>
        </w:rPr>
        <w:t>For Digital Government and Public-Sector Services</w:t>
      </w:r>
    </w:p>
    <w:p/>
    <w:tbl>
      <w:tblPr>
        <w:tblStyle w:val="TableGrid"/>
        <w:tblW w:type="auto" w:w="0"/>
        <w:jc w:val="center"/>
        <w:tblLook w:firstColumn="1" w:firstRow="1" w:lastColumn="0" w:lastRow="0" w:noHBand="0" w:noVBand="1" w:val="04A0"/>
      </w:tblPr>
      <w:tblGrid>
        <w:gridCol w:w="5040"/>
        <w:gridCol w:w="5040"/>
      </w:tblGrid>
      <w:tr>
        <w:tc>
          <w:tcPr>
            <w:tcW w:type="dxa" w:w="5040"/>
            <w:shd w:fill="C6D9F1"/>
          </w:tcPr>
          <w:p>
            <w:r>
              <w:rPr>
                <w:b/>
                <w:sz w:val="17"/>
              </w:rPr>
              <w:t>Document control</w:t>
            </w:r>
          </w:p>
        </w:tc>
        <w:tc>
          <w:tcPr>
            <w:tcW w:type="dxa" w:w="5040"/>
            <w:shd w:fill="C6D9F1"/>
          </w:tcPr>
          <w:p>
            <w:r>
              <w:rPr>
                <w:b/>
                <w:sz w:val="17"/>
              </w:rPr>
              <w:t>Details</w:t>
            </w:r>
          </w:p>
        </w:tc>
      </w:tr>
      <w:tr>
        <w:tc>
          <w:tcPr>
            <w:tcW w:type="dxa" w:w="5040"/>
            <w:vAlign w:val="center"/>
          </w:tcPr>
          <w:p>
            <w:pPr>
              <w:spacing w:after="20"/>
            </w:pPr>
            <w:r>
              <w:rPr>
                <w:sz w:val="17"/>
              </w:rPr>
              <w:t>Title</w:t>
            </w:r>
          </w:p>
        </w:tc>
        <w:tc>
          <w:tcPr>
            <w:tcW w:type="dxa" w:w="5040"/>
            <w:vAlign w:val="center"/>
          </w:tcPr>
          <w:p>
            <w:pPr>
              <w:spacing w:after="20"/>
            </w:pPr>
            <w:r>
              <w:rPr>
                <w:sz w:val="17"/>
              </w:rPr>
              <w:t>Week3_Policy_Framework</w:t>
            </w:r>
          </w:p>
        </w:tc>
      </w:tr>
      <w:tr>
        <w:tc>
          <w:tcPr>
            <w:tcW w:type="dxa" w:w="5040"/>
            <w:vAlign w:val="center"/>
          </w:tcPr>
          <w:p>
            <w:pPr>
              <w:spacing w:after="20"/>
            </w:pPr>
            <w:r>
              <w:rPr>
                <w:sz w:val="17"/>
              </w:rPr>
              <w:t>Version</w:t>
            </w:r>
          </w:p>
        </w:tc>
        <w:tc>
          <w:tcPr>
            <w:tcW w:type="dxa" w:w="5040"/>
            <w:vAlign w:val="center"/>
          </w:tcPr>
          <w:p>
            <w:pPr>
              <w:spacing w:after="20"/>
            </w:pPr>
            <w:r>
              <w:rPr>
                <w:sz w:val="17"/>
              </w:rPr>
              <w:t>1.0 — Internship working draft</w:t>
            </w:r>
          </w:p>
        </w:tc>
      </w:tr>
      <w:tr>
        <w:tc>
          <w:tcPr>
            <w:tcW w:type="dxa" w:w="5040"/>
            <w:vAlign w:val="center"/>
          </w:tcPr>
          <w:p>
            <w:pPr>
              <w:spacing w:after="20"/>
            </w:pPr>
            <w:r>
              <w:rPr>
                <w:sz w:val="17"/>
              </w:rPr>
              <w:t>Prepared by</w:t>
            </w:r>
          </w:p>
        </w:tc>
        <w:tc>
          <w:tcPr>
            <w:tcW w:type="dxa" w:w="5040"/>
            <w:vAlign w:val="center"/>
          </w:tcPr>
          <w:p>
            <w:pPr>
              <w:spacing w:after="20"/>
            </w:pPr>
            <w:r>
              <w:rPr>
                <w:sz w:val="17"/>
              </w:rPr>
              <w:t>Kalyan Baraik</w:t>
            </w:r>
          </w:p>
        </w:tc>
      </w:tr>
      <w:tr>
        <w:tc>
          <w:tcPr>
            <w:tcW w:type="dxa" w:w="5040"/>
            <w:vAlign w:val="center"/>
          </w:tcPr>
          <w:p>
            <w:pPr>
              <w:spacing w:after="20"/>
            </w:pPr>
            <w:r>
              <w:rPr>
                <w:sz w:val="17"/>
              </w:rPr>
              <w:t>Programme</w:t>
            </w:r>
          </w:p>
        </w:tc>
        <w:tc>
          <w:tcPr>
            <w:tcW w:type="dxa" w:w="5040"/>
            <w:vAlign w:val="center"/>
          </w:tcPr>
          <w:p>
            <w:pPr>
              <w:spacing w:after="20"/>
            </w:pPr>
            <w:r>
              <w:rPr>
                <w:sz w:val="17"/>
              </w:rPr>
              <w:t>Junior Cyber Security Analyst – E-Governance &amp; Digital Services</w:t>
            </w:r>
          </w:p>
        </w:tc>
      </w:tr>
      <w:tr>
        <w:tc>
          <w:tcPr>
            <w:tcW w:type="dxa" w:w="5040"/>
            <w:vAlign w:val="center"/>
          </w:tcPr>
          <w:p>
            <w:pPr>
              <w:spacing w:after="20"/>
            </w:pPr>
            <w:r>
              <w:rPr>
                <w:sz w:val="17"/>
              </w:rPr>
              <w:t>Date</w:t>
            </w:r>
          </w:p>
        </w:tc>
        <w:tc>
          <w:tcPr>
            <w:tcW w:type="dxa" w:w="5040"/>
            <w:vAlign w:val="center"/>
          </w:tcPr>
          <w:p>
            <w:pPr>
              <w:spacing w:after="20"/>
            </w:pPr>
            <w:r>
              <w:rPr>
                <w:sz w:val="17"/>
              </w:rPr>
              <w:t>26 October 2026</w:t>
            </w:r>
          </w:p>
        </w:tc>
      </w:tr>
      <w:tr>
        <w:tc>
          <w:tcPr>
            <w:tcW w:type="dxa" w:w="5040"/>
            <w:vAlign w:val="center"/>
          </w:tcPr>
          <w:p>
            <w:pPr>
              <w:spacing w:after="20"/>
            </w:pPr>
            <w:r>
              <w:rPr>
                <w:sz w:val="17"/>
              </w:rPr>
              <w:t>Status</w:t>
            </w:r>
          </w:p>
        </w:tc>
        <w:tc>
          <w:tcPr>
            <w:tcW w:type="dxa" w:w="5040"/>
            <w:vAlign w:val="center"/>
          </w:tcPr>
          <w:p>
            <w:pPr>
              <w:spacing w:after="20"/>
            </w:pPr>
            <w:r>
              <w:rPr>
                <w:sz w:val="17"/>
              </w:rPr>
              <w:t>Illustrative policy framework; not an approved government policy</w:t>
            </w:r>
          </w:p>
        </w:tc>
      </w:tr>
    </w:tbl>
    <w:p/>
    <w:p>
      <w:pPr>
        <w:jc w:val="center"/>
      </w:pPr>
      <w:r>
        <w:rPr>
          <w:b/>
        </w:rPr>
        <w:t>IMPORTANT SCOPE NOTE</w:t>
      </w:r>
    </w:p>
    <w:p>
      <w:pPr>
        <w:spacing w:after="100"/>
      </w:pPr>
      <w:r>
        <w:t>This document is a model framework for a hypothetical public digital-service environment. It does not describe a real government system, claim that an audit has been completed, or replace legal advice. An adopting organisation must validate legal applicability, commencement dates, sector-specific rules and actual system risks before operational use.</w:t>
      </w:r>
    </w:p>
    <w:p>
      <w:r>
        <w:br w:type="page"/>
      </w:r>
    </w:p>
    <w:p>
      <w:pPr>
        <w:pStyle w:val="Heading1"/>
      </w:pPr>
      <w:r>
        <w:t>Executive Summary</w:t>
      </w:r>
    </w:p>
    <w:p>
      <w:pPr>
        <w:spacing w:after="100"/>
      </w:pPr>
      <w:r>
        <w:t>Digital government services process citizen records, applications, identity information, payments and internal case files. A cybersecurity incident can expose personal data, interrupt essential services, enable fraud and undermine public trust. This framework establishes a risk-based baseline for confidentiality, integrity, availability, accountability, privacy and resilience.</w:t>
      </w:r>
    </w:p>
    <w:p>
      <w:pPr>
        <w:spacing w:after="100"/>
      </w:pPr>
      <w:r>
        <w:t>It combines proactive measures—risk assessment, secure design, identity and access management, patching, supplier assurance, awareness and monitoring—with reactive measures—incident reporting, containment, evidence preservation, recovery, notification and lessons learned. It assigns responsibilities, defines minimum controls and provides an incident workflow, compliance evidence, performance measures and an implementation roadmap.</w:t>
      </w:r>
    </w:p>
    <w:p>
      <w:pPr>
        <w:pStyle w:val="Heading1"/>
      </w:pPr>
      <w:r>
        <w:t>1. Policy Rationale</w:t>
      </w:r>
    </w:p>
    <w:p>
      <w:pPr>
        <w:pStyle w:val="Heading2"/>
      </w:pPr>
      <w:r>
        <w:t>1.1 Purpose and objectives</w:t>
      </w:r>
    </w:p>
    <w:p>
      <w:pPr>
        <w:spacing w:after="100"/>
      </w:pPr>
      <w:r>
        <w:t>The purpose is to establish minimum cybersecurity requirements for the design, procurement, development, operation, maintenance and retirement of digital public services. Objectives are to:</w:t>
      </w:r>
    </w:p>
    <w:p>
      <w:pPr>
        <w:pStyle w:val="ListBullet"/>
        <w:spacing w:after="40"/>
      </w:pPr>
      <w:r>
        <w:t>Protect the confidentiality, integrity and availability of information and services.</w:t>
      </w:r>
    </w:p>
    <w:p>
      <w:pPr>
        <w:pStyle w:val="ListBullet"/>
        <w:spacing w:after="40"/>
      </w:pPr>
      <w:r>
        <w:t>Reduce risks from unauthorised access, data leakage, ransomware, fraud, service disruption and supplier compromise.</w:t>
      </w:r>
    </w:p>
    <w:p>
      <w:pPr>
        <w:pStyle w:val="ListBullet"/>
        <w:spacing w:after="40"/>
      </w:pPr>
      <w:r>
        <w:t>Assign clear accountability for risks, controls, incident response and compliance.</w:t>
      </w:r>
    </w:p>
    <w:p>
      <w:pPr>
        <w:pStyle w:val="ListBullet"/>
        <w:spacing w:after="40"/>
      </w:pPr>
      <w:r>
        <w:t>Enable timely detection, escalation, reporting, recovery and continuous improvement.</w:t>
      </w:r>
    </w:p>
    <w:p>
      <w:pPr>
        <w:pStyle w:val="ListBullet"/>
        <w:spacing w:after="40"/>
      </w:pPr>
      <w:r>
        <w:t>Demonstrate effectiveness through documented evidence, metrics, exercises and remediation.</w:t>
      </w:r>
    </w:p>
    <w:p>
      <w:pPr>
        <w:pStyle w:val="Heading2"/>
      </w:pPr>
      <w:r>
        <w:t>1.2 Guiding principles</w:t>
      </w:r>
    </w:p>
    <w:tbl>
      <w:tblPr>
        <w:tblStyle w:val="TableGrid"/>
        <w:tblW w:type="auto" w:w="0"/>
        <w:jc w:val="center"/>
        <w:tblLook w:firstColumn="1" w:firstRow="1" w:lastColumn="0" w:lastRow="0" w:noHBand="0" w:noVBand="1" w:val="04A0"/>
      </w:tblPr>
      <w:tblGrid>
        <w:gridCol w:w="5040"/>
        <w:gridCol w:w="5040"/>
      </w:tblGrid>
      <w:tr>
        <w:tc>
          <w:tcPr>
            <w:tcW w:type="dxa" w:w="5040"/>
            <w:shd w:fill="C6D9F1"/>
          </w:tcPr>
          <w:p>
            <w:r>
              <w:rPr>
                <w:b/>
                <w:sz w:val="16"/>
              </w:rPr>
              <w:t>Principle</w:t>
            </w:r>
          </w:p>
        </w:tc>
        <w:tc>
          <w:tcPr>
            <w:tcW w:type="dxa" w:w="5040"/>
            <w:shd w:fill="C6D9F1"/>
          </w:tcPr>
          <w:p>
            <w:r>
              <w:rPr>
                <w:b/>
                <w:sz w:val="16"/>
              </w:rPr>
              <w:t>Application</w:t>
            </w:r>
          </w:p>
        </w:tc>
      </w:tr>
      <w:tr>
        <w:tc>
          <w:tcPr>
            <w:tcW w:type="dxa" w:w="5040"/>
            <w:vAlign w:val="center"/>
          </w:tcPr>
          <w:p>
            <w:pPr>
              <w:spacing w:after="20"/>
            </w:pPr>
            <w:r>
              <w:rPr>
                <w:sz w:val="16"/>
              </w:rPr>
              <w:t>Risk-based</w:t>
            </w:r>
          </w:p>
        </w:tc>
        <w:tc>
          <w:tcPr>
            <w:tcW w:type="dxa" w:w="5040"/>
            <w:vAlign w:val="center"/>
          </w:tcPr>
          <w:p>
            <w:pPr>
              <w:spacing w:after="20"/>
            </w:pPr>
            <w:r>
              <w:rPr>
                <w:sz w:val="16"/>
              </w:rPr>
              <w:t>Controls proportionate to service criticality, data sensitivity, likelihood and potential harm.</w:t>
            </w:r>
          </w:p>
        </w:tc>
      </w:tr>
      <w:tr>
        <w:tc>
          <w:tcPr>
            <w:tcW w:type="dxa" w:w="5040"/>
            <w:vAlign w:val="center"/>
          </w:tcPr>
          <w:p>
            <w:pPr>
              <w:spacing w:after="20"/>
            </w:pPr>
            <w:r>
              <w:rPr>
                <w:sz w:val="16"/>
              </w:rPr>
              <w:t>Least privilege</w:t>
            </w:r>
          </w:p>
        </w:tc>
        <w:tc>
          <w:tcPr>
            <w:tcW w:type="dxa" w:w="5040"/>
            <w:vAlign w:val="center"/>
          </w:tcPr>
          <w:p>
            <w:pPr>
              <w:spacing w:after="20"/>
            </w:pPr>
            <w:r>
              <w:rPr>
                <w:sz w:val="16"/>
              </w:rPr>
              <w:t>Access only to the information and actions required for an approved task.</w:t>
            </w:r>
          </w:p>
        </w:tc>
      </w:tr>
      <w:tr>
        <w:tc>
          <w:tcPr>
            <w:tcW w:type="dxa" w:w="5040"/>
            <w:vAlign w:val="center"/>
          </w:tcPr>
          <w:p>
            <w:pPr>
              <w:spacing w:after="20"/>
            </w:pPr>
            <w:r>
              <w:rPr>
                <w:sz w:val="16"/>
              </w:rPr>
              <w:t>Secure by design</w:t>
            </w:r>
          </w:p>
        </w:tc>
        <w:tc>
          <w:tcPr>
            <w:tcW w:type="dxa" w:w="5040"/>
            <w:vAlign w:val="center"/>
          </w:tcPr>
          <w:p>
            <w:pPr>
              <w:spacing w:after="20"/>
            </w:pPr>
            <w:r>
              <w:rPr>
                <w:sz w:val="16"/>
              </w:rPr>
              <w:t>Security and privacy requirements incorporated from procurement and architecture through testing and release.</w:t>
            </w:r>
          </w:p>
        </w:tc>
      </w:tr>
      <w:tr>
        <w:tc>
          <w:tcPr>
            <w:tcW w:type="dxa" w:w="5040"/>
            <w:vAlign w:val="center"/>
          </w:tcPr>
          <w:p>
            <w:pPr>
              <w:spacing w:after="20"/>
            </w:pPr>
            <w:r>
              <w:rPr>
                <w:sz w:val="16"/>
              </w:rPr>
              <w:t>Defence in depth</w:t>
            </w:r>
          </w:p>
        </w:tc>
        <w:tc>
          <w:tcPr>
            <w:tcW w:type="dxa" w:w="5040"/>
            <w:vAlign w:val="center"/>
          </w:tcPr>
          <w:p>
            <w:pPr>
              <w:spacing w:after="20"/>
            </w:pPr>
            <w:r>
              <w:rPr>
                <w:sz w:val="16"/>
              </w:rPr>
              <w:t>Preventive, detective, responsive and recovery controls support each other.</w:t>
            </w:r>
          </w:p>
        </w:tc>
      </w:tr>
      <w:tr>
        <w:tc>
          <w:tcPr>
            <w:tcW w:type="dxa" w:w="5040"/>
            <w:vAlign w:val="center"/>
          </w:tcPr>
          <w:p>
            <w:pPr>
              <w:spacing w:after="20"/>
            </w:pPr>
            <w:r>
              <w:rPr>
                <w:sz w:val="16"/>
              </w:rPr>
              <w:t>Accountability</w:t>
            </w:r>
          </w:p>
        </w:tc>
        <w:tc>
          <w:tcPr>
            <w:tcW w:type="dxa" w:w="5040"/>
            <w:vAlign w:val="center"/>
          </w:tcPr>
          <w:p>
            <w:pPr>
              <w:spacing w:after="20"/>
            </w:pPr>
            <w:r>
              <w:rPr>
                <w:sz w:val="16"/>
              </w:rPr>
              <w:t>Every important asset, risk, exception and incident has a named owner.</w:t>
            </w:r>
          </w:p>
        </w:tc>
      </w:tr>
      <w:tr>
        <w:tc>
          <w:tcPr>
            <w:tcW w:type="dxa" w:w="5040"/>
            <w:vAlign w:val="center"/>
          </w:tcPr>
          <w:p>
            <w:pPr>
              <w:spacing w:after="20"/>
            </w:pPr>
            <w:r>
              <w:rPr>
                <w:sz w:val="16"/>
              </w:rPr>
              <w:t>Privacy and minimisation</w:t>
            </w:r>
          </w:p>
        </w:tc>
        <w:tc>
          <w:tcPr>
            <w:tcW w:type="dxa" w:w="5040"/>
            <w:vAlign w:val="center"/>
          </w:tcPr>
          <w:p>
            <w:pPr>
              <w:spacing w:after="20"/>
            </w:pPr>
            <w:r>
              <w:rPr>
                <w:sz w:val="16"/>
              </w:rPr>
              <w:t>Collect and retain only authorised data necessary for a defined purpose.</w:t>
            </w:r>
          </w:p>
        </w:tc>
      </w:tr>
      <w:tr>
        <w:tc>
          <w:tcPr>
            <w:tcW w:type="dxa" w:w="5040"/>
            <w:vAlign w:val="center"/>
          </w:tcPr>
          <w:p>
            <w:pPr>
              <w:spacing w:after="20"/>
            </w:pPr>
            <w:r>
              <w:rPr>
                <w:sz w:val="16"/>
              </w:rPr>
              <w:t>Resilience</w:t>
            </w:r>
          </w:p>
        </w:tc>
        <w:tc>
          <w:tcPr>
            <w:tcW w:type="dxa" w:w="5040"/>
            <w:vAlign w:val="center"/>
          </w:tcPr>
          <w:p>
            <w:pPr>
              <w:spacing w:after="20"/>
            </w:pPr>
            <w:r>
              <w:rPr>
                <w:sz w:val="16"/>
              </w:rPr>
              <w:t>Critical services have tested backup, recovery and continuity arrangements.</w:t>
            </w:r>
          </w:p>
        </w:tc>
      </w:tr>
    </w:tbl>
    <w:p/>
    <w:p>
      <w:pPr>
        <w:pStyle w:val="Heading1"/>
      </w:pPr>
      <w:r>
        <w:t>2. Scope and Applicability</w:t>
      </w:r>
    </w:p>
    <w:p>
      <w:pPr>
        <w:spacing w:after="100"/>
      </w:pPr>
      <w:r>
        <w:t>This policy applies to digital services owned, operated, hosted or managed on behalf of the department: citizen portals, mobile applications, APIs, identity components, databases, payment integrations, case-management systems, endpoints, networks, cloud workloads, email, backup systems and administrative interfaces.</w:t>
      </w:r>
    </w:p>
    <w:p>
      <w:pPr>
        <w:pStyle w:val="ListBullet"/>
        <w:spacing w:after="40"/>
      </w:pPr>
      <w:r>
        <w:t>People: employees, administrators, developers, help-desk personnel, contractors, authorised interns, suppliers and service providers, according to their access and contracts.</w:t>
      </w:r>
    </w:p>
    <w:p>
      <w:pPr>
        <w:pStyle w:val="ListBullet"/>
        <w:spacing w:after="40"/>
      </w:pPr>
      <w:r>
        <w:t>Information: personal data, identity records, case files, payment records, credentials, source code, configurations, logs, backups and operational documentation.</w:t>
      </w:r>
    </w:p>
    <w:p>
      <w:pPr>
        <w:pStyle w:val="ListBullet"/>
        <w:spacing w:after="40"/>
      </w:pPr>
      <w:r>
        <w:t>Testing boundary: security testing must have written authorisation, an agreed scope and safe procedures. No person may test a live system merely because it is publicly reachable.</w:t>
      </w:r>
    </w:p>
    <w:p>
      <w:pPr>
        <w:pStyle w:val="Heading2"/>
      </w:pPr>
      <w:r>
        <w:t>2.1 Data classification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6D9F1"/>
          </w:tcPr>
          <w:p>
            <w:r>
              <w:rPr>
                <w:b/>
                <w:sz w:val="15"/>
              </w:rPr>
              <w:t>Class</w:t>
            </w:r>
          </w:p>
        </w:tc>
        <w:tc>
          <w:tcPr>
            <w:tcW w:type="dxa" w:w="3360"/>
            <w:shd w:fill="C6D9F1"/>
          </w:tcPr>
          <w:p>
            <w:r>
              <w:rPr>
                <w:b/>
                <w:sz w:val="15"/>
              </w:rPr>
              <w:t>Examples</w:t>
            </w:r>
          </w:p>
        </w:tc>
        <w:tc>
          <w:tcPr>
            <w:tcW w:type="dxa" w:w="3360"/>
            <w:shd w:fill="C6D9F1"/>
          </w:tcPr>
          <w:p>
            <w:r>
              <w:rPr>
                <w:b/>
                <w:sz w:val="15"/>
              </w:rPr>
              <w:t>Minimum handling</w:t>
            </w:r>
          </w:p>
        </w:tc>
      </w:tr>
      <w:tr>
        <w:tc>
          <w:tcPr>
            <w:tcW w:type="dxa" w:w="3360"/>
            <w:vAlign w:val="center"/>
          </w:tcPr>
          <w:p>
            <w:pPr>
              <w:spacing w:after="20"/>
            </w:pPr>
            <w:r>
              <w:rPr>
                <w:sz w:val="15"/>
              </w:rPr>
              <w:t>Public</w:t>
            </w:r>
          </w:p>
        </w:tc>
        <w:tc>
          <w:tcPr>
            <w:tcW w:type="dxa" w:w="3360"/>
            <w:vAlign w:val="center"/>
          </w:tcPr>
          <w:p>
            <w:pPr>
              <w:spacing w:after="20"/>
            </w:pPr>
            <w:r>
              <w:rPr>
                <w:sz w:val="15"/>
              </w:rPr>
              <w:t>Approved notices and published service information</w:t>
            </w:r>
          </w:p>
        </w:tc>
        <w:tc>
          <w:tcPr>
            <w:tcW w:type="dxa" w:w="3360"/>
            <w:vAlign w:val="center"/>
          </w:tcPr>
          <w:p>
            <w:pPr>
              <w:spacing w:after="20"/>
            </w:pPr>
            <w:r>
              <w:rPr>
                <w:sz w:val="15"/>
              </w:rPr>
              <w:t>Authorised publication; integrity and availability controls</w:t>
            </w:r>
          </w:p>
        </w:tc>
      </w:tr>
      <w:tr>
        <w:tc>
          <w:tcPr>
            <w:tcW w:type="dxa" w:w="3360"/>
            <w:vAlign w:val="center"/>
          </w:tcPr>
          <w:p>
            <w:pPr>
              <w:spacing w:after="20"/>
            </w:pPr>
            <w:r>
              <w:rPr>
                <w:sz w:val="15"/>
              </w:rPr>
              <w:t>Internal</w:t>
            </w:r>
          </w:p>
        </w:tc>
        <w:tc>
          <w:tcPr>
            <w:tcW w:type="dxa" w:w="3360"/>
            <w:vAlign w:val="center"/>
          </w:tcPr>
          <w:p>
            <w:pPr>
              <w:spacing w:after="20"/>
            </w:pPr>
            <w:r>
              <w:rPr>
                <w:sz w:val="15"/>
              </w:rPr>
              <w:t>Non-public procedures and operational documents</w:t>
            </w:r>
          </w:p>
        </w:tc>
        <w:tc>
          <w:tcPr>
            <w:tcW w:type="dxa" w:w="3360"/>
            <w:vAlign w:val="center"/>
          </w:tcPr>
          <w:p>
            <w:pPr>
              <w:spacing w:after="20"/>
            </w:pPr>
            <w:r>
              <w:rPr>
                <w:sz w:val="15"/>
              </w:rPr>
              <w:t>Authenticated access; approved storage and sharing</w:t>
            </w:r>
          </w:p>
        </w:tc>
      </w:tr>
      <w:tr>
        <w:tc>
          <w:tcPr>
            <w:tcW w:type="dxa" w:w="3360"/>
            <w:vAlign w:val="center"/>
          </w:tcPr>
          <w:p>
            <w:pPr>
              <w:spacing w:after="20"/>
            </w:pPr>
            <w:r>
              <w:rPr>
                <w:sz w:val="15"/>
              </w:rPr>
              <w:t>Confidential</w:t>
            </w:r>
          </w:p>
        </w:tc>
        <w:tc>
          <w:tcPr>
            <w:tcW w:type="dxa" w:w="3360"/>
            <w:vAlign w:val="center"/>
          </w:tcPr>
          <w:p>
            <w:pPr>
              <w:spacing w:after="20"/>
            </w:pPr>
            <w:r>
              <w:rPr>
                <w:sz w:val="15"/>
              </w:rPr>
              <w:t>Citizen case files and non-public records</w:t>
            </w:r>
          </w:p>
        </w:tc>
        <w:tc>
          <w:tcPr>
            <w:tcW w:type="dxa" w:w="3360"/>
            <w:vAlign w:val="center"/>
          </w:tcPr>
          <w:p>
            <w:pPr>
              <w:spacing w:after="20"/>
            </w:pPr>
            <w:r>
              <w:rPr>
                <w:sz w:val="15"/>
              </w:rPr>
              <w:t>Role-based access; protected transfer; encryption according to risk</w:t>
            </w:r>
          </w:p>
        </w:tc>
      </w:tr>
      <w:tr>
        <w:tc>
          <w:tcPr>
            <w:tcW w:type="dxa" w:w="3360"/>
            <w:vAlign w:val="center"/>
          </w:tcPr>
          <w:p>
            <w:pPr>
              <w:spacing w:after="20"/>
            </w:pPr>
            <w:r>
              <w:rPr>
                <w:sz w:val="15"/>
              </w:rPr>
              <w:t>Restricted / highly sensitive</w:t>
            </w:r>
          </w:p>
        </w:tc>
        <w:tc>
          <w:tcPr>
            <w:tcW w:type="dxa" w:w="3360"/>
            <w:vAlign w:val="center"/>
          </w:tcPr>
          <w:p>
            <w:pPr>
              <w:spacing w:after="20"/>
            </w:pPr>
            <w:r>
              <w:rPr>
                <w:sz w:val="15"/>
              </w:rPr>
              <w:t>Credentials, cryptographic keys, sensitive identity data</w:t>
            </w:r>
          </w:p>
        </w:tc>
        <w:tc>
          <w:tcPr>
            <w:tcW w:type="dxa" w:w="3360"/>
            <w:vAlign w:val="center"/>
          </w:tcPr>
          <w:p>
            <w:pPr>
              <w:spacing w:after="20"/>
            </w:pPr>
            <w:r>
              <w:rPr>
                <w:sz w:val="15"/>
              </w:rPr>
              <w:t>Strong MFA; tightly limited access; enhanced logging; secure secret storage</w:t>
            </w:r>
          </w:p>
        </w:tc>
      </w:tr>
    </w:tbl>
    <w:p/>
    <w:p>
      <w:pPr>
        <w:pStyle w:val="Heading1"/>
      </w:pPr>
      <w:r>
        <w:t>3. Policy Guidelines and Minimum Controls</w:t>
      </w:r>
    </w:p>
    <w:p>
      <w:pPr>
        <w:pStyle w:val="Heading2"/>
      </w:pPr>
      <w:r>
        <w:t>3.1 Governance and risk management</w:t>
      </w:r>
    </w:p>
    <w:p>
      <w:pPr>
        <w:pStyle w:val="ListBullet"/>
        <w:spacing w:after="40"/>
      </w:pPr>
      <w:r>
        <w:t>Maintain an inventory of systems, data stores, APIs, endpoints, cloud resources, dependencies, owners and support contacts.</w:t>
      </w:r>
    </w:p>
    <w:p>
      <w:pPr>
        <w:pStyle w:val="ListBullet"/>
        <w:spacing w:after="40"/>
      </w:pPr>
      <w:r>
        <w:t>Assess risk before launch and after material changes, significant incidents or major changes in threats.</w:t>
      </w:r>
    </w:p>
    <w:p>
      <w:pPr>
        <w:pStyle w:val="ListBullet"/>
        <w:spacing w:after="40"/>
      </w:pPr>
      <w:r>
        <w:t>Maintain a risk register containing likelihood, impact, existing controls, treatment, owner, target date and residual risk.</w:t>
      </w:r>
    </w:p>
    <w:p>
      <w:pPr>
        <w:pStyle w:val="ListBullet"/>
        <w:spacing w:after="40"/>
      </w:pPr>
      <w:r>
        <w:t>Obtain explicit management approval for risks exceeding risk tolerance. Acceptance must be time-limited and reviewed.</w:t>
      </w:r>
    </w:p>
    <w:p>
      <w:pPr>
        <w:pStyle w:val="ListBullet"/>
        <w:spacing w:after="40"/>
      </w:pPr>
      <w:r>
        <w:t>Include security and privacy review in requirements, architecture, procurement, development, testing, release and retirement.</w:t>
      </w:r>
    </w:p>
    <w:p>
      <w:pPr>
        <w:pStyle w:val="Heading2"/>
      </w:pPr>
      <w:r>
        <w:t>3.2 Identity and access management</w:t>
      </w:r>
    </w:p>
    <w:p>
      <w:pPr>
        <w:pStyle w:val="ListBullet"/>
        <w:spacing w:after="40"/>
      </w:pPr>
      <w:r>
        <w:t>Use unique named accounts. Shared accounts require a documented exception and compensating controls.</w:t>
      </w:r>
    </w:p>
    <w:p>
      <w:pPr>
        <w:pStyle w:val="ListBullet"/>
        <w:spacing w:after="40"/>
      </w:pPr>
      <w:r>
        <w:t>Require multi-factor authentication for privileged accounts, remote administration and sensitive services wherever supported.</w:t>
      </w:r>
    </w:p>
    <w:p>
      <w:pPr>
        <w:pStyle w:val="ListBullet"/>
        <w:spacing w:after="40"/>
      </w:pPr>
      <w:r>
        <w:t>Apply role-based access and least privilege; separate development, production, administrative and audit duties where feasible.</w:t>
      </w:r>
    </w:p>
    <w:p>
      <w:pPr>
        <w:pStyle w:val="ListBullet"/>
        <w:spacing w:after="40"/>
      </w:pPr>
      <w:r>
        <w:t>Approve access before provisioning; review privileged access at least quarterly and other access at least every six months.</w:t>
      </w:r>
    </w:p>
    <w:p>
      <w:pPr>
        <w:pStyle w:val="ListBullet"/>
        <w:spacing w:after="40"/>
      </w:pPr>
      <w:r>
        <w:t>Revoke access promptly when a person leaves or changes role; rotate credentials and tokens when compromise is suspected.</w:t>
      </w:r>
    </w:p>
    <w:p>
      <w:pPr>
        <w:pStyle w:val="ListBullet"/>
        <w:spacing w:after="40"/>
      </w:pPr>
      <w:r>
        <w:t>Never store passwords, API keys or secrets in source code, public repositories or plain-text documents.</w:t>
      </w:r>
    </w:p>
    <w:p>
      <w:pPr>
        <w:pStyle w:val="Heading2"/>
      </w:pPr>
      <w:r>
        <w:t>3.3 Infrastructure, endpoint and network security</w:t>
      </w:r>
    </w:p>
    <w:p>
      <w:pPr>
        <w:pStyle w:val="ListBullet"/>
        <w:spacing w:after="40"/>
      </w:pPr>
      <w:r>
        <w:t>Use supported operating systems and applications, secure configuration baselines, endpoint protection and device encryption according to risk.</w:t>
      </w:r>
    </w:p>
    <w:p>
      <w:pPr>
        <w:pStyle w:val="ListBullet"/>
        <w:spacing w:after="40"/>
      </w:pPr>
      <w:r>
        <w:t>Remove default credentials and unused services; restrict administrative interfaces from public exposure.</w:t>
      </w:r>
    </w:p>
    <w:p>
      <w:pPr>
        <w:pStyle w:val="ListBullet"/>
        <w:spacing w:after="40"/>
      </w:pPr>
      <w:r>
        <w:t>Segment public-facing systems, application tiers, databases, administrative networks and backup environments where feasible.</w:t>
      </w:r>
    </w:p>
    <w:p>
      <w:pPr>
        <w:pStyle w:val="ListBullet"/>
        <w:spacing w:after="40"/>
      </w:pPr>
      <w:r>
        <w:t>Review firewall, cloud security-group and remote-access rules periodically and after material changes.</w:t>
      </w:r>
    </w:p>
    <w:p>
      <w:pPr>
        <w:pStyle w:val="ListBullet"/>
        <w:spacing w:after="40"/>
      </w:pPr>
      <w:r>
        <w:t>Synchronise system clocks and protect logs against unauthorised alteration.</w:t>
      </w:r>
    </w:p>
    <w:p>
      <w:pPr>
        <w:pStyle w:val="Heading2"/>
      </w:pPr>
      <w:r>
        <w:t>3.4 Application and API security</w:t>
      </w:r>
    </w:p>
    <w:p>
      <w:pPr>
        <w:pStyle w:val="ListBullet"/>
        <w:spacing w:after="40"/>
      </w:pPr>
      <w:r>
        <w:t>Use a secure software development lifecycle, threat modelling, code review and dependency management.</w:t>
      </w:r>
    </w:p>
    <w:p>
      <w:pPr>
        <w:pStyle w:val="ListBullet"/>
        <w:spacing w:after="40"/>
      </w:pPr>
      <w:r>
        <w:t>Validate input, encode output, use parameterised queries and return safe error messages.</w:t>
      </w:r>
    </w:p>
    <w:p>
      <w:pPr>
        <w:pStyle w:val="ListBullet"/>
        <w:spacing w:after="40"/>
      </w:pPr>
      <w:r>
        <w:t>Enforce server-side authorisation on every sensitive object and action; never rely only on client-side controls.</w:t>
      </w:r>
    </w:p>
    <w:p>
      <w:pPr>
        <w:pStyle w:val="ListBullet"/>
        <w:spacing w:after="40"/>
      </w:pPr>
      <w:r>
        <w:t>Protect sessions and tokens; use secure cookie settings, rate limiting and abuse prevention appropriate to the service.</w:t>
      </w:r>
    </w:p>
    <w:p>
      <w:pPr>
        <w:pStyle w:val="ListBullet"/>
        <w:spacing w:after="40"/>
      </w:pPr>
      <w:r>
        <w:t>Scan code, dependencies and build artefacts for vulnerabilities and secrets; test before production release and after material changes.</w:t>
      </w:r>
    </w:p>
    <w:p>
      <w:pPr>
        <w:pStyle w:val="ListBullet"/>
        <w:spacing w:after="40"/>
      </w:pPr>
      <w:r>
        <w:t>Fix critical findings before launch unless a documented exception is approved by the competent authority.</w:t>
      </w:r>
    </w:p>
    <w:p>
      <w:pPr>
        <w:pStyle w:val="ListBullet"/>
        <w:spacing w:after="40"/>
      </w:pPr>
      <w:r>
        <w:t>Keep test and production environments separate; avoid real citizen data in test systems unless specifically authorised and protected.</w:t>
      </w:r>
    </w:p>
    <w:p>
      <w:pPr>
        <w:spacing w:after="100"/>
      </w:pPr>
      <w:r>
        <w:t>OWASP Top 10:2025 is a useful awareness baseline for risks such as broken access control, security misconfiguration, software supply-chain failures, cryptographic failures, injection, authentication failures and logging/alerting failures.</w:t>
      </w:r>
    </w:p>
    <w:p>
      <w:pPr>
        <w:pStyle w:val="Heading2"/>
      </w:pPr>
      <w:r>
        <w:t>3.5 Data protection and privacy</w:t>
      </w:r>
    </w:p>
    <w:p>
      <w:pPr>
        <w:pStyle w:val="ListBullet"/>
        <w:spacing w:after="40"/>
      </w:pPr>
      <w:r>
        <w:t>Document what personal data is collected, why it is needed, who can access it, where it is stored and how long it is retained.</w:t>
      </w:r>
    </w:p>
    <w:p>
      <w:pPr>
        <w:pStyle w:val="ListBullet"/>
        <w:spacing w:after="40"/>
      </w:pPr>
      <w:r>
        <w:t>Minimise collection and define retention and secure-disposal schedules.</w:t>
      </w:r>
    </w:p>
    <w:p>
      <w:pPr>
        <w:pStyle w:val="ListBullet"/>
        <w:spacing w:after="40"/>
      </w:pPr>
      <w:r>
        <w:t>Protect sensitive data in transit and at rest according to risk and applicable requirements.</w:t>
      </w:r>
    </w:p>
    <w:p>
      <w:pPr>
        <w:pStyle w:val="ListBullet"/>
        <w:spacing w:after="40"/>
      </w:pPr>
      <w:r>
        <w:t>Restrict bulk downloads, exports, printing and removable media; log and review sensitive data access.</w:t>
      </w:r>
    </w:p>
    <w:p>
      <w:pPr>
        <w:pStyle w:val="ListBullet"/>
        <w:spacing w:after="40"/>
      </w:pPr>
      <w:r>
        <w:t>Use approved transfer channels and verify recipients before sharing confidential information.</w:t>
      </w:r>
    </w:p>
    <w:p>
      <w:pPr>
        <w:pStyle w:val="ListBullet"/>
        <w:spacing w:after="40"/>
      </w:pPr>
      <w:r>
        <w:t>Assess privacy and legal obligations before new data processing, analytics, AI features, integrations or cross-border transfers.</w:t>
      </w:r>
    </w:p>
    <w:p>
      <w:pPr>
        <w:pStyle w:val="Heading2"/>
      </w:pPr>
      <w:r>
        <w:t>3.6 Vulnerability and patch management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6D9F1"/>
          </w:tcPr>
          <w:p>
            <w:r>
              <w:rPr>
                <w:b/>
                <w:sz w:val="15"/>
              </w:rPr>
              <w:t>Severity</w:t>
            </w:r>
          </w:p>
        </w:tc>
        <w:tc>
          <w:tcPr>
            <w:tcW w:type="dxa" w:w="3360"/>
            <w:shd w:fill="C6D9F1"/>
          </w:tcPr>
          <w:p>
            <w:r>
              <w:rPr>
                <w:b/>
                <w:sz w:val="15"/>
              </w:rPr>
              <w:t>Suggested internal target</w:t>
            </w:r>
          </w:p>
        </w:tc>
        <w:tc>
          <w:tcPr>
            <w:tcW w:type="dxa" w:w="3360"/>
            <w:shd w:fill="C6D9F1"/>
          </w:tcPr>
          <w:p>
            <w:r>
              <w:rPr>
                <w:b/>
                <w:sz w:val="15"/>
              </w:rPr>
              <w:t>Response</w:t>
            </w:r>
          </w:p>
        </w:tc>
      </w:tr>
      <w:tr>
        <w:tc>
          <w:tcPr>
            <w:tcW w:type="dxa" w:w="3360"/>
            <w:vAlign w:val="center"/>
          </w:tcPr>
          <w:p>
            <w:pPr>
              <w:spacing w:after="20"/>
            </w:pPr>
            <w:r>
              <w:rPr>
                <w:sz w:val="15"/>
              </w:rPr>
              <w:t>Critical / actively exploited</w:t>
            </w:r>
          </w:p>
        </w:tc>
        <w:tc>
          <w:tcPr>
            <w:tcW w:type="dxa" w:w="3360"/>
            <w:vAlign w:val="center"/>
          </w:tcPr>
          <w:p>
            <w:pPr>
              <w:spacing w:after="20"/>
            </w:pPr>
            <w:r>
              <w:rPr>
                <w:sz w:val="15"/>
              </w:rPr>
              <w:t>Mitigate immediately; aim to patch or isolate within 72 hours where feasible</w:t>
            </w:r>
          </w:p>
        </w:tc>
        <w:tc>
          <w:tcPr>
            <w:tcW w:type="dxa" w:w="3360"/>
            <w:vAlign w:val="center"/>
          </w:tcPr>
          <w:p>
            <w:pPr>
              <w:spacing w:after="20"/>
            </w:pPr>
            <w:r>
              <w:rPr>
                <w:sz w:val="15"/>
              </w:rPr>
              <w:t>Escalate to security lead and owner; document delay and compensating controls</w:t>
            </w:r>
          </w:p>
        </w:tc>
      </w:tr>
      <w:tr>
        <w:tc>
          <w:tcPr>
            <w:tcW w:type="dxa" w:w="3360"/>
            <w:vAlign w:val="center"/>
          </w:tcPr>
          <w:p>
            <w:pPr>
              <w:spacing w:after="20"/>
            </w:pPr>
            <w:r>
              <w:rPr>
                <w:sz w:val="15"/>
              </w:rPr>
              <w:t>High</w:t>
            </w:r>
          </w:p>
        </w:tc>
        <w:tc>
          <w:tcPr>
            <w:tcW w:type="dxa" w:w="3360"/>
            <w:vAlign w:val="center"/>
          </w:tcPr>
          <w:p>
            <w:pPr>
              <w:spacing w:after="20"/>
            </w:pPr>
            <w:r>
              <w:rPr>
                <w:sz w:val="15"/>
              </w:rPr>
              <w:t>Within 15 calendar days</w:t>
            </w:r>
          </w:p>
        </w:tc>
        <w:tc>
          <w:tcPr>
            <w:tcW w:type="dxa" w:w="3360"/>
            <w:vAlign w:val="center"/>
          </w:tcPr>
          <w:p>
            <w:pPr>
              <w:spacing w:after="20"/>
            </w:pPr>
            <w:r>
              <w:rPr>
                <w:sz w:val="15"/>
              </w:rPr>
              <w:t>Track remediation and retest</w:t>
            </w:r>
          </w:p>
        </w:tc>
      </w:tr>
      <w:tr>
        <w:tc>
          <w:tcPr>
            <w:tcW w:type="dxa" w:w="3360"/>
            <w:vAlign w:val="center"/>
          </w:tcPr>
          <w:p>
            <w:pPr>
              <w:spacing w:after="20"/>
            </w:pPr>
            <w:r>
              <w:rPr>
                <w:sz w:val="15"/>
              </w:rPr>
              <w:t>Medium</w:t>
            </w:r>
          </w:p>
        </w:tc>
        <w:tc>
          <w:tcPr>
            <w:tcW w:type="dxa" w:w="3360"/>
            <w:vAlign w:val="center"/>
          </w:tcPr>
          <w:p>
            <w:pPr>
              <w:spacing w:after="20"/>
            </w:pPr>
            <w:r>
              <w:rPr>
                <w:sz w:val="15"/>
              </w:rPr>
              <w:t>Within 30 calendar days</w:t>
            </w:r>
          </w:p>
        </w:tc>
        <w:tc>
          <w:tcPr>
            <w:tcW w:type="dxa" w:w="3360"/>
            <w:vAlign w:val="center"/>
          </w:tcPr>
          <w:p>
            <w:pPr>
              <w:spacing w:after="20"/>
            </w:pPr>
            <w:r>
              <w:rPr>
                <w:sz w:val="15"/>
              </w:rPr>
              <w:t>Prioritise by exposure and criticality</w:t>
            </w:r>
          </w:p>
        </w:tc>
      </w:tr>
      <w:tr>
        <w:tc>
          <w:tcPr>
            <w:tcW w:type="dxa" w:w="3360"/>
            <w:vAlign w:val="center"/>
          </w:tcPr>
          <w:p>
            <w:pPr>
              <w:spacing w:after="20"/>
            </w:pPr>
            <w:r>
              <w:rPr>
                <w:sz w:val="15"/>
              </w:rPr>
              <w:t>Low</w:t>
            </w:r>
          </w:p>
        </w:tc>
        <w:tc>
          <w:tcPr>
            <w:tcW w:type="dxa" w:w="3360"/>
            <w:vAlign w:val="center"/>
          </w:tcPr>
          <w:p>
            <w:pPr>
              <w:spacing w:after="20"/>
            </w:pPr>
            <w:r>
              <w:rPr>
                <w:sz w:val="15"/>
              </w:rPr>
              <w:t>Within 90 calendar days or scheduled cycle</w:t>
            </w:r>
          </w:p>
        </w:tc>
        <w:tc>
          <w:tcPr>
            <w:tcW w:type="dxa" w:w="3360"/>
            <w:vAlign w:val="center"/>
          </w:tcPr>
          <w:p>
            <w:pPr>
              <w:spacing w:after="20"/>
            </w:pPr>
            <w:r>
              <w:rPr>
                <w:sz w:val="15"/>
              </w:rPr>
              <w:t>Track and review; no indefinite deferral</w:t>
            </w:r>
          </w:p>
        </w:tc>
      </w:tr>
    </w:tbl>
    <w:p/>
    <w:p>
      <w:pPr>
        <w:spacing w:after="100"/>
      </w:pPr>
      <w:r>
        <w:t>These are proposed internal service targets, not statutory deadlines. Active exploitation, exposure, vendor guidance and service criticality may require faster action. Testing must be authorised and safely scoped.</w:t>
      </w:r>
    </w:p>
    <w:p>
      <w:pPr>
        <w:pStyle w:val="Heading2"/>
      </w:pPr>
      <w:r>
        <w:t>3.7 Logging, monitoring and detection</w:t>
      </w:r>
    </w:p>
    <w:p>
      <w:pPr>
        <w:pStyle w:val="ListBullet"/>
        <w:spacing w:after="40"/>
      </w:pPr>
      <w:r>
        <w:t>Log authentication, privilege changes, sensitive-record access, administrative actions, configuration changes, security alerts and relevant data exports.</w:t>
      </w:r>
    </w:p>
    <w:p>
      <w:pPr>
        <w:pStyle w:val="ListBullet"/>
        <w:spacing w:after="40"/>
      </w:pPr>
      <w:r>
        <w:t>Protect logs, limit unnecessary personal information in them, synchronise clocks and define retention periods.</w:t>
      </w:r>
    </w:p>
    <w:p>
      <w:pPr>
        <w:pStyle w:val="ListBullet"/>
        <w:spacing w:after="40"/>
      </w:pPr>
      <w:r>
        <w:t>Alert on repeated failed logins, unusual privileged activity, bulk exports, malware detections, disabled security controls and abnormal traffic.</w:t>
      </w:r>
    </w:p>
    <w:p>
      <w:pPr>
        <w:pStyle w:val="ListBullet"/>
        <w:spacing w:after="40"/>
      </w:pPr>
      <w:r>
        <w:t>Assign an owner to triage alerts and document investigation, escalation and closure.</w:t>
      </w:r>
    </w:p>
    <w:p>
      <w:pPr>
        <w:pStyle w:val="Heading2"/>
      </w:pPr>
      <w:r>
        <w:t>3.8 Backup and continuity</w:t>
      </w:r>
    </w:p>
    <w:p>
      <w:pPr>
        <w:pStyle w:val="ListBullet"/>
        <w:spacing w:after="40"/>
      </w:pPr>
      <w:r>
        <w:t>Define recovery time objectives (RTO) and recovery point objectives (RPO) for each critical service.</w:t>
      </w:r>
    </w:p>
    <w:p>
      <w:pPr>
        <w:pStyle w:val="ListBullet"/>
        <w:spacing w:after="40"/>
      </w:pPr>
      <w:r>
        <w:t>Maintain protected backups, including offline or immutable copies where feasible, separated from ordinary administrator credentials.</w:t>
      </w:r>
    </w:p>
    <w:p>
      <w:pPr>
        <w:pStyle w:val="ListBullet"/>
        <w:spacing w:after="40"/>
      </w:pPr>
      <w:r>
        <w:t>Encrypt sensitive backups and restrict restore privileges.</w:t>
      </w:r>
    </w:p>
    <w:p>
      <w:pPr>
        <w:pStyle w:val="ListBullet"/>
        <w:spacing w:after="40"/>
      </w:pPr>
      <w:r>
        <w:t>Test restoration at least quarterly for critical systems and at least annually for other in-scope systems, or as required by the approved plan.</w:t>
      </w:r>
    </w:p>
    <w:p>
      <w:pPr>
        <w:pStyle w:val="ListBullet"/>
        <w:spacing w:after="40"/>
      </w:pPr>
      <w:r>
        <w:t>Document manual workarounds, alternate communications and service notices for extended outages.</w:t>
      </w:r>
    </w:p>
    <w:p>
      <w:pPr>
        <w:pStyle w:val="Heading2"/>
      </w:pPr>
      <w:r>
        <w:t>3.9 Supplier and cloud security</w:t>
      </w:r>
    </w:p>
    <w:p>
      <w:pPr>
        <w:pStyle w:val="ListBullet"/>
        <w:spacing w:after="40"/>
      </w:pPr>
      <w:r>
        <w:t>Perform proportionate supplier due diligence covering security capability, data handling, incident notification, subcontractors, continuity and access.</w:t>
      </w:r>
    </w:p>
    <w:p>
      <w:pPr>
        <w:pStyle w:val="ListBullet"/>
        <w:spacing w:after="40"/>
      </w:pPr>
      <w:r>
        <w:t>Contracts should define security responsibilities, permitted data use, breach notification, cooperation, secure deletion and exit support.</w:t>
      </w:r>
    </w:p>
    <w:p>
      <w:pPr>
        <w:pStyle w:val="ListBullet"/>
        <w:spacing w:after="40"/>
      </w:pPr>
      <w:r>
        <w:t>Use named supplier accounts, MFA, time-limited access and activity logging.</w:t>
      </w:r>
    </w:p>
    <w:p>
      <w:pPr>
        <w:pStyle w:val="ListBullet"/>
        <w:spacing w:after="40"/>
      </w:pPr>
      <w:r>
        <w:t>Review critical suppliers periodically and after material changes or incidents; maintain an exit plan to recover data and revoke access.</w:t>
      </w:r>
    </w:p>
    <w:p>
      <w:pPr>
        <w:pStyle w:val="Heading2"/>
      </w:pPr>
      <w:r>
        <w:t>3.10 Awareness and acceptable use</w:t>
      </w:r>
    </w:p>
    <w:p>
      <w:pPr>
        <w:spacing w:after="100"/>
      </w:pPr>
      <w:r>
        <w:t>All personnel must complete induction and annual security training. Users must report suspected phishing, lost devices, unusual login prompts, misdirected messages and accidental disclosure promptly. Users must not share credentials, bypass controls, install unauthorised software, use personal storage for official records or conduct unapproved security testing.</w:t>
      </w:r>
    </w:p>
    <w:p>
      <w:pPr>
        <w:pStyle w:val="Heading1"/>
      </w:pPr>
      <w:r>
        <w:t>4. Roles and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6D9F1"/>
          </w:tcPr>
          <w:p>
            <w:r>
              <w:rPr>
                <w:b/>
                <w:sz w:val="14"/>
              </w:rPr>
              <w:t>Role</w:t>
            </w:r>
          </w:p>
        </w:tc>
        <w:tc>
          <w:tcPr>
            <w:tcW w:type="dxa" w:w="3360"/>
            <w:shd w:fill="C6D9F1"/>
          </w:tcPr>
          <w:p>
            <w:r>
              <w:rPr>
                <w:b/>
                <w:sz w:val="14"/>
              </w:rPr>
              <w:t>Responsibilities</w:t>
            </w:r>
          </w:p>
        </w:tc>
        <w:tc>
          <w:tcPr>
            <w:tcW w:type="dxa" w:w="3360"/>
            <w:shd w:fill="C6D9F1"/>
          </w:tcPr>
          <w:p>
            <w:r>
              <w:rPr>
                <w:b/>
                <w:sz w:val="14"/>
              </w:rPr>
              <w:t>Evidence</w:t>
            </w:r>
          </w:p>
        </w:tc>
      </w:tr>
      <w:tr>
        <w:tc>
          <w:tcPr>
            <w:tcW w:type="dxa" w:w="3360"/>
            <w:vAlign w:val="center"/>
          </w:tcPr>
          <w:p>
            <w:pPr>
              <w:spacing w:after="20"/>
            </w:pPr>
            <w:r>
              <w:rPr>
                <w:sz w:val="14"/>
              </w:rPr>
              <w:t>Department head / competent authority</w:t>
            </w:r>
          </w:p>
        </w:tc>
        <w:tc>
          <w:tcPr>
            <w:tcW w:type="dxa" w:w="3360"/>
            <w:vAlign w:val="center"/>
          </w:tcPr>
          <w:p>
            <w:pPr>
              <w:spacing w:after="20"/>
            </w:pPr>
            <w:r>
              <w:rPr>
                <w:sz w:val="14"/>
              </w:rPr>
              <w:t>Approve policy and risk appetite; provide resources; decide major residual risks.</w:t>
            </w:r>
          </w:p>
        </w:tc>
        <w:tc>
          <w:tcPr>
            <w:tcW w:type="dxa" w:w="3360"/>
            <w:vAlign w:val="center"/>
          </w:tcPr>
          <w:p>
            <w:pPr>
              <w:spacing w:after="20"/>
            </w:pPr>
            <w:r>
              <w:rPr>
                <w:sz w:val="14"/>
              </w:rPr>
              <w:t>Approval, decisions, accepted-risk register</w:t>
            </w:r>
          </w:p>
        </w:tc>
      </w:tr>
      <w:tr>
        <w:tc>
          <w:tcPr>
            <w:tcW w:type="dxa" w:w="3360"/>
            <w:vAlign w:val="center"/>
          </w:tcPr>
          <w:p>
            <w:pPr>
              <w:spacing w:after="20"/>
            </w:pPr>
            <w:r>
              <w:rPr>
                <w:sz w:val="14"/>
              </w:rPr>
              <w:t>CISO / security lead</w:t>
            </w:r>
          </w:p>
        </w:tc>
        <w:tc>
          <w:tcPr>
            <w:tcW w:type="dxa" w:w="3360"/>
            <w:vAlign w:val="center"/>
          </w:tcPr>
          <w:p>
            <w:pPr>
              <w:spacing w:after="20"/>
            </w:pPr>
            <w:r>
              <w:rPr>
                <w:sz w:val="14"/>
              </w:rPr>
              <w:t>Own security programme; maintain standards and risk register; coordinate monitoring, incident response and reporting.</w:t>
            </w:r>
          </w:p>
        </w:tc>
        <w:tc>
          <w:tcPr>
            <w:tcW w:type="dxa" w:w="3360"/>
            <w:vAlign w:val="center"/>
          </w:tcPr>
          <w:p>
            <w:pPr>
              <w:spacing w:after="20"/>
            </w:pPr>
            <w:r>
              <w:rPr>
                <w:sz w:val="14"/>
              </w:rPr>
              <w:t>Security plan, metrics, incident records</w:t>
            </w:r>
          </w:p>
        </w:tc>
      </w:tr>
      <w:tr>
        <w:tc>
          <w:tcPr>
            <w:tcW w:type="dxa" w:w="3360"/>
            <w:vAlign w:val="center"/>
          </w:tcPr>
          <w:p>
            <w:pPr>
              <w:spacing w:after="20"/>
            </w:pPr>
            <w:r>
              <w:rPr>
                <w:sz w:val="14"/>
              </w:rPr>
              <w:t>System / service owner</w:t>
            </w:r>
          </w:p>
        </w:tc>
        <w:tc>
          <w:tcPr>
            <w:tcW w:type="dxa" w:w="3360"/>
            <w:vAlign w:val="center"/>
          </w:tcPr>
          <w:p>
            <w:pPr>
              <w:spacing w:after="20"/>
            </w:pPr>
            <w:r>
              <w:rPr>
                <w:sz w:val="14"/>
              </w:rPr>
              <w:t>Own service risks, data classification, access approval, recovery priorities and remediation.</w:t>
            </w:r>
          </w:p>
        </w:tc>
        <w:tc>
          <w:tcPr>
            <w:tcW w:type="dxa" w:w="3360"/>
            <w:vAlign w:val="center"/>
          </w:tcPr>
          <w:p>
            <w:pPr>
              <w:spacing w:after="20"/>
            </w:pPr>
            <w:r>
              <w:rPr>
                <w:sz w:val="14"/>
              </w:rPr>
              <w:t>Asset records, access reviews, recovery plan</w:t>
            </w:r>
          </w:p>
        </w:tc>
      </w:tr>
      <w:tr>
        <w:tc>
          <w:tcPr>
            <w:tcW w:type="dxa" w:w="3360"/>
            <w:vAlign w:val="center"/>
          </w:tcPr>
          <w:p>
            <w:pPr>
              <w:spacing w:after="20"/>
            </w:pPr>
            <w:r>
              <w:rPr>
                <w:sz w:val="14"/>
              </w:rPr>
              <w:t>IT / infrastructure</w:t>
            </w:r>
          </w:p>
        </w:tc>
        <w:tc>
          <w:tcPr>
            <w:tcW w:type="dxa" w:w="3360"/>
            <w:vAlign w:val="center"/>
          </w:tcPr>
          <w:p>
            <w:pPr>
              <w:spacing w:after="20"/>
            </w:pPr>
            <w:r>
              <w:rPr>
                <w:sz w:val="14"/>
              </w:rPr>
              <w:t>Secure configuration, patching, network controls, backups, endpoint protection and recovery.</w:t>
            </w:r>
          </w:p>
        </w:tc>
        <w:tc>
          <w:tcPr>
            <w:tcW w:type="dxa" w:w="3360"/>
            <w:vAlign w:val="center"/>
          </w:tcPr>
          <w:p>
            <w:pPr>
              <w:spacing w:after="20"/>
            </w:pPr>
            <w:r>
              <w:rPr>
                <w:sz w:val="14"/>
              </w:rPr>
              <w:t>Patch reports, baselines, restore tests</w:t>
            </w:r>
          </w:p>
        </w:tc>
      </w:tr>
      <w:tr>
        <w:tc>
          <w:tcPr>
            <w:tcW w:type="dxa" w:w="3360"/>
            <w:vAlign w:val="center"/>
          </w:tcPr>
          <w:p>
            <w:pPr>
              <w:spacing w:after="20"/>
            </w:pPr>
            <w:r>
              <w:rPr>
                <w:sz w:val="14"/>
              </w:rPr>
              <w:t>Application / development</w:t>
            </w:r>
          </w:p>
        </w:tc>
        <w:tc>
          <w:tcPr>
            <w:tcW w:type="dxa" w:w="3360"/>
            <w:vAlign w:val="center"/>
          </w:tcPr>
          <w:p>
            <w:pPr>
              <w:spacing w:after="20"/>
            </w:pPr>
            <w:r>
              <w:rPr>
                <w:sz w:val="14"/>
              </w:rPr>
              <w:t>Secure design and coding, dependency management, testing, release controls and remediation.</w:t>
            </w:r>
          </w:p>
        </w:tc>
        <w:tc>
          <w:tcPr>
            <w:tcW w:type="dxa" w:w="3360"/>
            <w:vAlign w:val="center"/>
          </w:tcPr>
          <w:p>
            <w:pPr>
              <w:spacing w:after="20"/>
            </w:pPr>
            <w:r>
              <w:rPr>
                <w:sz w:val="14"/>
              </w:rPr>
              <w:t>Threat models, test results, release records</w:t>
            </w:r>
          </w:p>
        </w:tc>
      </w:tr>
      <w:tr>
        <w:tc>
          <w:tcPr>
            <w:tcW w:type="dxa" w:w="3360"/>
            <w:vAlign w:val="center"/>
          </w:tcPr>
          <w:p>
            <w:pPr>
              <w:spacing w:after="20"/>
            </w:pPr>
            <w:r>
              <w:rPr>
                <w:sz w:val="14"/>
              </w:rPr>
              <w:t>SOC / incident responders</w:t>
            </w:r>
          </w:p>
        </w:tc>
        <w:tc>
          <w:tcPr>
            <w:tcW w:type="dxa" w:w="3360"/>
            <w:vAlign w:val="center"/>
          </w:tcPr>
          <w:p>
            <w:pPr>
              <w:spacing w:after="20"/>
            </w:pPr>
            <w:r>
              <w:rPr>
                <w:sz w:val="14"/>
              </w:rPr>
              <w:t>Triage alerts, preserve evidence, coordinate containment and maintain incident timeline.</w:t>
            </w:r>
          </w:p>
        </w:tc>
        <w:tc>
          <w:tcPr>
            <w:tcW w:type="dxa" w:w="3360"/>
            <w:vAlign w:val="center"/>
          </w:tcPr>
          <w:p>
            <w:pPr>
              <w:spacing w:after="20"/>
            </w:pPr>
            <w:r>
              <w:rPr>
                <w:sz w:val="14"/>
              </w:rPr>
              <w:t>Tickets, incident log, evidence register</w:t>
            </w:r>
          </w:p>
        </w:tc>
      </w:tr>
      <w:tr>
        <w:tc>
          <w:tcPr>
            <w:tcW w:type="dxa" w:w="3360"/>
            <w:vAlign w:val="center"/>
          </w:tcPr>
          <w:p>
            <w:pPr>
              <w:spacing w:after="20"/>
            </w:pPr>
            <w:r>
              <w:rPr>
                <w:sz w:val="14"/>
              </w:rPr>
              <w:t>Privacy / legal officer</w:t>
            </w:r>
          </w:p>
        </w:tc>
        <w:tc>
          <w:tcPr>
            <w:tcW w:type="dxa" w:w="3360"/>
            <w:vAlign w:val="center"/>
          </w:tcPr>
          <w:p>
            <w:pPr>
              <w:spacing w:after="20"/>
            </w:pPr>
            <w:r>
              <w:rPr>
                <w:sz w:val="14"/>
              </w:rPr>
              <w:t>Advise on lawful processing, breach obligations, regulatory interpretation and notification.</w:t>
            </w:r>
          </w:p>
        </w:tc>
        <w:tc>
          <w:tcPr>
            <w:tcW w:type="dxa" w:w="3360"/>
            <w:vAlign w:val="center"/>
          </w:tcPr>
          <w:p>
            <w:pPr>
              <w:spacing w:after="20"/>
            </w:pPr>
            <w:r>
              <w:rPr>
                <w:sz w:val="14"/>
              </w:rPr>
              <w:t>Privacy assessments, legal decisions</w:t>
            </w:r>
          </w:p>
        </w:tc>
      </w:tr>
      <w:tr>
        <w:tc>
          <w:tcPr>
            <w:tcW w:type="dxa" w:w="3360"/>
            <w:vAlign w:val="center"/>
          </w:tcPr>
          <w:p>
            <w:pPr>
              <w:spacing w:after="20"/>
            </w:pPr>
            <w:r>
              <w:rPr>
                <w:sz w:val="14"/>
              </w:rPr>
              <w:t>Procurement / vendor manager</w:t>
            </w:r>
          </w:p>
        </w:tc>
        <w:tc>
          <w:tcPr>
            <w:tcW w:type="dxa" w:w="3360"/>
            <w:vAlign w:val="center"/>
          </w:tcPr>
          <w:p>
            <w:pPr>
              <w:spacing w:after="20"/>
            </w:pPr>
            <w:r>
              <w:rPr>
                <w:sz w:val="14"/>
              </w:rPr>
              <w:t>Supplier due diligence, security clauses, supplier reviews and exit requirements.</w:t>
            </w:r>
          </w:p>
        </w:tc>
        <w:tc>
          <w:tcPr>
            <w:tcW w:type="dxa" w:w="3360"/>
            <w:vAlign w:val="center"/>
          </w:tcPr>
          <w:p>
            <w:pPr>
              <w:spacing w:after="20"/>
            </w:pPr>
            <w:r>
              <w:rPr>
                <w:sz w:val="14"/>
              </w:rPr>
              <w:t>Contracts, assessments, reviews</w:t>
            </w:r>
          </w:p>
        </w:tc>
      </w:tr>
      <w:tr>
        <w:tc>
          <w:tcPr>
            <w:tcW w:type="dxa" w:w="3360"/>
            <w:vAlign w:val="center"/>
          </w:tcPr>
          <w:p>
            <w:pPr>
              <w:spacing w:after="20"/>
            </w:pPr>
            <w:r>
              <w:rPr>
                <w:sz w:val="14"/>
              </w:rPr>
              <w:t>Internal audit</w:t>
            </w:r>
          </w:p>
        </w:tc>
        <w:tc>
          <w:tcPr>
            <w:tcW w:type="dxa" w:w="3360"/>
            <w:vAlign w:val="center"/>
          </w:tcPr>
          <w:p>
            <w:pPr>
              <w:spacing w:after="20"/>
            </w:pPr>
            <w:r>
              <w:rPr>
                <w:sz w:val="14"/>
              </w:rPr>
              <w:t>Independently assess controls and track findings to closure.</w:t>
            </w:r>
          </w:p>
        </w:tc>
        <w:tc>
          <w:tcPr>
            <w:tcW w:type="dxa" w:w="3360"/>
            <w:vAlign w:val="center"/>
          </w:tcPr>
          <w:p>
            <w:pPr>
              <w:spacing w:after="20"/>
            </w:pPr>
            <w:r>
              <w:rPr>
                <w:sz w:val="14"/>
              </w:rPr>
              <w:t>Audit reports, action tracking</w:t>
            </w:r>
          </w:p>
        </w:tc>
      </w:tr>
      <w:tr>
        <w:tc>
          <w:tcPr>
            <w:tcW w:type="dxa" w:w="3360"/>
            <w:vAlign w:val="center"/>
          </w:tcPr>
          <w:p>
            <w:pPr>
              <w:spacing w:after="20"/>
            </w:pPr>
            <w:r>
              <w:rPr>
                <w:sz w:val="14"/>
              </w:rPr>
              <w:t>All users / contractors</w:t>
            </w:r>
          </w:p>
        </w:tc>
        <w:tc>
          <w:tcPr>
            <w:tcW w:type="dxa" w:w="3360"/>
            <w:vAlign w:val="center"/>
          </w:tcPr>
          <w:p>
            <w:pPr>
              <w:spacing w:after="20"/>
            </w:pPr>
            <w:r>
              <w:rPr>
                <w:sz w:val="14"/>
              </w:rPr>
              <w:t>Follow policy, protect credentials, complete training and report suspected incidents.</w:t>
            </w:r>
          </w:p>
        </w:tc>
        <w:tc>
          <w:tcPr>
            <w:tcW w:type="dxa" w:w="3360"/>
            <w:vAlign w:val="center"/>
          </w:tcPr>
          <w:p>
            <w:pPr>
              <w:spacing w:after="20"/>
            </w:pPr>
            <w:r>
              <w:rPr>
                <w:sz w:val="14"/>
              </w:rPr>
              <w:t>Acknowledgements, training and incident reports</w:t>
            </w:r>
          </w:p>
        </w:tc>
      </w:tr>
    </w:tbl>
    <w:p/>
    <w:p>
      <w:pPr>
        <w:pStyle w:val="Heading2"/>
      </w:pPr>
      <w:r>
        <w:t>4.1 Separation of duties and exceptions</w:t>
      </w:r>
    </w:p>
    <w:p>
      <w:pPr>
        <w:spacing w:after="100"/>
      </w:pPr>
      <w:r>
        <w:t>Where practical, no single person should request, approve, execute and independently verify a high-risk change. If staffing constraints prevent separation, require documented supervisory approval and independent log review. Exceptions must identify the control, business justification, affected assets, risk score, compensating controls, owner, expiry date and remediation plan. Legal or binding requirements cannot be waived through an ordinary internal exception.</w:t>
      </w:r>
    </w:p>
    <w:p>
      <w:pPr>
        <w:pStyle w:val="Heading1"/>
      </w:pPr>
      <w:r>
        <w:t>5. Incident Detection, Reporting and Management</w:t>
      </w:r>
    </w:p>
    <w:p>
      <w:pPr>
        <w:pStyle w:val="Heading2"/>
      </w:pPr>
      <w:r>
        <w:t>5.1 Reportable internal events</w:t>
      </w:r>
    </w:p>
    <w:p>
      <w:pPr>
        <w:spacing w:after="100"/>
      </w:pPr>
      <w:r>
        <w:t>Report suspected or confirmed unauthorised access, data leakage, ransomware, malware, account compromise, service disruption, defacement, lost devices containing official data, unauthorised configuration changes, suspicious privileged activity or supplier incidents affecting departmental systems. Staff should report reasonable suspicion; they need not prove an incident first.</w:t>
      </w:r>
    </w:p>
    <w:p>
      <w:pPr>
        <w:pStyle w:val="Heading2"/>
      </w:pPr>
      <w:r>
        <w:t>5.2 Reporting and initial information</w:t>
      </w:r>
    </w:p>
    <w:p>
      <w:pPr>
        <w:pStyle w:val="ListBullet"/>
        <w:spacing w:after="40"/>
      </w:pPr>
      <w:r>
        <w:t>Report immediately through the designated security hotline, incident mailbox or ticketing channel. If unavailable, contact the security lead and service owner using the approved alternate method.</w:t>
      </w:r>
    </w:p>
    <w:p>
      <w:pPr>
        <w:pStyle w:val="ListBullet"/>
        <w:spacing w:after="40"/>
      </w:pPr>
      <w:r>
        <w:t>Include discovery time, affected service, symptoms, affected accounts or records if known, actions taken, contact details and alert IDs.</w:t>
      </w:r>
    </w:p>
    <w:p>
      <w:pPr>
        <w:pStyle w:val="ListBullet"/>
        <w:spacing w:after="40"/>
      </w:pPr>
      <w:r>
        <w:t>Do not put passwords, private keys or unnecessary citizen data into ordinary incident tickets.</w:t>
      </w:r>
    </w:p>
    <w:p>
      <w:pPr>
        <w:pStyle w:val="ListBullet"/>
        <w:spacing w:after="40"/>
      </w:pPr>
      <w:r>
        <w:t>Do not delete files, wipe devices, reimage systems or publicly discuss an incident unless directed by the incident lead.</w:t>
      </w:r>
    </w:p>
    <w:p>
      <w:pPr>
        <w:pStyle w:val="Heading2"/>
      </w:pPr>
      <w:r>
        <w:t>5.3 Severity levels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6D9F1"/>
          </w:tcPr>
          <w:p>
            <w:r>
              <w:rPr>
                <w:b/>
                <w:sz w:val="15"/>
              </w:rPr>
              <w:t>Level</w:t>
            </w:r>
          </w:p>
        </w:tc>
        <w:tc>
          <w:tcPr>
            <w:tcW w:type="dxa" w:w="3360"/>
            <w:shd w:fill="C6D9F1"/>
          </w:tcPr>
          <w:p>
            <w:r>
              <w:rPr>
                <w:b/>
                <w:sz w:val="15"/>
              </w:rPr>
              <w:t>Illustrative criteria</w:t>
            </w:r>
          </w:p>
        </w:tc>
        <w:tc>
          <w:tcPr>
            <w:tcW w:type="dxa" w:w="3360"/>
            <w:shd w:fill="C6D9F1"/>
          </w:tcPr>
          <w:p>
            <w:r>
              <w:rPr>
                <w:b/>
                <w:sz w:val="15"/>
              </w:rPr>
              <w:t>Internal escalation target</w:t>
            </w:r>
          </w:p>
        </w:tc>
      </w:tr>
      <w:tr>
        <w:tc>
          <w:tcPr>
            <w:tcW w:type="dxa" w:w="3360"/>
            <w:vAlign w:val="center"/>
          </w:tcPr>
          <w:p>
            <w:pPr>
              <w:spacing w:after="20"/>
            </w:pPr>
            <w:r>
              <w:rPr>
                <w:sz w:val="15"/>
              </w:rPr>
              <w:t>SEV-1 Critical</w:t>
            </w:r>
          </w:p>
        </w:tc>
        <w:tc>
          <w:tcPr>
            <w:tcW w:type="dxa" w:w="3360"/>
            <w:vAlign w:val="center"/>
          </w:tcPr>
          <w:p>
            <w:pPr>
              <w:spacing w:after="20"/>
            </w:pPr>
            <w:r>
              <w:rPr>
                <w:sz w:val="15"/>
              </w:rPr>
              <w:t>Sensitive-data breach; ransomware affecting critical service; privileged compromise; major public-service outage.</w:t>
            </w:r>
          </w:p>
        </w:tc>
        <w:tc>
          <w:tcPr>
            <w:tcW w:type="dxa" w:w="3360"/>
            <w:vAlign w:val="center"/>
          </w:tcPr>
          <w:p>
            <w:pPr>
              <w:spacing w:after="20"/>
            </w:pPr>
            <w:r>
              <w:rPr>
                <w:sz w:val="15"/>
              </w:rPr>
              <w:t>Immediately; on-call chain and executive/legal/privacy escalation</w:t>
            </w:r>
          </w:p>
        </w:tc>
      </w:tr>
      <w:tr>
        <w:tc>
          <w:tcPr>
            <w:tcW w:type="dxa" w:w="3360"/>
            <w:vAlign w:val="center"/>
          </w:tcPr>
          <w:p>
            <w:pPr>
              <w:spacing w:after="20"/>
            </w:pPr>
            <w:r>
              <w:rPr>
                <w:sz w:val="15"/>
              </w:rPr>
              <w:t>SEV-2 High</w:t>
            </w:r>
          </w:p>
        </w:tc>
        <w:tc>
          <w:tcPr>
            <w:tcW w:type="dxa" w:w="3360"/>
            <w:vAlign w:val="center"/>
          </w:tcPr>
          <w:p>
            <w:pPr>
              <w:spacing w:after="20"/>
            </w:pPr>
            <w:r>
              <w:rPr>
                <w:sz w:val="15"/>
              </w:rPr>
              <w:t>Confirmed unauthorised access, material degradation, actively exploited high-risk weakness or supplier incident with credible impact.</w:t>
            </w:r>
          </w:p>
        </w:tc>
        <w:tc>
          <w:tcPr>
            <w:tcW w:type="dxa" w:w="3360"/>
            <w:vAlign w:val="center"/>
          </w:tcPr>
          <w:p>
            <w:pPr>
              <w:spacing w:after="20"/>
            </w:pPr>
            <w:r>
              <w:rPr>
                <w:sz w:val="15"/>
              </w:rPr>
              <w:t>Within 30 minutes of triage where feasible</w:t>
            </w:r>
          </w:p>
        </w:tc>
      </w:tr>
      <w:tr>
        <w:tc>
          <w:tcPr>
            <w:tcW w:type="dxa" w:w="3360"/>
            <w:vAlign w:val="center"/>
          </w:tcPr>
          <w:p>
            <w:pPr>
              <w:spacing w:after="20"/>
            </w:pPr>
            <w:r>
              <w:rPr>
                <w:sz w:val="15"/>
              </w:rPr>
              <w:t>SEV-3 Medium</w:t>
            </w:r>
          </w:p>
        </w:tc>
        <w:tc>
          <w:tcPr>
            <w:tcW w:type="dxa" w:w="3360"/>
            <w:vAlign w:val="center"/>
          </w:tcPr>
          <w:p>
            <w:pPr>
              <w:spacing w:after="20"/>
            </w:pPr>
            <w:r>
              <w:rPr>
                <w:sz w:val="15"/>
              </w:rPr>
              <w:t>Contained malware on a limited endpoint or suspicious event without confirmed compromise.</w:t>
            </w:r>
          </w:p>
        </w:tc>
        <w:tc>
          <w:tcPr>
            <w:tcW w:type="dxa" w:w="3360"/>
            <w:vAlign w:val="center"/>
          </w:tcPr>
          <w:p>
            <w:pPr>
              <w:spacing w:after="20"/>
            </w:pPr>
            <w:r>
              <w:rPr>
                <w:sz w:val="15"/>
              </w:rPr>
              <w:t>Within 4 hours of triage</w:t>
            </w:r>
          </w:p>
        </w:tc>
      </w:tr>
      <w:tr>
        <w:tc>
          <w:tcPr>
            <w:tcW w:type="dxa" w:w="3360"/>
            <w:vAlign w:val="center"/>
          </w:tcPr>
          <w:p>
            <w:pPr>
              <w:spacing w:after="20"/>
            </w:pPr>
            <w:r>
              <w:rPr>
                <w:sz w:val="15"/>
              </w:rPr>
              <w:t>SEV-4 Low</w:t>
            </w:r>
          </w:p>
        </w:tc>
        <w:tc>
          <w:tcPr>
            <w:tcW w:type="dxa" w:w="3360"/>
            <w:vAlign w:val="center"/>
          </w:tcPr>
          <w:p>
            <w:pPr>
              <w:spacing w:after="20"/>
            </w:pPr>
            <w:r>
              <w:rPr>
                <w:sz w:val="15"/>
              </w:rPr>
              <w:t>Low-impact policy violation or blocked event requiring tracking.</w:t>
            </w:r>
          </w:p>
        </w:tc>
        <w:tc>
          <w:tcPr>
            <w:tcW w:type="dxa" w:w="3360"/>
            <w:vAlign w:val="center"/>
          </w:tcPr>
          <w:p>
            <w:pPr>
              <w:spacing w:after="20"/>
            </w:pPr>
            <w:r>
              <w:rPr>
                <w:sz w:val="15"/>
              </w:rPr>
              <w:t>Within 1 business day</w:t>
            </w:r>
          </w:p>
        </w:tc>
      </w:tr>
    </w:tbl>
    <w:p/>
    <w:p>
      <w:pPr>
        <w:spacing w:after="100"/>
      </w:pPr>
      <w:r>
        <w:t>These are proposed internal targets, not replacements for statutory or regulator-mandated deadlines. Increase severity when impact or uncertainty grows.</w:t>
      </w:r>
    </w:p>
    <w:p>
      <w:pPr>
        <w:pStyle w:val="Heading2"/>
      </w:pPr>
      <w:r>
        <w:t>5.4 Incident response lifecycle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6D9F1"/>
          </w:tcPr>
          <w:p>
            <w:r>
              <w:rPr>
                <w:b/>
                <w:sz w:val="15"/>
              </w:rPr>
              <w:t>Phase</w:t>
            </w:r>
          </w:p>
        </w:tc>
        <w:tc>
          <w:tcPr>
            <w:tcW w:type="dxa" w:w="3360"/>
            <w:shd w:fill="C6D9F1"/>
          </w:tcPr>
          <w:p>
            <w:r>
              <w:rPr>
                <w:b/>
                <w:sz w:val="15"/>
              </w:rPr>
              <w:t>Required actions</w:t>
            </w:r>
          </w:p>
        </w:tc>
        <w:tc>
          <w:tcPr>
            <w:tcW w:type="dxa" w:w="3360"/>
            <w:shd w:fill="C6D9F1"/>
          </w:tcPr>
          <w:p>
            <w:r>
              <w:rPr>
                <w:b/>
                <w:sz w:val="15"/>
              </w:rPr>
              <w:t>Lead</w:t>
            </w:r>
          </w:p>
        </w:tc>
      </w:tr>
      <w:tr>
        <w:tc>
          <w:tcPr>
            <w:tcW w:type="dxa" w:w="3360"/>
            <w:vAlign w:val="center"/>
          </w:tcPr>
          <w:p>
            <w:pPr>
              <w:spacing w:after="20"/>
            </w:pPr>
            <w:r>
              <w:rPr>
                <w:sz w:val="15"/>
              </w:rPr>
              <w:t>Prepare</w:t>
            </w:r>
          </w:p>
        </w:tc>
        <w:tc>
          <w:tcPr>
            <w:tcW w:type="dxa" w:w="3360"/>
            <w:vAlign w:val="center"/>
          </w:tcPr>
          <w:p>
            <w:pPr>
              <w:spacing w:after="20"/>
            </w:pPr>
            <w:r>
              <w:rPr>
                <w:sz w:val="15"/>
              </w:rPr>
              <w:t>Maintain contacts, playbooks, tools, backups, evidence procedures and exercises.</w:t>
            </w:r>
          </w:p>
        </w:tc>
        <w:tc>
          <w:tcPr>
            <w:tcW w:type="dxa" w:w="3360"/>
            <w:vAlign w:val="center"/>
          </w:tcPr>
          <w:p>
            <w:pPr>
              <w:spacing w:after="20"/>
            </w:pPr>
            <w:r>
              <w:rPr>
                <w:sz w:val="15"/>
              </w:rPr>
              <w:t>Security lead / service owner</w:t>
            </w:r>
          </w:p>
        </w:tc>
      </w:tr>
      <w:tr>
        <w:tc>
          <w:tcPr>
            <w:tcW w:type="dxa" w:w="3360"/>
            <w:vAlign w:val="center"/>
          </w:tcPr>
          <w:p>
            <w:pPr>
              <w:spacing w:after="20"/>
            </w:pPr>
            <w:r>
              <w:rPr>
                <w:sz w:val="15"/>
              </w:rPr>
              <w:t>Detect and report</w:t>
            </w:r>
          </w:p>
        </w:tc>
        <w:tc>
          <w:tcPr>
            <w:tcW w:type="dxa" w:w="3360"/>
            <w:vAlign w:val="center"/>
          </w:tcPr>
          <w:p>
            <w:pPr>
              <w:spacing w:after="20"/>
            </w:pPr>
            <w:r>
              <w:rPr>
                <w:sz w:val="15"/>
              </w:rPr>
              <w:t>Validate alert; open incident record; record time, source, scope and initial severity.</w:t>
            </w:r>
          </w:p>
        </w:tc>
        <w:tc>
          <w:tcPr>
            <w:tcW w:type="dxa" w:w="3360"/>
            <w:vAlign w:val="center"/>
          </w:tcPr>
          <w:p>
            <w:pPr>
              <w:spacing w:after="20"/>
            </w:pPr>
            <w:r>
              <w:rPr>
                <w:sz w:val="15"/>
              </w:rPr>
              <w:t>SOC / first recipient</w:t>
            </w:r>
          </w:p>
        </w:tc>
      </w:tr>
      <w:tr>
        <w:tc>
          <w:tcPr>
            <w:tcW w:type="dxa" w:w="3360"/>
            <w:vAlign w:val="center"/>
          </w:tcPr>
          <w:p>
            <w:pPr>
              <w:spacing w:after="20"/>
            </w:pPr>
            <w:r>
              <w:rPr>
                <w:sz w:val="15"/>
              </w:rPr>
              <w:t>Triage</w:t>
            </w:r>
          </w:p>
        </w:tc>
        <w:tc>
          <w:tcPr>
            <w:tcW w:type="dxa" w:w="3360"/>
            <w:vAlign w:val="center"/>
          </w:tcPr>
          <w:p>
            <w:pPr>
              <w:spacing w:after="20"/>
            </w:pPr>
            <w:r>
              <w:rPr>
                <w:sz w:val="15"/>
              </w:rPr>
              <w:t>Assess affected systems, data, users, attack path and business impact.</w:t>
            </w:r>
          </w:p>
        </w:tc>
        <w:tc>
          <w:tcPr>
            <w:tcW w:type="dxa" w:w="3360"/>
            <w:vAlign w:val="center"/>
          </w:tcPr>
          <w:p>
            <w:pPr>
              <w:spacing w:after="20"/>
            </w:pPr>
            <w:r>
              <w:rPr>
                <w:sz w:val="15"/>
              </w:rPr>
              <w:t>Incident commander</w:t>
            </w:r>
          </w:p>
        </w:tc>
      </w:tr>
      <w:tr>
        <w:tc>
          <w:tcPr>
            <w:tcW w:type="dxa" w:w="3360"/>
            <w:vAlign w:val="center"/>
          </w:tcPr>
          <w:p>
            <w:pPr>
              <w:spacing w:after="20"/>
            </w:pPr>
            <w:r>
              <w:rPr>
                <w:sz w:val="15"/>
              </w:rPr>
              <w:t>Contain</w:t>
            </w:r>
          </w:p>
        </w:tc>
        <w:tc>
          <w:tcPr>
            <w:tcW w:type="dxa" w:w="3360"/>
            <w:vAlign w:val="center"/>
          </w:tcPr>
          <w:p>
            <w:pPr>
              <w:spacing w:after="20"/>
            </w:pPr>
            <w:r>
              <w:rPr>
                <w:sz w:val="15"/>
              </w:rPr>
              <w:t>Disable compromised accounts, revoke tokens, isolate hosts or restrict exposed services proportionately; preserve evidence.</w:t>
            </w:r>
          </w:p>
        </w:tc>
        <w:tc>
          <w:tcPr>
            <w:tcW w:type="dxa" w:w="3360"/>
            <w:vAlign w:val="center"/>
          </w:tcPr>
          <w:p>
            <w:pPr>
              <w:spacing w:after="20"/>
            </w:pPr>
            <w:r>
              <w:rPr>
                <w:sz w:val="15"/>
              </w:rPr>
              <w:t>Incident commander / IT</w:t>
            </w:r>
          </w:p>
        </w:tc>
      </w:tr>
      <w:tr>
        <w:tc>
          <w:tcPr>
            <w:tcW w:type="dxa" w:w="3360"/>
            <w:vAlign w:val="center"/>
          </w:tcPr>
          <w:p>
            <w:pPr>
              <w:spacing w:after="20"/>
            </w:pPr>
            <w:r>
              <w:rPr>
                <w:sz w:val="15"/>
              </w:rPr>
              <w:t>Eradicate</w:t>
            </w:r>
          </w:p>
        </w:tc>
        <w:tc>
          <w:tcPr>
            <w:tcW w:type="dxa" w:w="3360"/>
            <w:vAlign w:val="center"/>
          </w:tcPr>
          <w:p>
            <w:pPr>
              <w:spacing w:after="20"/>
            </w:pPr>
            <w:r>
              <w:rPr>
                <w:sz w:val="15"/>
              </w:rPr>
              <w:t>Remove malicious persistence, close exploited weaknesses, rotate secrets and verify configurations.</w:t>
            </w:r>
          </w:p>
        </w:tc>
        <w:tc>
          <w:tcPr>
            <w:tcW w:type="dxa" w:w="3360"/>
            <w:vAlign w:val="center"/>
          </w:tcPr>
          <w:p>
            <w:pPr>
              <w:spacing w:after="20"/>
            </w:pPr>
            <w:r>
              <w:rPr>
                <w:sz w:val="15"/>
              </w:rPr>
              <w:t>IT / app / security</w:t>
            </w:r>
          </w:p>
        </w:tc>
      </w:tr>
      <w:tr>
        <w:tc>
          <w:tcPr>
            <w:tcW w:type="dxa" w:w="3360"/>
            <w:vAlign w:val="center"/>
          </w:tcPr>
          <w:p>
            <w:pPr>
              <w:spacing w:after="20"/>
            </w:pPr>
            <w:r>
              <w:rPr>
                <w:sz w:val="15"/>
              </w:rPr>
              <w:t>Recover</w:t>
            </w:r>
          </w:p>
        </w:tc>
        <w:tc>
          <w:tcPr>
            <w:tcW w:type="dxa" w:w="3360"/>
            <w:vAlign w:val="center"/>
          </w:tcPr>
          <w:p>
            <w:pPr>
              <w:spacing w:after="20"/>
            </w:pPr>
            <w:r>
              <w:rPr>
                <w:sz w:val="15"/>
              </w:rPr>
              <w:t>Restore from trusted backups; validate integrity; monitor and obtain service-owner approval.</w:t>
            </w:r>
          </w:p>
        </w:tc>
        <w:tc>
          <w:tcPr>
            <w:tcW w:type="dxa" w:w="3360"/>
            <w:vAlign w:val="center"/>
          </w:tcPr>
          <w:p>
            <w:pPr>
              <w:spacing w:after="20"/>
            </w:pPr>
            <w:r>
              <w:rPr>
                <w:sz w:val="15"/>
              </w:rPr>
              <w:t>Service owner / IT</w:t>
            </w:r>
          </w:p>
        </w:tc>
      </w:tr>
      <w:tr>
        <w:tc>
          <w:tcPr>
            <w:tcW w:type="dxa" w:w="3360"/>
            <w:vAlign w:val="center"/>
          </w:tcPr>
          <w:p>
            <w:pPr>
              <w:spacing w:after="20"/>
            </w:pPr>
            <w:r>
              <w:rPr>
                <w:sz w:val="15"/>
              </w:rPr>
              <w:t>Notify</w:t>
            </w:r>
          </w:p>
        </w:tc>
        <w:tc>
          <w:tcPr>
            <w:tcW w:type="dxa" w:w="3360"/>
            <w:vAlign w:val="center"/>
          </w:tcPr>
          <w:p>
            <w:pPr>
              <w:spacing w:after="20"/>
            </w:pPr>
            <w:r>
              <w:rPr>
                <w:sz w:val="15"/>
              </w:rPr>
              <w:t>Assess legal, CERT-In, regulator, affected-person and contractual duties; preserve notification evidence.</w:t>
            </w:r>
          </w:p>
        </w:tc>
        <w:tc>
          <w:tcPr>
            <w:tcW w:type="dxa" w:w="3360"/>
            <w:vAlign w:val="center"/>
          </w:tcPr>
          <w:p>
            <w:pPr>
              <w:spacing w:after="20"/>
            </w:pPr>
            <w:r>
              <w:rPr>
                <w:sz w:val="15"/>
              </w:rPr>
              <w:t>Security + legal/privacy</w:t>
            </w:r>
          </w:p>
        </w:tc>
      </w:tr>
      <w:tr>
        <w:tc>
          <w:tcPr>
            <w:tcW w:type="dxa" w:w="3360"/>
            <w:vAlign w:val="center"/>
          </w:tcPr>
          <w:p>
            <w:pPr>
              <w:spacing w:after="20"/>
            </w:pPr>
            <w:r>
              <w:rPr>
                <w:sz w:val="15"/>
              </w:rPr>
              <w:t>Learn</w:t>
            </w:r>
          </w:p>
        </w:tc>
        <w:tc>
          <w:tcPr>
            <w:tcW w:type="dxa" w:w="3360"/>
            <w:vAlign w:val="center"/>
          </w:tcPr>
          <w:p>
            <w:pPr>
              <w:spacing w:after="20"/>
            </w:pPr>
            <w:r>
              <w:rPr>
                <w:sz w:val="15"/>
              </w:rPr>
              <w:t>Complete root-cause review, assign actions and update risks and controls.</w:t>
            </w:r>
          </w:p>
        </w:tc>
        <w:tc>
          <w:tcPr>
            <w:tcW w:type="dxa" w:w="3360"/>
            <w:vAlign w:val="center"/>
          </w:tcPr>
          <w:p>
            <w:pPr>
              <w:spacing w:after="20"/>
            </w:pPr>
            <w:r>
              <w:rPr>
                <w:sz w:val="15"/>
              </w:rPr>
              <w:t>Security lead / owner</w:t>
            </w:r>
          </w:p>
        </w:tc>
      </w:tr>
    </w:tbl>
    <w:p/>
    <w:p>
      <w:pPr>
        <w:pStyle w:val="Heading2"/>
      </w:pPr>
      <w:r>
        <w:t>5.5 External reporting and legal escalation</w:t>
      </w:r>
    </w:p>
    <w:p>
      <w:pPr>
        <w:spacing w:after="100"/>
      </w:pPr>
      <w:r>
        <w:t>For India, assess applicability of the Information Technology Act, 2000 and CERT-In Directions issued on 28 April 2022 under section 70B, including the requirement to report specified cyber incidents within six hours of noticing them or being brought to notice. Follow current CERT-In instructions and do not delay an applicable initial report merely because every detail is not yet available; submit available information and provide updates as required. Coordinate with NIC-CERT, a sectoral CSIRT, regulator, law enforcement or other authority where applicable.</w:t>
      </w:r>
    </w:p>
    <w:p>
      <w:pPr>
        <w:spacing w:after="100"/>
      </w:pPr>
      <w:r>
        <w:t>For personal-data breaches, assess the Digital Personal Data Protection Act, 2023, the Digital Personal Data Protection Rules, 2025, their commencement/enforcement timeline and other applicable sectoral rules. Legal/privacy officials must verify which provisions are in force for the relevant organisation and event at the time. This framework is not legal advice.</w:t>
      </w:r>
    </w:p>
    <w:p>
      <w:pPr>
        <w:pStyle w:val="Heading2"/>
      </w:pPr>
      <w:r>
        <w:t>5.6 Evidence and communications</w:t>
      </w:r>
    </w:p>
    <w:p>
      <w:pPr>
        <w:pStyle w:val="ListBullet"/>
        <w:spacing w:after="40"/>
      </w:pPr>
      <w:r>
        <w:t>Maintain a timestamped incident timeline and record who collected each evidence item, when, from where and where it is stored.</w:t>
      </w:r>
    </w:p>
    <w:p>
      <w:pPr>
        <w:pStyle w:val="ListBullet"/>
        <w:spacing w:after="40"/>
      </w:pPr>
      <w:r>
        <w:t>Restrict evidence access; preserve relevant logs and system information; avoid altering originals unnecessarily.</w:t>
      </w:r>
    </w:p>
    <w:p>
      <w:pPr>
        <w:pStyle w:val="ListBullet"/>
        <w:spacing w:after="40"/>
      </w:pPr>
      <w:r>
        <w:t>Coordinate with legal counsel and law enforcement when formal evidence-handling requirements apply.</w:t>
      </w:r>
    </w:p>
    <w:p>
      <w:pPr>
        <w:pStyle w:val="ListBullet"/>
        <w:spacing w:after="40"/>
      </w:pPr>
      <w:r>
        <w:t>Only authorised spokespeople may communicate externally. Messages should be timely, accurate and coordinated with legal/privacy advisors; avoid speculation and sensitive technical details that increase risk.</w:t>
      </w:r>
    </w:p>
    <w:p>
      <w:pPr>
        <w:pStyle w:val="Heading1"/>
      </w:pPr>
      <w:r>
        <w:t>6. Compliance Measures and Regulatory Landscape</w:t>
      </w:r>
    </w:p>
    <w:p>
      <w:pPr>
        <w:spacing w:after="100"/>
      </w:pPr>
      <w:r>
        <w:t>Compliance depends on the laws, directions, rules, contracts and government standards that actually apply to a particular department and service. The references below are a starting point for legal and security review, not a claim that every provision applies identically to every organisation.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6D9F1"/>
          </w:tcPr>
          <w:p>
            <w:r>
              <w:rPr>
                <w:b/>
                <w:sz w:val="14"/>
              </w:rPr>
              <w:t>Reference</w:t>
            </w:r>
          </w:p>
        </w:tc>
        <w:tc>
          <w:tcPr>
            <w:tcW w:type="dxa" w:w="3360"/>
            <w:shd w:fill="C6D9F1"/>
          </w:tcPr>
          <w:p>
            <w:r>
              <w:rPr>
                <w:b/>
                <w:sz w:val="14"/>
              </w:rPr>
              <w:t>Relevance</w:t>
            </w:r>
          </w:p>
        </w:tc>
        <w:tc>
          <w:tcPr>
            <w:tcW w:type="dxa" w:w="3360"/>
            <w:shd w:fill="C6D9F1"/>
          </w:tcPr>
          <w:p>
            <w:r>
              <w:rPr>
                <w:b/>
                <w:sz w:val="14"/>
              </w:rPr>
              <w:t>Action</w:t>
            </w:r>
          </w:p>
        </w:tc>
      </w:tr>
      <w:tr>
        <w:tc>
          <w:tcPr>
            <w:tcW w:type="dxa" w:w="3360"/>
            <w:vAlign w:val="center"/>
          </w:tcPr>
          <w:p>
            <w:pPr>
              <w:spacing w:after="20"/>
            </w:pPr>
            <w:r>
              <w:rPr>
                <w:sz w:val="14"/>
              </w:rPr>
              <w:t>IT Act, 2000; CERT-In Directions under section 70B (28 April 2022)</w:t>
            </w:r>
          </w:p>
        </w:tc>
        <w:tc>
          <w:tcPr>
            <w:tcW w:type="dxa" w:w="3360"/>
            <w:vAlign w:val="center"/>
          </w:tcPr>
          <w:p>
            <w:pPr>
              <w:spacing w:after="20"/>
            </w:pPr>
            <w:r>
              <w:rPr>
                <w:sz w:val="14"/>
              </w:rPr>
              <w:t>Cyber incident response, reporting and related directions.</w:t>
            </w:r>
          </w:p>
        </w:tc>
        <w:tc>
          <w:tcPr>
            <w:tcW w:type="dxa" w:w="3360"/>
            <w:vAlign w:val="center"/>
          </w:tcPr>
          <w:p>
            <w:pPr>
              <w:spacing w:after="20"/>
            </w:pPr>
            <w:r>
              <w:rPr>
                <w:sz w:val="14"/>
              </w:rPr>
              <w:t>Maintain applicability checklist, reporting contacts, timelines and evidence procedures.</w:t>
            </w:r>
          </w:p>
        </w:tc>
      </w:tr>
      <w:tr>
        <w:tc>
          <w:tcPr>
            <w:tcW w:type="dxa" w:w="3360"/>
            <w:vAlign w:val="center"/>
          </w:tcPr>
          <w:p>
            <w:pPr>
              <w:spacing w:after="20"/>
            </w:pPr>
            <w:r>
              <w:rPr>
                <w:sz w:val="14"/>
              </w:rPr>
              <w:t>DPDP Act, 2023 and DPDP Rules, 2025</w:t>
            </w:r>
          </w:p>
        </w:tc>
        <w:tc>
          <w:tcPr>
            <w:tcW w:type="dxa" w:w="3360"/>
            <w:vAlign w:val="center"/>
          </w:tcPr>
          <w:p>
            <w:pPr>
              <w:spacing w:after="20"/>
            </w:pPr>
            <w:r>
              <w:rPr>
                <w:sz w:val="14"/>
              </w:rPr>
              <w:t>Digital personal data processing obligations, subject to applicability and commencement.</w:t>
            </w:r>
          </w:p>
        </w:tc>
        <w:tc>
          <w:tcPr>
            <w:tcW w:type="dxa" w:w="3360"/>
            <w:vAlign w:val="center"/>
          </w:tcPr>
          <w:p>
            <w:pPr>
              <w:spacing w:after="20"/>
            </w:pPr>
            <w:r>
              <w:rPr>
                <w:sz w:val="14"/>
              </w:rPr>
              <w:t>Legal/privacy team verifies in-force provisions, safeguards, notices, breach and retention duties.</w:t>
            </w:r>
          </w:p>
        </w:tc>
      </w:tr>
      <w:tr>
        <w:tc>
          <w:tcPr>
            <w:tcW w:type="dxa" w:w="3360"/>
            <w:vAlign w:val="center"/>
          </w:tcPr>
          <w:p>
            <w:pPr>
              <w:spacing w:after="20"/>
            </w:pPr>
            <w:r>
              <w:rPr>
                <w:sz w:val="14"/>
              </w:rPr>
              <w:t>Sectoral / departmental rules and directions</w:t>
            </w:r>
          </w:p>
        </w:tc>
        <w:tc>
          <w:tcPr>
            <w:tcW w:type="dxa" w:w="3360"/>
            <w:vAlign w:val="center"/>
          </w:tcPr>
          <w:p>
            <w:pPr>
              <w:spacing w:after="20"/>
            </w:pPr>
            <w:r>
              <w:rPr>
                <w:sz w:val="14"/>
              </w:rPr>
              <w:t>Additional requirements may apply to payments, health, identity, finance or critical infrastructure.</w:t>
            </w:r>
          </w:p>
        </w:tc>
        <w:tc>
          <w:tcPr>
            <w:tcW w:type="dxa" w:w="3360"/>
            <w:vAlign w:val="center"/>
          </w:tcPr>
          <w:p>
            <w:pPr>
              <w:spacing w:after="20"/>
            </w:pPr>
            <w:r>
              <w:rPr>
                <w:sz w:val="14"/>
              </w:rPr>
              <w:t>Maintain a service-specific legal register and map obligations to owners and evidence.</w:t>
            </w:r>
          </w:p>
        </w:tc>
      </w:tr>
      <w:tr>
        <w:tc>
          <w:tcPr>
            <w:tcW w:type="dxa" w:w="3360"/>
            <w:vAlign w:val="center"/>
          </w:tcPr>
          <w:p>
            <w:pPr>
              <w:spacing w:after="20"/>
            </w:pPr>
            <w:r>
              <w:rPr>
                <w:sz w:val="14"/>
              </w:rPr>
              <w:t>OWASP Top 10:2025</w:t>
            </w:r>
          </w:p>
        </w:tc>
        <w:tc>
          <w:tcPr>
            <w:tcW w:type="dxa" w:w="3360"/>
            <w:vAlign w:val="center"/>
          </w:tcPr>
          <w:p>
            <w:pPr>
              <w:spacing w:after="20"/>
            </w:pPr>
            <w:r>
              <w:rPr>
                <w:sz w:val="14"/>
              </w:rPr>
              <w:t>Application-security awareness baseline; not legislation.</w:t>
            </w:r>
          </w:p>
        </w:tc>
        <w:tc>
          <w:tcPr>
            <w:tcW w:type="dxa" w:w="3360"/>
            <w:vAlign w:val="center"/>
          </w:tcPr>
          <w:p>
            <w:pPr>
              <w:spacing w:after="20"/>
            </w:pPr>
            <w:r>
              <w:rPr>
                <w:sz w:val="14"/>
              </w:rPr>
              <w:t>Map relevant risks to secure development, testing and remediation.</w:t>
            </w:r>
          </w:p>
        </w:tc>
      </w:tr>
      <w:tr>
        <w:tc>
          <w:tcPr>
            <w:tcW w:type="dxa" w:w="3360"/>
            <w:vAlign w:val="center"/>
          </w:tcPr>
          <w:p>
            <w:pPr>
              <w:spacing w:after="20"/>
            </w:pPr>
            <w:r>
              <w:rPr>
                <w:sz w:val="14"/>
              </w:rPr>
              <w:t>NIST Cybersecurity Framework / incident-response guidance</w:t>
            </w:r>
          </w:p>
        </w:tc>
        <w:tc>
          <w:tcPr>
            <w:tcW w:type="dxa" w:w="3360"/>
            <w:vAlign w:val="center"/>
          </w:tcPr>
          <w:p>
            <w:pPr>
              <w:spacing w:after="20"/>
            </w:pPr>
            <w:r>
              <w:rPr>
                <w:sz w:val="14"/>
              </w:rPr>
              <w:t>Risk-management and incident-response guidance; voluntary unless adopted or required.</w:t>
            </w:r>
          </w:p>
        </w:tc>
        <w:tc>
          <w:tcPr>
            <w:tcW w:type="dxa" w:w="3360"/>
            <w:vAlign w:val="center"/>
          </w:tcPr>
          <w:p>
            <w:pPr>
              <w:spacing w:after="20"/>
            </w:pPr>
            <w:r>
              <w:rPr>
                <w:sz w:val="14"/>
              </w:rPr>
              <w:t>Use to organise governance, protection, detection, response, recovery and improvement.</w:t>
            </w:r>
          </w:p>
        </w:tc>
      </w:tr>
      <w:tr>
        <w:tc>
          <w:tcPr>
            <w:tcW w:type="dxa" w:w="3360"/>
            <w:vAlign w:val="center"/>
          </w:tcPr>
          <w:p>
            <w:pPr>
              <w:spacing w:after="20"/>
            </w:pPr>
            <w:r>
              <w:rPr>
                <w:sz w:val="14"/>
              </w:rPr>
              <w:t>Contracts and SLAs</w:t>
            </w:r>
          </w:p>
        </w:tc>
        <w:tc>
          <w:tcPr>
            <w:tcW w:type="dxa" w:w="3360"/>
            <w:vAlign w:val="center"/>
          </w:tcPr>
          <w:p>
            <w:pPr>
              <w:spacing w:after="20"/>
            </w:pPr>
            <w:r>
              <w:rPr>
                <w:sz w:val="14"/>
              </w:rPr>
              <w:t>Supplier security, incident notification, audit, data handling and continuity obligations.</w:t>
            </w:r>
          </w:p>
        </w:tc>
        <w:tc>
          <w:tcPr>
            <w:tcW w:type="dxa" w:w="3360"/>
            <w:vAlign w:val="center"/>
          </w:tcPr>
          <w:p>
            <w:pPr>
              <w:spacing w:after="20"/>
            </w:pPr>
            <w:r>
              <w:rPr>
                <w:sz w:val="14"/>
              </w:rPr>
              <w:t>Review before award and renewal; track supplier performance.</w:t>
            </w:r>
          </w:p>
        </w:tc>
      </w:tr>
    </w:tbl>
    <w:p/>
    <w:p>
      <w:pPr>
        <w:pStyle w:val="Heading2"/>
      </w:pPr>
      <w:r>
        <w:t>6.1 Compliance evidence</w:t>
      </w:r>
    </w:p>
    <w:p>
      <w:pPr>
        <w:pStyle w:val="ListBullet"/>
        <w:spacing w:after="40"/>
      </w:pPr>
      <w:r>
        <w:t>Approved policy versions, review records and user acknowledgements.</w:t>
      </w:r>
    </w:p>
    <w:p>
      <w:pPr>
        <w:pStyle w:val="ListBullet"/>
        <w:spacing w:after="40"/>
      </w:pPr>
      <w:r>
        <w:t>Asset inventory, classification, risk assessments and risk-treatment records.</w:t>
      </w:r>
    </w:p>
    <w:p>
      <w:pPr>
        <w:pStyle w:val="ListBullet"/>
        <w:spacing w:after="40"/>
      </w:pPr>
      <w:r>
        <w:t>Access approvals, access reviews, privileged-account inventory and MFA coverage.</w:t>
      </w:r>
    </w:p>
    <w:p>
      <w:pPr>
        <w:pStyle w:val="ListBullet"/>
        <w:spacing w:after="40"/>
      </w:pPr>
      <w:r>
        <w:t>Vulnerability scans, patch reports, security test results and remediation evidence.</w:t>
      </w:r>
    </w:p>
    <w:p>
      <w:pPr>
        <w:pStyle w:val="ListBullet"/>
        <w:spacing w:after="40"/>
      </w:pPr>
      <w:r>
        <w:t>Incident records, reporting decisions, external notifications and lessons learned.</w:t>
      </w:r>
    </w:p>
    <w:p>
      <w:pPr>
        <w:pStyle w:val="ListBullet"/>
        <w:spacing w:after="40"/>
      </w:pPr>
      <w:r>
        <w:t>Backup tests, continuity exercises, supplier assessments and training records.</w:t>
      </w:r>
    </w:p>
    <w:p>
      <w:pPr>
        <w:pStyle w:val="Heading2"/>
      </w:pPr>
      <w:r>
        <w:t>6.2 Non-compliance</w:t>
      </w:r>
    </w:p>
    <w:p>
      <w:pPr>
        <w:spacing w:after="100"/>
      </w:pPr>
      <w:r>
        <w:t>Violations should be documented, investigated proportionately and referred to HR, procurement, legal or management as appropriate. Corrective action may include training, access restriction, remediation, contractual remedies or disciplinary action consistent with applicable rules. Good-faith reporting must be encouraged and must not be discouraged through retaliation.</w:t>
      </w:r>
    </w:p>
    <w:p>
      <w:pPr>
        <w:pStyle w:val="Heading1"/>
      </w:pPr>
      <w:r>
        <w:t>7. Monitoring, Assurance and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6D9F1"/>
          </w:tcPr>
          <w:p>
            <w:r>
              <w:rPr>
                <w:b/>
                <w:sz w:val="15"/>
              </w:rPr>
              <w:t>Metric</w:t>
            </w:r>
          </w:p>
        </w:tc>
        <w:tc>
          <w:tcPr>
            <w:tcW w:type="dxa" w:w="3360"/>
            <w:shd w:fill="C6D9F1"/>
          </w:tcPr>
          <w:p>
            <w:r>
              <w:rPr>
                <w:b/>
                <w:sz w:val="15"/>
              </w:rPr>
              <w:t>Suggested internal target</w:t>
            </w:r>
          </w:p>
        </w:tc>
        <w:tc>
          <w:tcPr>
            <w:tcW w:type="dxa" w:w="3360"/>
            <w:shd w:fill="C6D9F1"/>
          </w:tcPr>
          <w:p>
            <w:r>
              <w:rPr>
                <w:b/>
                <w:sz w:val="15"/>
              </w:rPr>
              <w:t>Owner / frequency</w:t>
            </w:r>
          </w:p>
        </w:tc>
      </w:tr>
      <w:tr>
        <w:tc>
          <w:tcPr>
            <w:tcW w:type="dxa" w:w="3360"/>
            <w:vAlign w:val="center"/>
          </w:tcPr>
          <w:p>
            <w:pPr>
              <w:spacing w:after="20"/>
            </w:pPr>
            <w:r>
              <w:rPr>
                <w:sz w:val="15"/>
              </w:rPr>
              <w:t>Critical assets with owner and classification</w:t>
            </w:r>
          </w:p>
        </w:tc>
        <w:tc>
          <w:tcPr>
            <w:tcW w:type="dxa" w:w="3360"/>
            <w:vAlign w:val="center"/>
          </w:tcPr>
          <w:p>
            <w:pPr>
              <w:spacing w:after="20"/>
            </w:pPr>
            <w:r>
              <w:rPr>
                <w:sz w:val="15"/>
              </w:rPr>
              <w:t>100%</w:t>
            </w:r>
          </w:p>
        </w:tc>
        <w:tc>
          <w:tcPr>
            <w:tcW w:type="dxa" w:w="3360"/>
            <w:vAlign w:val="center"/>
          </w:tcPr>
          <w:p>
            <w:pPr>
              <w:spacing w:after="20"/>
            </w:pPr>
            <w:r>
              <w:rPr>
                <w:sz w:val="15"/>
              </w:rPr>
              <w:t>Monthly / service owners</w:t>
            </w:r>
          </w:p>
        </w:tc>
      </w:tr>
      <w:tr>
        <w:tc>
          <w:tcPr>
            <w:tcW w:type="dxa" w:w="3360"/>
            <w:vAlign w:val="center"/>
          </w:tcPr>
          <w:p>
            <w:pPr>
              <w:spacing w:after="20"/>
            </w:pPr>
            <w:r>
              <w:rPr>
                <w:sz w:val="15"/>
              </w:rPr>
              <w:t>Privileged accounts with MFA</w:t>
            </w:r>
          </w:p>
        </w:tc>
        <w:tc>
          <w:tcPr>
            <w:tcW w:type="dxa" w:w="3360"/>
            <w:vAlign w:val="center"/>
          </w:tcPr>
          <w:p>
            <w:pPr>
              <w:spacing w:after="20"/>
            </w:pPr>
            <w:r>
              <w:rPr>
                <w:sz w:val="15"/>
              </w:rPr>
              <w:t>100% where supported; exceptions documented</w:t>
            </w:r>
          </w:p>
        </w:tc>
        <w:tc>
          <w:tcPr>
            <w:tcW w:type="dxa" w:w="3360"/>
            <w:vAlign w:val="center"/>
          </w:tcPr>
          <w:p>
            <w:pPr>
              <w:spacing w:after="20"/>
            </w:pPr>
            <w:r>
              <w:rPr>
                <w:sz w:val="15"/>
              </w:rPr>
              <w:t>Monthly / IT</w:t>
            </w:r>
          </w:p>
        </w:tc>
      </w:tr>
      <w:tr>
        <w:tc>
          <w:tcPr>
            <w:tcW w:type="dxa" w:w="3360"/>
            <w:vAlign w:val="center"/>
          </w:tcPr>
          <w:p>
            <w:pPr>
              <w:spacing w:after="20"/>
            </w:pPr>
            <w:r>
              <w:rPr>
                <w:sz w:val="15"/>
              </w:rPr>
              <w:t>Critical/high vulnerabilities within target</w:t>
            </w:r>
          </w:p>
        </w:tc>
        <w:tc>
          <w:tcPr>
            <w:tcW w:type="dxa" w:w="3360"/>
            <w:vAlign w:val="center"/>
          </w:tcPr>
          <w:p>
            <w:pPr>
              <w:spacing w:after="20"/>
            </w:pPr>
            <w:r>
              <w:rPr>
                <w:sz w:val="15"/>
              </w:rPr>
              <w:t>At least 95%; every overdue item risk-reviewed</w:t>
            </w:r>
          </w:p>
        </w:tc>
        <w:tc>
          <w:tcPr>
            <w:tcW w:type="dxa" w:w="3360"/>
            <w:vAlign w:val="center"/>
          </w:tcPr>
          <w:p>
            <w:pPr>
              <w:spacing w:after="20"/>
            </w:pPr>
            <w:r>
              <w:rPr>
                <w:sz w:val="15"/>
              </w:rPr>
              <w:t>Monthly / vulnerability owner</w:t>
            </w:r>
          </w:p>
        </w:tc>
      </w:tr>
      <w:tr>
        <w:tc>
          <w:tcPr>
            <w:tcW w:type="dxa" w:w="3360"/>
            <w:vAlign w:val="center"/>
          </w:tcPr>
          <w:p>
            <w:pPr>
              <w:spacing w:after="20"/>
            </w:pPr>
            <w:r>
              <w:rPr>
                <w:sz w:val="15"/>
              </w:rPr>
              <w:t>Critical services with tested recovery</w:t>
            </w:r>
          </w:p>
        </w:tc>
        <w:tc>
          <w:tcPr>
            <w:tcW w:type="dxa" w:w="3360"/>
            <w:vAlign w:val="center"/>
          </w:tcPr>
          <w:p>
            <w:pPr>
              <w:spacing w:after="20"/>
            </w:pPr>
            <w:r>
              <w:rPr>
                <w:sz w:val="15"/>
              </w:rPr>
              <w:t>100% annually; critical restore tests quarterly</w:t>
            </w:r>
          </w:p>
        </w:tc>
        <w:tc>
          <w:tcPr>
            <w:tcW w:type="dxa" w:w="3360"/>
            <w:vAlign w:val="center"/>
          </w:tcPr>
          <w:p>
            <w:pPr>
              <w:spacing w:after="20"/>
            </w:pPr>
            <w:r>
              <w:rPr>
                <w:sz w:val="15"/>
              </w:rPr>
              <w:t>Quarterly / continuity owner</w:t>
            </w:r>
          </w:p>
        </w:tc>
      </w:tr>
      <w:tr>
        <w:tc>
          <w:tcPr>
            <w:tcW w:type="dxa" w:w="3360"/>
            <w:vAlign w:val="center"/>
          </w:tcPr>
          <w:p>
            <w:pPr>
              <w:spacing w:after="20"/>
            </w:pPr>
            <w:r>
              <w:rPr>
                <w:sz w:val="15"/>
              </w:rPr>
              <w:t>Required annual training completion</w:t>
            </w:r>
          </w:p>
        </w:tc>
        <w:tc>
          <w:tcPr>
            <w:tcW w:type="dxa" w:w="3360"/>
            <w:vAlign w:val="center"/>
          </w:tcPr>
          <w:p>
            <w:pPr>
              <w:spacing w:after="20"/>
            </w:pPr>
            <w:r>
              <w:rPr>
                <w:sz w:val="15"/>
              </w:rPr>
              <w:t>At least 98%; overdue cases escalated</w:t>
            </w:r>
          </w:p>
        </w:tc>
        <w:tc>
          <w:tcPr>
            <w:tcW w:type="dxa" w:w="3360"/>
            <w:vAlign w:val="center"/>
          </w:tcPr>
          <w:p>
            <w:pPr>
              <w:spacing w:after="20"/>
            </w:pPr>
            <w:r>
              <w:rPr>
                <w:sz w:val="15"/>
              </w:rPr>
              <w:t>Quarterly / HR + security</w:t>
            </w:r>
          </w:p>
        </w:tc>
      </w:tr>
      <w:tr>
        <w:tc>
          <w:tcPr>
            <w:tcW w:type="dxa" w:w="3360"/>
            <w:vAlign w:val="center"/>
          </w:tcPr>
          <w:p>
            <w:pPr>
              <w:spacing w:after="20"/>
            </w:pPr>
            <w:r>
              <w:rPr>
                <w:sz w:val="15"/>
              </w:rPr>
              <w:t>High-severity incidents with post-incident review</w:t>
            </w:r>
          </w:p>
        </w:tc>
        <w:tc>
          <w:tcPr>
            <w:tcW w:type="dxa" w:w="3360"/>
            <w:vAlign w:val="center"/>
          </w:tcPr>
          <w:p>
            <w:pPr>
              <w:spacing w:after="20"/>
            </w:pPr>
            <w:r>
              <w:rPr>
                <w:sz w:val="15"/>
              </w:rPr>
              <w:t>100%</w:t>
            </w:r>
          </w:p>
        </w:tc>
        <w:tc>
          <w:tcPr>
            <w:tcW w:type="dxa" w:w="3360"/>
            <w:vAlign w:val="center"/>
          </w:tcPr>
          <w:p>
            <w:pPr>
              <w:spacing w:after="20"/>
            </w:pPr>
            <w:r>
              <w:rPr>
                <w:sz w:val="15"/>
              </w:rPr>
              <w:t>After incident / security lead</w:t>
            </w:r>
          </w:p>
        </w:tc>
      </w:tr>
      <w:tr>
        <w:tc>
          <w:tcPr>
            <w:tcW w:type="dxa" w:w="3360"/>
            <w:vAlign w:val="center"/>
          </w:tcPr>
          <w:p>
            <w:pPr>
              <w:spacing w:after="20"/>
            </w:pPr>
            <w:r>
              <w:rPr>
                <w:sz w:val="15"/>
              </w:rPr>
              <w:t>Critical supplier reviews completed</w:t>
            </w:r>
          </w:p>
        </w:tc>
        <w:tc>
          <w:tcPr>
            <w:tcW w:type="dxa" w:w="3360"/>
            <w:vAlign w:val="center"/>
          </w:tcPr>
          <w:p>
            <w:pPr>
              <w:spacing w:after="20"/>
            </w:pPr>
            <w:r>
              <w:rPr>
                <w:sz w:val="15"/>
              </w:rPr>
              <w:t>100% annually or after material change</w:t>
            </w:r>
          </w:p>
        </w:tc>
        <w:tc>
          <w:tcPr>
            <w:tcW w:type="dxa" w:w="3360"/>
            <w:vAlign w:val="center"/>
          </w:tcPr>
          <w:p>
            <w:pPr>
              <w:spacing w:after="20"/>
            </w:pPr>
            <w:r>
              <w:rPr>
                <w:sz w:val="15"/>
              </w:rPr>
              <w:t>Annually / vendor manager</w:t>
            </w:r>
          </w:p>
        </w:tc>
      </w:tr>
    </w:tbl>
    <w:p/>
    <w:p>
      <w:pPr>
        <w:spacing w:after="100"/>
      </w:pPr>
      <w:r>
        <w:t>These are proposed internal indicators, not statutory deadlines. Targets should be calibrated to organisational size, risk and mandatory requirements. Metrics must not encourage concealment of incidents or superficial closure of findings.</w:t>
      </w:r>
    </w:p>
    <w:p>
      <w:pPr>
        <w:pStyle w:val="Heading2"/>
      </w:pPr>
      <w:r>
        <w:t>7.1 Assurance methods</w:t>
      </w:r>
    </w:p>
    <w:p>
      <w:pPr>
        <w:pStyle w:val="ListBullet"/>
        <w:spacing w:after="40"/>
      </w:pPr>
      <w:r>
        <w:t>Authorised vulnerability scanning and configuration reviews.</w:t>
      </w:r>
    </w:p>
    <w:p>
      <w:pPr>
        <w:pStyle w:val="ListBullet"/>
        <w:spacing w:after="40"/>
      </w:pPr>
      <w:r>
        <w:t>Independent application testing before major releases and after material changes.</w:t>
      </w:r>
    </w:p>
    <w:p>
      <w:pPr>
        <w:pStyle w:val="ListBullet"/>
        <w:spacing w:after="40"/>
      </w:pPr>
      <w:r>
        <w:t>Tabletop exercises for ransomware, data breach, account compromise and extended outage.</w:t>
      </w:r>
    </w:p>
    <w:p>
      <w:pPr>
        <w:pStyle w:val="ListBullet"/>
        <w:spacing w:after="40"/>
      </w:pPr>
      <w:r>
        <w:t>Sample-based verification of access reviews, patching, backups and training.</w:t>
      </w:r>
    </w:p>
    <w:p>
      <w:pPr>
        <w:pStyle w:val="ListBullet"/>
        <w:spacing w:after="40"/>
      </w:pPr>
      <w:r>
        <w:t>Management review of trends, overdue remediation, exceptions and residual risk.</w:t>
      </w:r>
    </w:p>
    <w:p>
      <w:pPr>
        <w:pStyle w:val="Heading1"/>
      </w:pPr>
      <w:r>
        <w:t>8. Review and Continuous Improvement</w:t>
      </w:r>
    </w:p>
    <w:p>
      <w:pPr>
        <w:spacing w:after="100"/>
      </w:pPr>
      <w:r>
        <w:t>Review this policy at least annually, after a major incident or significant audit finding, when new services or suppliers are introduced, when relevant laws or directions change, and when exercises reveal ineffective procedures.</w:t>
      </w:r>
    </w:p>
    <w:p>
      <w:pPr>
        <w:pStyle w:val="ListBullet"/>
        <w:spacing w:after="40"/>
      </w:pPr>
      <w:r>
        <w:t>The policy owner gathers input from security, IT, service owners, privacy/legal, procurement, audit and business stakeholders.</w:t>
      </w:r>
    </w:p>
    <w:p>
      <w:pPr>
        <w:pStyle w:val="ListBullet"/>
        <w:spacing w:after="40"/>
      </w:pPr>
      <w:r>
        <w:t>Review incidents, metrics, risk register, audit findings, exceptions and legal applicability.</w:t>
      </w:r>
    </w:p>
    <w:p>
      <w:pPr>
        <w:pStyle w:val="ListBullet"/>
        <w:spacing w:after="40"/>
      </w:pPr>
      <w:r>
        <w:t>Draft changes, record rationale and assess operational impact.</w:t>
      </w:r>
    </w:p>
    <w:p>
      <w:pPr>
        <w:pStyle w:val="ListBullet"/>
        <w:spacing w:after="40"/>
      </w:pPr>
      <w:r>
        <w:t>Obtain approval from the competent authority and communicate revisions to affected personnel.</w:t>
      </w:r>
    </w:p>
    <w:p>
      <w:pPr>
        <w:pStyle w:val="ListBullet"/>
        <w:spacing w:after="40"/>
      </w:pPr>
      <w:r>
        <w:t>Archive superseded versions and retain version history and acknowledgement evidence.</w:t>
      </w:r>
    </w:p>
    <w:p>
      <w:pPr>
        <w:pStyle w:val="Heading1"/>
      </w:pPr>
      <w:r>
        <w:t>9. Implementation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6D9F1"/>
          </w:tcPr>
          <w:p>
            <w:r>
              <w:rPr>
                <w:b/>
                <w:sz w:val="14"/>
              </w:rPr>
              <w:t>Period</w:t>
            </w:r>
          </w:p>
        </w:tc>
        <w:tc>
          <w:tcPr>
            <w:tcW w:type="dxa" w:w="3360"/>
            <w:shd w:fill="C6D9F1"/>
          </w:tcPr>
          <w:p>
            <w:r>
              <w:rPr>
                <w:b/>
                <w:sz w:val="14"/>
              </w:rPr>
              <w:t>Priority actions</w:t>
            </w:r>
          </w:p>
        </w:tc>
        <w:tc>
          <w:tcPr>
            <w:tcW w:type="dxa" w:w="3360"/>
            <w:shd w:fill="C6D9F1"/>
          </w:tcPr>
          <w:p>
            <w:r>
              <w:rPr>
                <w:b/>
                <w:sz w:val="14"/>
              </w:rPr>
              <w:t>Outputs</w:t>
            </w:r>
          </w:p>
        </w:tc>
      </w:tr>
      <w:tr>
        <w:tc>
          <w:tcPr>
            <w:tcW w:type="dxa" w:w="3360"/>
            <w:vAlign w:val="center"/>
          </w:tcPr>
          <w:p>
            <w:pPr>
              <w:spacing w:after="20"/>
            </w:pPr>
            <w:r>
              <w:rPr>
                <w:sz w:val="14"/>
              </w:rPr>
              <w:t>Days 0–30</w:t>
            </w:r>
          </w:p>
        </w:tc>
        <w:tc>
          <w:tcPr>
            <w:tcW w:type="dxa" w:w="3360"/>
            <w:vAlign w:val="center"/>
          </w:tcPr>
          <w:p>
            <w:pPr>
              <w:spacing w:after="20"/>
            </w:pPr>
            <w:r>
              <w:rPr>
                <w:sz w:val="14"/>
              </w:rPr>
              <w:t>Appoint policy owner and incident commander; confirm legal applicability; inventory critical services; publish reporting contacts; identify top risks.</w:t>
            </w:r>
          </w:p>
        </w:tc>
        <w:tc>
          <w:tcPr>
            <w:tcW w:type="dxa" w:w="3360"/>
            <w:vAlign w:val="center"/>
          </w:tcPr>
          <w:p>
            <w:pPr>
              <w:spacing w:after="20"/>
            </w:pPr>
            <w:r>
              <w:rPr>
                <w:sz w:val="14"/>
              </w:rPr>
              <w:t>Ownership matrix, contact tree, initial asset/risk register</w:t>
            </w:r>
          </w:p>
        </w:tc>
      </w:tr>
      <w:tr>
        <w:tc>
          <w:tcPr>
            <w:tcW w:type="dxa" w:w="3360"/>
            <w:vAlign w:val="center"/>
          </w:tcPr>
          <w:p>
            <w:pPr>
              <w:spacing w:after="20"/>
            </w:pPr>
            <w:r>
              <w:rPr>
                <w:sz w:val="14"/>
              </w:rPr>
              <w:t>Days 31–60</w:t>
            </w:r>
          </w:p>
        </w:tc>
        <w:tc>
          <w:tcPr>
            <w:tcW w:type="dxa" w:w="3360"/>
            <w:vAlign w:val="center"/>
          </w:tcPr>
          <w:p>
            <w:pPr>
              <w:spacing w:after="20"/>
            </w:pPr>
            <w:r>
              <w:rPr>
                <w:sz w:val="14"/>
              </w:rPr>
              <w:t>Enforce MFA for privileged access; review exposed services; validate backups; define incident playbooks; review critical suppliers.</w:t>
            </w:r>
          </w:p>
        </w:tc>
        <w:tc>
          <w:tcPr>
            <w:tcW w:type="dxa" w:w="3360"/>
            <w:vAlign w:val="center"/>
          </w:tcPr>
          <w:p>
            <w:pPr>
              <w:spacing w:after="20"/>
            </w:pPr>
            <w:r>
              <w:rPr>
                <w:sz w:val="14"/>
              </w:rPr>
              <w:t>Access review, remediation tickets, backup evidence, playbooks</w:t>
            </w:r>
          </w:p>
        </w:tc>
      </w:tr>
      <w:tr>
        <w:tc>
          <w:tcPr>
            <w:tcW w:type="dxa" w:w="3360"/>
            <w:vAlign w:val="center"/>
          </w:tcPr>
          <w:p>
            <w:pPr>
              <w:spacing w:after="20"/>
            </w:pPr>
            <w:r>
              <w:rPr>
                <w:sz w:val="14"/>
              </w:rPr>
              <w:t>Days 61–90</w:t>
            </w:r>
          </w:p>
        </w:tc>
        <w:tc>
          <w:tcPr>
            <w:tcW w:type="dxa" w:w="3360"/>
            <w:vAlign w:val="center"/>
          </w:tcPr>
          <w:p>
            <w:pPr>
              <w:spacing w:after="20"/>
            </w:pPr>
            <w:r>
              <w:rPr>
                <w:sz w:val="14"/>
              </w:rPr>
              <w:t>Run tabletop exercise; test escalation; conduct priority vulnerability checks; complete awareness training; report metrics.</w:t>
            </w:r>
          </w:p>
        </w:tc>
        <w:tc>
          <w:tcPr>
            <w:tcW w:type="dxa" w:w="3360"/>
            <w:vAlign w:val="center"/>
          </w:tcPr>
          <w:p>
            <w:pPr>
              <w:spacing w:after="20"/>
            </w:pPr>
            <w:r>
              <w:rPr>
                <w:sz w:val="14"/>
              </w:rPr>
              <w:t>Exercise report, training records, KPI dashboard, corrective-action plan</w:t>
            </w:r>
          </w:p>
        </w:tc>
      </w:tr>
      <w:tr>
        <w:tc>
          <w:tcPr>
            <w:tcW w:type="dxa" w:w="3360"/>
            <w:vAlign w:val="center"/>
          </w:tcPr>
          <w:p>
            <w:pPr>
              <w:spacing w:after="20"/>
            </w:pPr>
            <w:r>
              <w:rPr>
                <w:sz w:val="14"/>
              </w:rPr>
              <w:t>Quarterly / ongoing</w:t>
            </w:r>
          </w:p>
        </w:tc>
        <w:tc>
          <w:tcPr>
            <w:tcW w:type="dxa" w:w="3360"/>
            <w:vAlign w:val="center"/>
          </w:tcPr>
          <w:p>
            <w:pPr>
              <w:spacing w:after="20"/>
            </w:pPr>
            <w:r>
              <w:rPr>
                <w:sz w:val="14"/>
              </w:rPr>
              <w:t>Review access and risks; track patches and suppliers; test restoration; monitor alerts; update controls.</w:t>
            </w:r>
          </w:p>
        </w:tc>
        <w:tc>
          <w:tcPr>
            <w:tcW w:type="dxa" w:w="3360"/>
            <w:vAlign w:val="center"/>
          </w:tcPr>
          <w:p>
            <w:pPr>
              <w:spacing w:after="20"/>
            </w:pPr>
            <w:r>
              <w:rPr>
                <w:sz w:val="14"/>
              </w:rPr>
              <w:t>Updated risk register and assurance pack</w:t>
            </w:r>
          </w:p>
        </w:tc>
      </w:tr>
    </w:tbl>
    <w:p/>
    <w:p>
      <w:pPr>
        <w:pStyle w:val="Heading1"/>
      </w:pPr>
      <w:r>
        <w:t>10. Example Risk Register</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C6D9F1"/>
          </w:tcPr>
          <w:p>
            <w:r>
              <w:rPr>
                <w:b/>
                <w:sz w:val="14"/>
              </w:rPr>
              <w:t>Risk</w:t>
            </w:r>
          </w:p>
        </w:tc>
        <w:tc>
          <w:tcPr>
            <w:tcW w:type="dxa" w:w="2016"/>
            <w:shd w:fill="C6D9F1"/>
          </w:tcPr>
          <w:p>
            <w:r>
              <w:rPr>
                <w:b/>
                <w:sz w:val="14"/>
              </w:rPr>
              <w:t>L</w:t>
            </w:r>
          </w:p>
        </w:tc>
        <w:tc>
          <w:tcPr>
            <w:tcW w:type="dxa" w:w="2016"/>
            <w:shd w:fill="C6D9F1"/>
          </w:tcPr>
          <w:p>
            <w:r>
              <w:rPr>
                <w:b/>
                <w:sz w:val="14"/>
              </w:rPr>
              <w:t>I</w:t>
            </w:r>
          </w:p>
        </w:tc>
        <w:tc>
          <w:tcPr>
            <w:tcW w:type="dxa" w:w="2016"/>
            <w:shd w:fill="C6D9F1"/>
          </w:tcPr>
          <w:p>
            <w:r>
              <w:rPr>
                <w:b/>
                <w:sz w:val="14"/>
              </w:rPr>
              <w:t>Score</w:t>
            </w:r>
          </w:p>
        </w:tc>
        <w:tc>
          <w:tcPr>
            <w:tcW w:type="dxa" w:w="2016"/>
            <w:shd w:fill="C6D9F1"/>
          </w:tcPr>
          <w:p>
            <w:r>
              <w:rPr>
                <w:b/>
                <w:sz w:val="14"/>
              </w:rPr>
              <w:t>Treatment / owner</w:t>
            </w:r>
          </w:p>
        </w:tc>
      </w:tr>
      <w:tr>
        <w:tc>
          <w:tcPr>
            <w:tcW w:type="dxa" w:w="2016"/>
            <w:vAlign w:val="center"/>
          </w:tcPr>
          <w:p>
            <w:pPr>
              <w:spacing w:after="20"/>
            </w:pPr>
            <w:r>
              <w:rPr>
                <w:sz w:val="14"/>
              </w:rPr>
              <w:t>Compromised privileged account</w:t>
            </w:r>
          </w:p>
        </w:tc>
        <w:tc>
          <w:tcPr>
            <w:tcW w:type="dxa" w:w="2016"/>
            <w:vAlign w:val="center"/>
          </w:tcPr>
          <w:p>
            <w:pPr>
              <w:spacing w:after="20"/>
            </w:pPr>
            <w:r>
              <w:rPr>
                <w:sz w:val="14"/>
              </w:rPr>
              <w:t>4</w:t>
            </w:r>
          </w:p>
        </w:tc>
        <w:tc>
          <w:tcPr>
            <w:tcW w:type="dxa" w:w="2016"/>
            <w:vAlign w:val="center"/>
          </w:tcPr>
          <w:p>
            <w:pPr>
              <w:spacing w:after="20"/>
            </w:pPr>
            <w:r>
              <w:rPr>
                <w:sz w:val="14"/>
              </w:rPr>
              <w:t>5</w:t>
            </w:r>
          </w:p>
        </w:tc>
        <w:tc>
          <w:tcPr>
            <w:tcW w:type="dxa" w:w="2016"/>
            <w:vAlign w:val="center"/>
          </w:tcPr>
          <w:p>
            <w:pPr>
              <w:spacing w:after="20"/>
            </w:pPr>
            <w:r>
              <w:rPr>
                <w:sz w:val="14"/>
              </w:rPr>
              <w:t>20 Critical</w:t>
            </w:r>
          </w:p>
        </w:tc>
        <w:tc>
          <w:tcPr>
            <w:tcW w:type="dxa" w:w="2016"/>
            <w:vAlign w:val="center"/>
          </w:tcPr>
          <w:p>
            <w:pPr>
              <w:spacing w:after="20"/>
            </w:pPr>
            <w:r>
              <w:rPr>
                <w:sz w:val="14"/>
              </w:rPr>
              <w:t>MFA, privileged access controls, alerts and quarterly review / IT + security</w:t>
            </w:r>
          </w:p>
        </w:tc>
      </w:tr>
      <w:tr>
        <w:tc>
          <w:tcPr>
            <w:tcW w:type="dxa" w:w="2016"/>
            <w:vAlign w:val="center"/>
          </w:tcPr>
          <w:p>
            <w:pPr>
              <w:spacing w:after="20"/>
            </w:pPr>
            <w:r>
              <w:rPr>
                <w:sz w:val="14"/>
              </w:rPr>
              <w:t>Excessive access exposes citizen data</w:t>
            </w:r>
          </w:p>
        </w:tc>
        <w:tc>
          <w:tcPr>
            <w:tcW w:type="dxa" w:w="2016"/>
            <w:vAlign w:val="center"/>
          </w:tcPr>
          <w:p>
            <w:pPr>
              <w:spacing w:after="20"/>
            </w:pPr>
            <w:r>
              <w:rPr>
                <w:sz w:val="14"/>
              </w:rPr>
              <w:t>3</w:t>
            </w:r>
          </w:p>
        </w:tc>
        <w:tc>
          <w:tcPr>
            <w:tcW w:type="dxa" w:w="2016"/>
            <w:vAlign w:val="center"/>
          </w:tcPr>
          <w:p>
            <w:pPr>
              <w:spacing w:after="20"/>
            </w:pPr>
            <w:r>
              <w:rPr>
                <w:sz w:val="14"/>
              </w:rPr>
              <w:t>5</w:t>
            </w:r>
          </w:p>
        </w:tc>
        <w:tc>
          <w:tcPr>
            <w:tcW w:type="dxa" w:w="2016"/>
            <w:vAlign w:val="center"/>
          </w:tcPr>
          <w:p>
            <w:pPr>
              <w:spacing w:after="20"/>
            </w:pPr>
            <w:r>
              <w:rPr>
                <w:sz w:val="14"/>
              </w:rPr>
              <w:t>15 High</w:t>
            </w:r>
          </w:p>
        </w:tc>
        <w:tc>
          <w:tcPr>
            <w:tcW w:type="dxa" w:w="2016"/>
            <w:vAlign w:val="center"/>
          </w:tcPr>
          <w:p>
            <w:pPr>
              <w:spacing w:after="20"/>
            </w:pPr>
            <w:r>
              <w:rPr>
                <w:sz w:val="14"/>
              </w:rPr>
              <w:t>RBAC, object-level authorisation, access reviews and export monitoring / service owner</w:t>
            </w:r>
          </w:p>
        </w:tc>
      </w:tr>
      <w:tr>
        <w:tc>
          <w:tcPr>
            <w:tcW w:type="dxa" w:w="2016"/>
            <w:vAlign w:val="center"/>
          </w:tcPr>
          <w:p>
            <w:pPr>
              <w:spacing w:after="20"/>
            </w:pPr>
            <w:r>
              <w:rPr>
                <w:sz w:val="14"/>
              </w:rPr>
              <w:t>Unpatched internet-facing component exploited</w:t>
            </w:r>
          </w:p>
        </w:tc>
        <w:tc>
          <w:tcPr>
            <w:tcW w:type="dxa" w:w="2016"/>
            <w:vAlign w:val="center"/>
          </w:tcPr>
          <w:p>
            <w:pPr>
              <w:spacing w:after="20"/>
            </w:pPr>
            <w:r>
              <w:rPr>
                <w:sz w:val="14"/>
              </w:rPr>
              <w:t>4</w:t>
            </w:r>
          </w:p>
        </w:tc>
        <w:tc>
          <w:tcPr>
            <w:tcW w:type="dxa" w:w="2016"/>
            <w:vAlign w:val="center"/>
          </w:tcPr>
          <w:p>
            <w:pPr>
              <w:spacing w:after="20"/>
            </w:pPr>
            <w:r>
              <w:rPr>
                <w:sz w:val="14"/>
              </w:rPr>
              <w:t>4</w:t>
            </w:r>
          </w:p>
        </w:tc>
        <w:tc>
          <w:tcPr>
            <w:tcW w:type="dxa" w:w="2016"/>
            <w:vAlign w:val="center"/>
          </w:tcPr>
          <w:p>
            <w:pPr>
              <w:spacing w:after="20"/>
            </w:pPr>
            <w:r>
              <w:rPr>
                <w:sz w:val="14"/>
              </w:rPr>
              <w:t>16 Critical</w:t>
            </w:r>
          </w:p>
        </w:tc>
        <w:tc>
          <w:tcPr>
            <w:tcW w:type="dxa" w:w="2016"/>
            <w:vAlign w:val="center"/>
          </w:tcPr>
          <w:p>
            <w:pPr>
              <w:spacing w:after="20"/>
            </w:pPr>
            <w:r>
              <w:rPr>
                <w:sz w:val="14"/>
              </w:rPr>
              <w:t>Asset inventory, prioritised patching, exposure reduction and retesting / infrastructure</w:t>
            </w:r>
          </w:p>
        </w:tc>
      </w:tr>
      <w:tr>
        <w:tc>
          <w:tcPr>
            <w:tcW w:type="dxa" w:w="2016"/>
            <w:vAlign w:val="center"/>
          </w:tcPr>
          <w:p>
            <w:pPr>
              <w:spacing w:after="20"/>
            </w:pPr>
            <w:r>
              <w:rPr>
                <w:sz w:val="14"/>
              </w:rPr>
              <w:t>Backups unavailable during ransomware</w:t>
            </w:r>
          </w:p>
        </w:tc>
        <w:tc>
          <w:tcPr>
            <w:tcW w:type="dxa" w:w="2016"/>
            <w:vAlign w:val="center"/>
          </w:tcPr>
          <w:p>
            <w:pPr>
              <w:spacing w:after="20"/>
            </w:pPr>
            <w:r>
              <w:rPr>
                <w:sz w:val="14"/>
              </w:rPr>
              <w:t>3</w:t>
            </w:r>
          </w:p>
        </w:tc>
        <w:tc>
          <w:tcPr>
            <w:tcW w:type="dxa" w:w="2016"/>
            <w:vAlign w:val="center"/>
          </w:tcPr>
          <w:p>
            <w:pPr>
              <w:spacing w:after="20"/>
            </w:pPr>
            <w:r>
              <w:rPr>
                <w:sz w:val="14"/>
              </w:rPr>
              <w:t>5</w:t>
            </w:r>
          </w:p>
        </w:tc>
        <w:tc>
          <w:tcPr>
            <w:tcW w:type="dxa" w:w="2016"/>
            <w:vAlign w:val="center"/>
          </w:tcPr>
          <w:p>
            <w:pPr>
              <w:spacing w:after="20"/>
            </w:pPr>
            <w:r>
              <w:rPr>
                <w:sz w:val="14"/>
              </w:rPr>
              <w:t>15 High</w:t>
            </w:r>
          </w:p>
        </w:tc>
        <w:tc>
          <w:tcPr>
            <w:tcW w:type="dxa" w:w="2016"/>
            <w:vAlign w:val="center"/>
          </w:tcPr>
          <w:p>
            <w:pPr>
              <w:spacing w:after="20"/>
            </w:pPr>
            <w:r>
              <w:rPr>
                <w:sz w:val="14"/>
              </w:rPr>
              <w:t>Offline/immutable copies, separate credentials and restore tests / continuity owner</w:t>
            </w:r>
          </w:p>
        </w:tc>
      </w:tr>
      <w:tr>
        <w:tc>
          <w:tcPr>
            <w:tcW w:type="dxa" w:w="2016"/>
            <w:vAlign w:val="center"/>
          </w:tcPr>
          <w:p>
            <w:pPr>
              <w:spacing w:after="20"/>
            </w:pPr>
            <w:r>
              <w:rPr>
                <w:sz w:val="14"/>
              </w:rPr>
              <w:t>Supplier compromise disrupts service</w:t>
            </w:r>
          </w:p>
        </w:tc>
        <w:tc>
          <w:tcPr>
            <w:tcW w:type="dxa" w:w="2016"/>
            <w:vAlign w:val="center"/>
          </w:tcPr>
          <w:p>
            <w:pPr>
              <w:spacing w:after="20"/>
            </w:pPr>
            <w:r>
              <w:rPr>
                <w:sz w:val="14"/>
              </w:rPr>
              <w:t>3</w:t>
            </w:r>
          </w:p>
        </w:tc>
        <w:tc>
          <w:tcPr>
            <w:tcW w:type="dxa" w:w="2016"/>
            <w:vAlign w:val="center"/>
          </w:tcPr>
          <w:p>
            <w:pPr>
              <w:spacing w:after="20"/>
            </w:pPr>
            <w:r>
              <w:rPr>
                <w:sz w:val="14"/>
              </w:rPr>
              <w:t>4</w:t>
            </w:r>
          </w:p>
        </w:tc>
        <w:tc>
          <w:tcPr>
            <w:tcW w:type="dxa" w:w="2016"/>
            <w:vAlign w:val="center"/>
          </w:tcPr>
          <w:p>
            <w:pPr>
              <w:spacing w:after="20"/>
            </w:pPr>
            <w:r>
              <w:rPr>
                <w:sz w:val="14"/>
              </w:rPr>
              <w:t>12 High</w:t>
            </w:r>
          </w:p>
        </w:tc>
        <w:tc>
          <w:tcPr>
            <w:tcW w:type="dxa" w:w="2016"/>
            <w:vAlign w:val="center"/>
          </w:tcPr>
          <w:p>
            <w:pPr>
              <w:spacing w:after="20"/>
            </w:pPr>
            <w:r>
              <w:rPr>
                <w:sz w:val="14"/>
              </w:rPr>
              <w:t>Due diligence, contract notification, scoped access and exit plan / vendor manager</w:t>
            </w:r>
          </w:p>
        </w:tc>
      </w:tr>
      <w:tr>
        <w:tc>
          <w:tcPr>
            <w:tcW w:type="dxa" w:w="2016"/>
            <w:vAlign w:val="center"/>
          </w:tcPr>
          <w:p>
            <w:pPr>
              <w:spacing w:after="20"/>
            </w:pPr>
            <w:r>
              <w:rPr>
                <w:sz w:val="14"/>
              </w:rPr>
              <w:t>Incident reporting is delayed</w:t>
            </w:r>
          </w:p>
        </w:tc>
        <w:tc>
          <w:tcPr>
            <w:tcW w:type="dxa" w:w="2016"/>
            <w:vAlign w:val="center"/>
          </w:tcPr>
          <w:p>
            <w:pPr>
              <w:spacing w:after="20"/>
            </w:pPr>
            <w:r>
              <w:rPr>
                <w:sz w:val="14"/>
              </w:rPr>
              <w:t>3</w:t>
            </w:r>
          </w:p>
        </w:tc>
        <w:tc>
          <w:tcPr>
            <w:tcW w:type="dxa" w:w="2016"/>
            <w:vAlign w:val="center"/>
          </w:tcPr>
          <w:p>
            <w:pPr>
              <w:spacing w:after="20"/>
            </w:pPr>
            <w:r>
              <w:rPr>
                <w:sz w:val="14"/>
              </w:rPr>
              <w:t>5</w:t>
            </w:r>
          </w:p>
        </w:tc>
        <w:tc>
          <w:tcPr>
            <w:tcW w:type="dxa" w:w="2016"/>
            <w:vAlign w:val="center"/>
          </w:tcPr>
          <w:p>
            <w:pPr>
              <w:spacing w:after="20"/>
            </w:pPr>
            <w:r>
              <w:rPr>
                <w:sz w:val="14"/>
              </w:rPr>
              <w:t>15 High</w:t>
            </w:r>
          </w:p>
        </w:tc>
        <w:tc>
          <w:tcPr>
            <w:tcW w:type="dxa" w:w="2016"/>
            <w:vAlign w:val="center"/>
          </w:tcPr>
          <w:p>
            <w:pPr>
              <w:spacing w:after="20"/>
            </w:pPr>
            <w:r>
              <w:rPr>
                <w:sz w:val="14"/>
              </w:rPr>
              <w:t>On-call rota, legal escalation matrix, templates and exercises / security + legal</w:t>
            </w:r>
          </w:p>
        </w:tc>
      </w:tr>
    </w:tbl>
    <w:p/>
    <w:p>
      <w:pPr>
        <w:spacing w:after="100"/>
      </w:pPr>
      <w:r>
        <w:t>Method: likelihood × impact, each rated 1–5. Example bands: 1–4 Low, 5–9 Medium, 10–15 High, 16–25 Critical. Scores are illustrative planning assumptions, not findings from a real system assessment. Owners must validate them against actual evidence.</w:t>
      </w:r>
    </w:p>
    <w:p>
      <w:pPr>
        <w:pStyle w:val="Heading1"/>
      </w:pPr>
      <w:r>
        <w:t>11. Conclusion</w:t>
      </w:r>
    </w:p>
    <w:p>
      <w:pPr>
        <w:spacing w:after="100"/>
      </w:pPr>
      <w:r>
        <w:t>Secure public digital services require coordinated governance, clear ownership, preventive controls, effective detection, rehearsed incident response, resilient recovery and regular assurance. This framework provides a baseline; its value depends on implementation, evidence, management support and periodic review—not merely on the existence of a document.</w:t>
      </w:r>
    </w:p>
    <w:p>
      <w:pPr>
        <w:pStyle w:val="Heading1"/>
      </w:pPr>
      <w:r>
        <w:t>References and Official Resources</w:t>
      </w:r>
    </w:p>
    <w:p>
      <w:pPr>
        <w:pStyle w:val="ListBullet"/>
        <w:spacing w:after="40"/>
      </w:pPr>
      <w:r>
        <w:t>CERT-In — Directions under section 70B of the IT Act, 2000 — https://www.cert-in.org.in/Directions70B.jsp</w:t>
      </w:r>
    </w:p>
    <w:p>
      <w:pPr>
        <w:pStyle w:val="ListBullet"/>
        <w:spacing w:after="40"/>
      </w:pPr>
      <w:r>
        <w:t>MeitY — Digital Personal Data Protection Act, 2023 — https://www.meity.gov.in/static/uploads/2024/02/Digital-Personal-Data-Protection-Act-2023.pdf</w:t>
      </w:r>
    </w:p>
    <w:p>
      <w:pPr>
        <w:pStyle w:val="ListBullet"/>
        <w:spacing w:after="40"/>
      </w:pPr>
      <w:r>
        <w:t>MeitY — Digital Personal Data Protection Rules, 2025 — https://www.meity.gov.in/documents/act-and-policies/digital-personal-data-protection-rules-2025-gDOxUjMtQWa</w:t>
      </w:r>
    </w:p>
    <w:p>
      <w:pPr>
        <w:pStyle w:val="ListBullet"/>
        <w:spacing w:after="40"/>
      </w:pPr>
      <w:r>
        <w:t>OWASP — Top 10:2025 — https://top10.owasp.org/2025/</w:t>
      </w:r>
    </w:p>
    <w:p>
      <w:pPr>
        <w:pStyle w:val="ListBullet"/>
        <w:spacing w:after="40"/>
      </w:pPr>
      <w:r>
        <w:t>NIST — Cybersecurity Framework — https://www.nist.gov/cyberframework</w:t>
      </w:r>
    </w:p>
    <w:p>
      <w:pPr>
        <w:pStyle w:val="ListBullet"/>
        <w:spacing w:after="40"/>
      </w:pPr>
      <w:r>
        <w:t>NIST — SP 800-61 Rev. 3, Incident Response — https://csrc.nist.gov/pubs/sp/800/61/r3/final</w:t>
      </w:r>
    </w:p>
    <w:p>
      <w:pPr>
        <w:pStyle w:val="ListBullet"/>
        <w:spacing w:after="40"/>
      </w:pPr>
      <w:r>
        <w:t>NIST — SP 800-30 Rev. 1, Risk Assessments — https://csrc.nist.gov/pubs/sp/800/30/r1/final</w:t>
      </w:r>
    </w:p>
    <w:p>
      <w:pPr>
        <w:pStyle w:val="Heading1"/>
      </w:pPr>
      <w:r>
        <w:t>Appendix A — Quick Incident Checklist</w:t>
      </w:r>
    </w:p>
    <w:p>
      <w:pPr>
        <w:pStyle w:val="ListBullet"/>
        <w:spacing w:after="40"/>
      </w:pPr>
      <w:r>
        <w:t>Protect people and essential services first.</w:t>
      </w:r>
    </w:p>
    <w:p>
      <w:pPr>
        <w:pStyle w:val="ListBullet"/>
        <w:spacing w:after="40"/>
      </w:pPr>
      <w:r>
        <w:t>Report promptly; do not wait for full proof.</w:t>
      </w:r>
    </w:p>
    <w:p>
      <w:pPr>
        <w:pStyle w:val="ListBullet"/>
        <w:spacing w:after="40"/>
      </w:pPr>
      <w:r>
        <w:t>Record discovery time, affected service, symptoms and initial actions.</w:t>
      </w:r>
    </w:p>
    <w:p>
      <w:pPr>
        <w:pStyle w:val="ListBullet"/>
        <w:spacing w:after="40"/>
      </w:pPr>
      <w:r>
        <w:t>Escalate to security, service owner, legal/privacy and management as appropriate.</w:t>
      </w:r>
    </w:p>
    <w:p>
      <w:pPr>
        <w:pStyle w:val="ListBullet"/>
        <w:spacing w:after="40"/>
      </w:pPr>
      <w:r>
        <w:t>Contain proportionately and preserve logs and evidence.</w:t>
      </w:r>
    </w:p>
    <w:p>
      <w:pPr>
        <w:pStyle w:val="ListBullet"/>
        <w:spacing w:after="40"/>
      </w:pPr>
      <w:r>
        <w:t>Assess statutory, contractual, sectoral and affected-person notification duties.</w:t>
      </w:r>
    </w:p>
    <w:p>
      <w:pPr>
        <w:pStyle w:val="ListBullet"/>
        <w:spacing w:after="40"/>
      </w:pPr>
      <w:r>
        <w:t>Recover from trusted sources; validate integrity and monitor for recurrence.</w:t>
      </w:r>
    </w:p>
    <w:p>
      <w:pPr>
        <w:pStyle w:val="ListBullet"/>
        <w:spacing w:after="40"/>
      </w:pPr>
      <w:r>
        <w:t>Complete root-cause review, assign corrective actions and update the risk register.</w:t>
      </w:r>
    </w:p>
    <w:p>
      <w:pPr>
        <w:pStyle w:val="Heading1"/>
      </w:pPr>
      <w:r>
        <w:t>Appendix B — Approval Record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C6D9F1"/>
          </w:tcPr>
          <w:p>
            <w:r>
              <w:rPr>
                <w:b/>
                <w:sz w:val="16"/>
              </w:rPr>
              <w:t>Approval item</w:t>
            </w:r>
          </w:p>
        </w:tc>
        <w:tc>
          <w:tcPr>
            <w:tcW w:type="dxa" w:w="3360"/>
            <w:shd w:fill="C6D9F1"/>
          </w:tcPr>
          <w:p>
            <w:r>
              <w:rPr>
                <w:b/>
                <w:sz w:val="16"/>
              </w:rPr>
              <w:t>Name / role</w:t>
            </w:r>
          </w:p>
        </w:tc>
        <w:tc>
          <w:tcPr>
            <w:tcW w:type="dxa" w:w="3360"/>
            <w:shd w:fill="C6D9F1"/>
          </w:tcPr>
          <w:p>
            <w:r>
              <w:rPr>
                <w:b/>
                <w:sz w:val="16"/>
              </w:rPr>
              <w:t>Signature / date</w:t>
            </w:r>
          </w:p>
        </w:tc>
      </w:tr>
      <w:tr>
        <w:tc>
          <w:tcPr>
            <w:tcW w:type="dxa" w:w="3360"/>
            <w:vAlign w:val="center"/>
          </w:tcPr>
          <w:p>
            <w:pPr>
              <w:spacing w:after="20"/>
            </w:pPr>
            <w:r>
              <w:rPr>
                <w:sz w:val="16"/>
              </w:rPr>
              <w:t>Policy owner review</w:t>
            </w:r>
          </w:p>
        </w:tc>
        <w:tc>
          <w:tcPr>
            <w:tcW w:type="dxa" w:w="3360"/>
            <w:vAlign w:val="center"/>
          </w:tcPr>
          <w:p>
            <w:pPr>
              <w:spacing w:after="20"/>
            </w:pPr>
            <w:r>
              <w:rPr>
                <w:sz w:val="16"/>
              </w:rPr>
            </w:r>
          </w:p>
        </w:tc>
        <w:tc>
          <w:tcPr>
            <w:tcW w:type="dxa" w:w="3360"/>
            <w:vAlign w:val="center"/>
          </w:tcPr>
          <w:p>
            <w:pPr>
              <w:spacing w:after="20"/>
            </w:pPr>
            <w:r>
              <w:rPr>
                <w:sz w:val="16"/>
              </w:rPr>
            </w:r>
          </w:p>
        </w:tc>
      </w:tr>
      <w:tr>
        <w:tc>
          <w:tcPr>
            <w:tcW w:type="dxa" w:w="3360"/>
            <w:vAlign w:val="center"/>
          </w:tcPr>
          <w:p>
            <w:pPr>
              <w:spacing w:after="20"/>
            </w:pPr>
            <w:r>
              <w:rPr>
                <w:sz w:val="16"/>
              </w:rPr>
              <w:t>Security review</w:t>
            </w:r>
          </w:p>
        </w:tc>
        <w:tc>
          <w:tcPr>
            <w:tcW w:type="dxa" w:w="3360"/>
            <w:vAlign w:val="center"/>
          </w:tcPr>
          <w:p>
            <w:pPr>
              <w:spacing w:after="20"/>
            </w:pPr>
            <w:r>
              <w:rPr>
                <w:sz w:val="16"/>
              </w:rPr>
            </w:r>
          </w:p>
        </w:tc>
        <w:tc>
          <w:tcPr>
            <w:tcW w:type="dxa" w:w="3360"/>
            <w:vAlign w:val="center"/>
          </w:tcPr>
          <w:p>
            <w:pPr>
              <w:spacing w:after="20"/>
            </w:pPr>
            <w:r>
              <w:rPr>
                <w:sz w:val="16"/>
              </w:rPr>
            </w:r>
          </w:p>
        </w:tc>
      </w:tr>
      <w:tr>
        <w:tc>
          <w:tcPr>
            <w:tcW w:type="dxa" w:w="3360"/>
            <w:vAlign w:val="center"/>
          </w:tcPr>
          <w:p>
            <w:pPr>
              <w:spacing w:after="20"/>
            </w:pPr>
            <w:r>
              <w:rPr>
                <w:sz w:val="16"/>
              </w:rPr>
              <w:t>Legal / privacy review</w:t>
            </w:r>
          </w:p>
        </w:tc>
        <w:tc>
          <w:tcPr>
            <w:tcW w:type="dxa" w:w="3360"/>
            <w:vAlign w:val="center"/>
          </w:tcPr>
          <w:p>
            <w:pPr>
              <w:spacing w:after="20"/>
            </w:pPr>
            <w:r>
              <w:rPr>
                <w:sz w:val="16"/>
              </w:rPr>
            </w:r>
          </w:p>
        </w:tc>
        <w:tc>
          <w:tcPr>
            <w:tcW w:type="dxa" w:w="3360"/>
            <w:vAlign w:val="center"/>
          </w:tcPr>
          <w:p>
            <w:pPr>
              <w:spacing w:after="20"/>
            </w:pPr>
            <w:r>
              <w:rPr>
                <w:sz w:val="16"/>
              </w:rPr>
            </w:r>
          </w:p>
        </w:tc>
      </w:tr>
      <w:tr>
        <w:tc>
          <w:tcPr>
            <w:tcW w:type="dxa" w:w="3360"/>
            <w:vAlign w:val="center"/>
          </w:tcPr>
          <w:p>
            <w:pPr>
              <w:spacing w:after="20"/>
            </w:pPr>
            <w:r>
              <w:rPr>
                <w:sz w:val="16"/>
              </w:rPr>
              <w:t>Competent authority approval</w:t>
            </w:r>
          </w:p>
        </w:tc>
        <w:tc>
          <w:tcPr>
            <w:tcW w:type="dxa" w:w="3360"/>
            <w:vAlign w:val="center"/>
          </w:tcPr>
          <w:p>
            <w:pPr>
              <w:spacing w:after="20"/>
            </w:pPr>
            <w:r>
              <w:rPr>
                <w:sz w:val="16"/>
              </w:rPr>
            </w:r>
          </w:p>
        </w:tc>
        <w:tc>
          <w:tcPr>
            <w:tcW w:type="dxa" w:w="3360"/>
            <w:vAlign w:val="center"/>
          </w:tcPr>
          <w:p>
            <w:pPr>
              <w:spacing w:after="20"/>
            </w:pPr>
            <w:r>
              <w:rPr>
                <w:sz w:val="16"/>
              </w:rPr>
            </w:r>
          </w:p>
        </w:tc>
      </w:tr>
    </w:tbl>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Policy Framework for Digital Public Services •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WEEK 3 | CYBERSECURITY POLICY FRAMEWORK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