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007799"/>
          <w:sz w:val="32"/>
        </w:rPr>
        <w:t>WEEK 4</w:t>
      </w:r>
    </w:p>
    <w:p>
      <w:pPr>
        <w:jc w:val="center"/>
      </w:pPr>
      <w:r>
        <w:rPr>
          <w:b/>
          <w:color w:val="183755"/>
          <w:sz w:val="60"/>
        </w:rPr>
        <w:t>INCIDENT RESPONSE PLAN</w:t>
      </w:r>
    </w:p>
    <w:p>
      <w:pPr>
        <w:jc w:val="center"/>
      </w:pPr>
      <w:r>
        <w:rPr>
          <w:sz w:val="30"/>
        </w:rPr>
        <w:t>For E-Governance and Digital Public Services</w:t>
      </w:r>
    </w:p>
    <w:p/>
    <w:tbl>
      <w:tblPr>
        <w:tblStyle w:val="TableGrid"/>
        <w:tblW w:type="auto" w:w="0"/>
        <w:jc w:val="center"/>
        <w:tblLook w:firstColumn="1" w:firstRow="1" w:lastColumn="0" w:lastRow="0" w:noHBand="0" w:noVBand="1" w:val="04A0"/>
      </w:tblPr>
      <w:tblGrid>
        <w:gridCol w:w="5040"/>
        <w:gridCol w:w="5040"/>
      </w:tblGrid>
      <w:tr>
        <w:tc>
          <w:tcPr>
            <w:tcW w:type="dxa" w:w="5040"/>
            <w:shd w:fill="183755"/>
          </w:tcPr>
          <w:p>
            <w:r>
              <w:rPr>
                <w:b/>
                <w:color w:val="FFFFFF"/>
                <w:sz w:val="17"/>
              </w:rPr>
              <w:t>DOCUMENT CONTROL</w:t>
            </w:r>
          </w:p>
        </w:tc>
        <w:tc>
          <w:tcPr>
            <w:tcW w:type="dxa" w:w="5040"/>
            <w:shd w:fill="183755"/>
          </w:tcPr>
          <w:p>
            <w:r>
              <w:rPr>
                <w:b/>
                <w:color w:val="FFFFFF"/>
                <w:sz w:val="17"/>
              </w:rPr>
              <w:t>DETAIL</w:t>
            </w:r>
          </w:p>
        </w:tc>
      </w:tr>
      <w:tr>
        <w:tc>
          <w:tcPr>
            <w:tcW w:type="dxa" w:w="5040"/>
            <w:vAlign w:val="center"/>
          </w:tcPr>
          <w:p>
            <w:pPr>
              <w:spacing w:after="20"/>
            </w:pPr>
            <w:r>
              <w:rPr>
                <w:sz w:val="17"/>
              </w:rPr>
              <w:t>Document title</w:t>
            </w:r>
          </w:p>
        </w:tc>
        <w:tc>
          <w:tcPr>
            <w:tcW w:type="dxa" w:w="5040"/>
            <w:vAlign w:val="center"/>
          </w:tcPr>
          <w:p>
            <w:pPr>
              <w:spacing w:after="20"/>
            </w:pPr>
            <w:r>
              <w:rPr>
                <w:sz w:val="17"/>
              </w:rPr>
              <w:t>Week4_Incident_Response_Plan</w:t>
            </w:r>
          </w:p>
        </w:tc>
      </w:tr>
      <w:tr>
        <w:tc>
          <w:tcPr>
            <w:tcW w:type="dxa" w:w="5040"/>
            <w:vAlign w:val="center"/>
            <w:shd w:fill="F0F4F8"/>
          </w:tcPr>
          <w:p>
            <w:pPr>
              <w:spacing w:after="20"/>
            </w:pPr>
            <w:r>
              <w:rPr>
                <w:sz w:val="17"/>
              </w:rPr>
              <w:t>Version</w:t>
            </w:r>
          </w:p>
        </w:tc>
        <w:tc>
          <w:tcPr>
            <w:tcW w:type="dxa" w:w="5040"/>
            <w:vAlign w:val="center"/>
            <w:shd w:fill="F0F4F8"/>
          </w:tcPr>
          <w:p>
            <w:pPr>
              <w:spacing w:after="20"/>
            </w:pPr>
            <w:r>
              <w:rPr>
                <w:sz w:val="17"/>
              </w:rPr>
              <w:t>1.0 — Educational draft</w:t>
            </w:r>
          </w:p>
        </w:tc>
      </w:tr>
      <w:tr>
        <w:tc>
          <w:tcPr>
            <w:tcW w:type="dxa" w:w="5040"/>
            <w:vAlign w:val="center"/>
          </w:tcPr>
          <w:p>
            <w:pPr>
              <w:spacing w:after="20"/>
            </w:pPr>
            <w:r>
              <w:rPr>
                <w:sz w:val="17"/>
              </w:rPr>
              <w:t>Prepared for</w:t>
            </w:r>
          </w:p>
        </w:tc>
        <w:tc>
          <w:tcPr>
            <w:tcW w:type="dxa" w:w="5040"/>
            <w:vAlign w:val="center"/>
          </w:tcPr>
          <w:p>
            <w:pPr>
              <w:spacing w:after="20"/>
            </w:pPr>
            <w:r>
              <w:rPr>
                <w:sz w:val="17"/>
              </w:rPr>
              <w:t>Cybersecurity Internship — E-Governance &amp; Digital Services</w:t>
            </w:r>
          </w:p>
        </w:tc>
      </w:tr>
      <w:tr>
        <w:tc>
          <w:tcPr>
            <w:tcW w:type="dxa" w:w="5040"/>
            <w:vAlign w:val="center"/>
            <w:shd w:fill="F0F4F8"/>
          </w:tcPr>
          <w:p>
            <w:pPr>
              <w:spacing w:after="20"/>
            </w:pPr>
            <w:r>
              <w:rPr>
                <w:sz w:val="17"/>
              </w:rPr>
              <w:t>Proposed owner</w:t>
            </w:r>
          </w:p>
        </w:tc>
        <w:tc>
          <w:tcPr>
            <w:tcW w:type="dxa" w:w="5040"/>
            <w:vAlign w:val="center"/>
            <w:shd w:fill="F0F4F8"/>
          </w:tcPr>
          <w:p>
            <w:pPr>
              <w:spacing w:after="20"/>
            </w:pPr>
            <w:r>
              <w:rPr>
                <w:sz w:val="17"/>
              </w:rPr>
              <w:t>Designated Security Lead / CISO</w:t>
            </w:r>
          </w:p>
        </w:tc>
      </w:tr>
      <w:tr>
        <w:tc>
          <w:tcPr>
            <w:tcW w:type="dxa" w:w="5040"/>
            <w:vAlign w:val="center"/>
          </w:tcPr>
          <w:p>
            <w:pPr>
              <w:spacing w:after="20"/>
            </w:pPr>
            <w:r>
              <w:rPr>
                <w:sz w:val="17"/>
              </w:rPr>
              <w:t>Review cycle</w:t>
            </w:r>
          </w:p>
        </w:tc>
        <w:tc>
          <w:tcPr>
            <w:tcW w:type="dxa" w:w="5040"/>
            <w:vAlign w:val="center"/>
          </w:tcPr>
          <w:p>
            <w:pPr>
              <w:spacing w:after="20"/>
            </w:pPr>
            <w:r>
              <w:rPr>
                <w:sz w:val="17"/>
              </w:rPr>
              <w:t>At least annually and after significant incidents or major changes</w:t>
            </w:r>
          </w:p>
        </w:tc>
      </w:tr>
      <w:tr>
        <w:tc>
          <w:tcPr>
            <w:tcW w:type="dxa" w:w="5040"/>
            <w:vAlign w:val="center"/>
            <w:shd w:fill="F0F4F8"/>
          </w:tcPr>
          <w:p>
            <w:pPr>
              <w:spacing w:after="20"/>
            </w:pPr>
            <w:r>
              <w:rPr>
                <w:sz w:val="17"/>
              </w:rPr>
              <w:t>Classification</w:t>
            </w:r>
          </w:p>
        </w:tc>
        <w:tc>
          <w:tcPr>
            <w:tcW w:type="dxa" w:w="5040"/>
            <w:vAlign w:val="center"/>
            <w:shd w:fill="F0F4F8"/>
          </w:tcPr>
          <w:p>
            <w:pPr>
              <w:spacing w:after="20"/>
            </w:pPr>
            <w:r>
              <w:rPr>
                <w:sz w:val="17"/>
              </w:rPr>
              <w:t>Training document; contains no real credentials or incident data</w:t>
            </w:r>
          </w:p>
        </w:tc>
      </w:tr>
    </w:tbl>
    <w:p/>
    <w:p>
      <w:pPr>
        <w:spacing w:before="300"/>
        <w:jc w:val="center"/>
      </w:pPr>
      <w:r>
        <w:rPr>
          <w:i/>
        </w:rPr>
        <w:t>A repeatable, accountable, evidence-led process to detect, contain, eradicate, recover from, and learn from cybersecurity incidents.</w:t>
      </w:r>
    </w:p>
    <w:p>
      <w:r>
        <w:br w:type="page"/>
      </w:r>
    </w:p>
    <w:p>
      <w:pPr>
        <w:pStyle w:val="Heading1"/>
      </w:pPr>
      <w:r>
        <w:t>Document Use and Assumptions</w:t>
      </w:r>
    </w:p>
    <w:p>
      <w:r>
        <w:t>This plan is a practical model for a hypothetical e-governance organisation operating public portals, citizen-service applications, APIs, identity systems, databases, cloud/data-centre infrastructure, endpoints, and third-party services. It is for educational use and adaptation; it is not an approved government plan, a real system audit, or legal advice.</w:t>
      </w:r>
    </w:p>
    <w:p>
      <w:r>
        <w:t>Before operational adoption, insert actual 24×7 contact details, system owners, service-level targets, data-flow diagrams, backup locations, supplier contacts, and approved reporting routes. Confirm current legal and regulatory applicability with legal/compliance staff. Do not delay urgent containment or a legally required notification while waiting for a complete forensic investigation.</w:t>
      </w:r>
    </w:p>
    <w:p>
      <w:pPr>
        <w:pStyle w:val="Heading1"/>
      </w:pPr>
      <w:r>
        <w:t>Contents</w:t>
      </w:r>
    </w:p>
    <w:p>
      <w:pPr>
        <w:pStyle w:val="ListBullet"/>
        <w:spacing w:after="40"/>
      </w:pPr>
      <w:r>
        <w:t>1. Executive Summary and Objectives</w:t>
      </w:r>
    </w:p>
    <w:p>
      <w:pPr>
        <w:pStyle w:val="ListBullet"/>
        <w:spacing w:after="40"/>
      </w:pPr>
      <w:r>
        <w:t>2. Scope, Principles and Definitions</w:t>
      </w:r>
    </w:p>
    <w:p>
      <w:pPr>
        <w:pStyle w:val="ListBullet"/>
        <w:spacing w:after="40"/>
      </w:pPr>
      <w:r>
        <w:t>3. Response Team Organisation and Authority</w:t>
      </w:r>
    </w:p>
    <w:p>
      <w:pPr>
        <w:pStyle w:val="ListBullet"/>
        <w:spacing w:after="40"/>
      </w:pPr>
      <w:r>
        <w:t>4. Incident Identification and Classification</w:t>
      </w:r>
    </w:p>
    <w:p>
      <w:pPr>
        <w:pStyle w:val="ListBullet"/>
        <w:spacing w:after="40"/>
      </w:pPr>
      <w:r>
        <w:t>5. Lifecycle and Workflow</w:t>
      </w:r>
    </w:p>
    <w:p>
      <w:pPr>
        <w:pStyle w:val="ListBullet"/>
        <w:spacing w:after="40"/>
      </w:pPr>
      <w:r>
        <w:t>6. Immediate Response and Evidence Handling</w:t>
      </w:r>
    </w:p>
    <w:p>
      <w:pPr>
        <w:pStyle w:val="ListBullet"/>
        <w:spacing w:after="40"/>
      </w:pPr>
      <w:r>
        <w:t>7. Containment Procedures</w:t>
      </w:r>
    </w:p>
    <w:p>
      <w:pPr>
        <w:pStyle w:val="ListBullet"/>
        <w:spacing w:after="40"/>
      </w:pPr>
      <w:r>
        <w:t>8. Eradication and Root-Cause Analysis</w:t>
      </w:r>
    </w:p>
    <w:p>
      <w:pPr>
        <w:pStyle w:val="ListBullet"/>
        <w:spacing w:after="40"/>
      </w:pPr>
      <w:r>
        <w:t>9. Recovery and Service Restoration</w:t>
      </w:r>
    </w:p>
    <w:p>
      <w:pPr>
        <w:pStyle w:val="ListBullet"/>
        <w:spacing w:after="40"/>
      </w:pPr>
      <w:r>
        <w:t>10. Communication and Reporting Protocols</w:t>
      </w:r>
    </w:p>
    <w:p>
      <w:pPr>
        <w:pStyle w:val="ListBullet"/>
        <w:spacing w:after="40"/>
      </w:pPr>
      <w:r>
        <w:t>11. Contingency Playbooks</w:t>
      </w:r>
    </w:p>
    <w:p>
      <w:pPr>
        <w:pStyle w:val="ListBullet"/>
        <w:spacing w:after="40"/>
      </w:pPr>
      <w:r>
        <w:t>12. Lessons Learned and Improvement</w:t>
      </w:r>
    </w:p>
    <w:p>
      <w:pPr>
        <w:pStyle w:val="ListBullet"/>
        <w:spacing w:after="40"/>
      </w:pPr>
      <w:r>
        <w:t>13. Readiness, Exercises and Metrics</w:t>
      </w:r>
    </w:p>
    <w:p>
      <w:pPr>
        <w:pStyle w:val="ListBullet"/>
        <w:spacing w:after="40"/>
      </w:pPr>
      <w:r>
        <w:t>14. Checklists and Templates</w:t>
      </w:r>
    </w:p>
    <w:p>
      <w:pPr>
        <w:pStyle w:val="ListBullet"/>
        <w:spacing w:after="40"/>
      </w:pPr>
      <w:r>
        <w:t>15. Regulatory Considerations and References</w:t>
      </w:r>
    </w:p>
    <w:p>
      <w:pPr>
        <w:pStyle w:val="ListBullet"/>
        <w:spacing w:after="40"/>
      </w:pPr>
      <w:r>
        <w:t>Appendix: Example Incident Walkthrough</w:t>
      </w:r>
    </w:p>
    <w:p>
      <w:r>
        <w:br w:type="page"/>
      </w:r>
    </w:p>
    <w:p>
      <w:pPr>
        <w:pStyle w:val="Heading1"/>
      </w:pPr>
      <w:r>
        <w:t>1. Executive Summary and Objectives</w:t>
      </w:r>
    </w:p>
    <w:p>
      <w:r>
        <w:t>Cyber incidents affecting e-governance platforms can interrupt public services, expose personal or confidential information, alter payments or benefit delivery, and undermine trust. A consistent response process reduces confusion, limits harm, preserves evidence, supports lawful notification, and helps restore services safely.</w:t>
      </w:r>
    </w:p>
    <w:p>
      <w:r>
        <w:t>This plan establishes a coordinated model with clear decision rights and a common incident record. It covers preparation, identification, triage, declaration, containment, eradication, recovery, communication, and post-incident improvement. Activities may run in parallel; for example, privacy assessment and containment can proceed while forensic analysis continues.</w:t>
      </w:r>
    </w:p>
    <w:p>
      <w:pPr>
        <w:pStyle w:val="Heading2"/>
      </w:pPr>
      <w:r>
        <w:t>Objectives</w:t>
      </w:r>
    </w:p>
    <w:p>
      <w:pPr>
        <w:pStyle w:val="ListBullet"/>
        <w:spacing w:after="40"/>
      </w:pPr>
      <w:r>
        <w:t>Protect people, citizen rights, essential services, and public safety.</w:t>
      </w:r>
    </w:p>
    <w:p>
      <w:pPr>
        <w:pStyle w:val="ListBullet"/>
        <w:spacing w:after="40"/>
      </w:pPr>
      <w:r>
        <w:t>Detect and validate suspicious activity and classify severity consistently.</w:t>
      </w:r>
    </w:p>
    <w:p>
      <w:pPr>
        <w:pStyle w:val="ListBullet"/>
        <w:spacing w:after="40"/>
      </w:pPr>
      <w:r>
        <w:t>Assign clear technical, business, legal, privacy, executive, and communications responsibilities.</w:t>
      </w:r>
    </w:p>
    <w:p>
      <w:pPr>
        <w:pStyle w:val="ListBullet"/>
        <w:spacing w:after="40"/>
      </w:pPr>
      <w:r>
        <w:t>Limit spread while preserving relevant evidence and chain of custody.</w:t>
      </w:r>
    </w:p>
    <w:p>
      <w:pPr>
        <w:pStyle w:val="ListBullet"/>
        <w:spacing w:after="40"/>
      </w:pPr>
      <w:r>
        <w:t>Restore systems from trusted sources, validate security, and monitor for recurrence.</w:t>
      </w:r>
    </w:p>
    <w:p>
      <w:pPr>
        <w:pStyle w:val="ListBullet"/>
        <w:spacing w:after="40"/>
      </w:pPr>
      <w:r>
        <w:t>Meet applicable statutory, sectoral, and contractual reporting duties.</w:t>
      </w:r>
    </w:p>
    <w:p>
      <w:pPr>
        <w:pStyle w:val="ListBullet"/>
        <w:spacing w:after="40"/>
      </w:pPr>
      <w:r>
        <w:t>Convert lessons into assigned, time-bound improvements and test their effectiveness.</w:t>
      </w:r>
    </w:p>
    <w:p>
      <w:pPr>
        <w:pStyle w:val="Heading1"/>
      </w:pPr>
      <w:r>
        <w:t>2. Scope, Principles and Definitions</w:t>
      </w:r>
    </w:p>
    <w:p>
      <w:r>
        <w:t>Scope includes production and connected non-production services, public websites and portals, mobile applications, APIs, identity/access management, databases, networks, cloud/data centres, endpoints, administrative tools, backups, payment gateways, outsourced hosting, managed security, software development, and other suppliers.</w:t>
      </w:r>
    </w:p>
    <w:p>
      <w:pPr>
        <w:pStyle w:val="Heading2"/>
      </w:pPr>
      <w:r>
        <w:t>Operating principles</w:t>
      </w:r>
    </w:p>
    <w:p>
      <w:pPr>
        <w:pStyle w:val="ListBullet"/>
        <w:spacing w:after="40"/>
      </w:pPr>
      <w:r>
        <w:t>Safety and service continuity: assess citizen impact and protect critical functions.</w:t>
      </w:r>
    </w:p>
    <w:p>
      <w:pPr>
        <w:pStyle w:val="ListBullet"/>
        <w:spacing w:after="40"/>
      </w:pPr>
      <w:r>
        <w:t>Need-to-know: share incident details only with authorised people and channels.</w:t>
      </w:r>
    </w:p>
    <w:p>
      <w:pPr>
        <w:pStyle w:val="ListBullet"/>
        <w:spacing w:after="40"/>
      </w:pPr>
      <w:r>
        <w:t>Evidence before destructive action where practicable; capture volatile data and relevant logs before rebuilding or wiping.</w:t>
      </w:r>
    </w:p>
    <w:p>
      <w:pPr>
        <w:pStyle w:val="ListBullet"/>
        <w:spacing w:after="40"/>
      </w:pPr>
      <w:r>
        <w:t>Contain proportionately, but do not preserve availability at the cost of uncontrolled compromise.</w:t>
      </w:r>
    </w:p>
    <w:p>
      <w:pPr>
        <w:pStyle w:val="ListBullet"/>
        <w:spacing w:after="40"/>
      </w:pPr>
      <w:r>
        <w:t>Assume credentials and trust may be compromised until validated.</w:t>
      </w:r>
    </w:p>
    <w:p>
      <w:pPr>
        <w:pStyle w:val="ListBullet"/>
        <w:spacing w:after="40"/>
      </w:pPr>
      <w:r>
        <w:t>Document decisions: who approved each high-impact action, when, why, and with what result.</w:t>
      </w:r>
    </w:p>
    <w:p>
      <w:pPr>
        <w:pStyle w:val="ListBullet"/>
        <w:spacing w:after="40"/>
      </w:pPr>
      <w:r>
        <w:t>Maintain one authoritative case record and a clear timeline.</w:t>
      </w:r>
    </w:p>
    <w:p>
      <w:pPr>
        <w:pStyle w:val="ListBullet"/>
        <w:spacing w:after="40"/>
      </w:pPr>
      <w:r>
        <w:t>Use a no-blame learning approach focused on facts, controls, and improvement.</w:t>
      </w:r>
    </w:p>
    <w:tbl>
      <w:tblPr>
        <w:tblStyle w:val="TableGrid"/>
        <w:tblW w:type="auto" w:w="0"/>
        <w:jc w:val="center"/>
        <w:tblLook w:firstColumn="1" w:firstRow="1" w:lastColumn="0" w:lastRow="0" w:noHBand="0" w:noVBand="1" w:val="04A0"/>
      </w:tblPr>
      <w:tblGrid>
        <w:gridCol w:w="5040"/>
        <w:gridCol w:w="5040"/>
      </w:tblGrid>
      <w:tr>
        <w:tc>
          <w:tcPr>
            <w:tcW w:type="dxa" w:w="5040"/>
            <w:shd w:fill="183755"/>
          </w:tcPr>
          <w:p>
            <w:r>
              <w:rPr>
                <w:b/>
                <w:color w:val="FFFFFF"/>
                <w:sz w:val="16"/>
              </w:rPr>
              <w:t>Term</w:t>
            </w:r>
          </w:p>
        </w:tc>
        <w:tc>
          <w:tcPr>
            <w:tcW w:type="dxa" w:w="5040"/>
            <w:shd w:fill="183755"/>
          </w:tcPr>
          <w:p>
            <w:r>
              <w:rPr>
                <w:b/>
                <w:color w:val="FFFFFF"/>
                <w:sz w:val="16"/>
              </w:rPr>
              <w:t>Meaning</w:t>
            </w:r>
          </w:p>
        </w:tc>
      </w:tr>
      <w:tr>
        <w:tc>
          <w:tcPr>
            <w:tcW w:type="dxa" w:w="5040"/>
            <w:vAlign w:val="center"/>
          </w:tcPr>
          <w:p>
            <w:pPr>
              <w:spacing w:after="20"/>
            </w:pPr>
            <w:r>
              <w:rPr>
                <w:sz w:val="16"/>
              </w:rPr>
              <w:t>Security event</w:t>
            </w:r>
          </w:p>
        </w:tc>
        <w:tc>
          <w:tcPr>
            <w:tcW w:type="dxa" w:w="5040"/>
            <w:vAlign w:val="center"/>
          </w:tcPr>
          <w:p>
            <w:pPr>
              <w:spacing w:after="20"/>
            </w:pPr>
            <w:r>
              <w:rPr>
                <w:sz w:val="16"/>
              </w:rPr>
              <w:t>Observable occurrence in a system/network; may be benign or malicious.</w:t>
            </w:r>
          </w:p>
        </w:tc>
      </w:tr>
      <w:tr>
        <w:tc>
          <w:tcPr>
            <w:tcW w:type="dxa" w:w="5040"/>
            <w:vAlign w:val="center"/>
            <w:shd w:fill="F0F4F8"/>
          </w:tcPr>
          <w:p>
            <w:pPr>
              <w:spacing w:after="20"/>
            </w:pPr>
            <w:r>
              <w:rPr>
                <w:sz w:val="16"/>
              </w:rPr>
              <w:t>Incident</w:t>
            </w:r>
          </w:p>
        </w:tc>
        <w:tc>
          <w:tcPr>
            <w:tcW w:type="dxa" w:w="5040"/>
            <w:vAlign w:val="center"/>
            <w:shd w:fill="F0F4F8"/>
          </w:tcPr>
          <w:p>
            <w:pPr>
              <w:spacing w:after="20"/>
            </w:pPr>
            <w:r>
              <w:rPr>
                <w:sz w:val="16"/>
              </w:rPr>
              <w:t>Event or series of events threatening confidentiality, integrity, availability, policy compliance, or requiring coordinated response.</w:t>
            </w:r>
          </w:p>
        </w:tc>
      </w:tr>
      <w:tr>
        <w:tc>
          <w:tcPr>
            <w:tcW w:type="dxa" w:w="5040"/>
            <w:vAlign w:val="center"/>
          </w:tcPr>
          <w:p>
            <w:pPr>
              <w:spacing w:after="20"/>
            </w:pPr>
            <w:r>
              <w:rPr>
                <w:sz w:val="16"/>
              </w:rPr>
              <w:t>IOC</w:t>
            </w:r>
          </w:p>
        </w:tc>
        <w:tc>
          <w:tcPr>
            <w:tcW w:type="dxa" w:w="5040"/>
            <w:vAlign w:val="center"/>
          </w:tcPr>
          <w:p>
            <w:pPr>
              <w:spacing w:after="20"/>
            </w:pPr>
            <w:r>
              <w:rPr>
                <w:sz w:val="16"/>
              </w:rPr>
              <w:t>Indicator of compromise, such as a suspicious hash, domain, IP, process, or persistence artefact.</w:t>
            </w:r>
          </w:p>
        </w:tc>
      </w:tr>
      <w:tr>
        <w:tc>
          <w:tcPr>
            <w:tcW w:type="dxa" w:w="5040"/>
            <w:vAlign w:val="center"/>
            <w:shd w:fill="F0F4F8"/>
          </w:tcPr>
          <w:p>
            <w:pPr>
              <w:spacing w:after="20"/>
            </w:pPr>
            <w:r>
              <w:rPr>
                <w:sz w:val="16"/>
              </w:rPr>
              <w:t>Incident Commander (IC)</w:t>
            </w:r>
          </w:p>
        </w:tc>
        <w:tc>
          <w:tcPr>
            <w:tcW w:type="dxa" w:w="5040"/>
            <w:vAlign w:val="center"/>
            <w:shd w:fill="F0F4F8"/>
          </w:tcPr>
          <w:p>
            <w:pPr>
              <w:spacing w:after="20"/>
            </w:pPr>
            <w:r>
              <w:rPr>
                <w:sz w:val="16"/>
              </w:rPr>
              <w:t>Person coordinating objectives, decisions, briefings, and status.</w:t>
            </w:r>
          </w:p>
        </w:tc>
      </w:tr>
      <w:tr>
        <w:tc>
          <w:tcPr>
            <w:tcW w:type="dxa" w:w="5040"/>
            <w:vAlign w:val="center"/>
          </w:tcPr>
          <w:p>
            <w:pPr>
              <w:spacing w:after="20"/>
            </w:pPr>
            <w:r>
              <w:rPr>
                <w:sz w:val="16"/>
              </w:rPr>
              <w:t>Containment</w:t>
            </w:r>
          </w:p>
        </w:tc>
        <w:tc>
          <w:tcPr>
            <w:tcW w:type="dxa" w:w="5040"/>
            <w:vAlign w:val="center"/>
          </w:tcPr>
          <w:p>
            <w:pPr>
              <w:spacing w:after="20"/>
            </w:pPr>
            <w:r>
              <w:rPr>
                <w:sz w:val="16"/>
              </w:rPr>
              <w:t>Actions limiting current damage or preventing spread.</w:t>
            </w:r>
          </w:p>
        </w:tc>
      </w:tr>
      <w:tr>
        <w:tc>
          <w:tcPr>
            <w:tcW w:type="dxa" w:w="5040"/>
            <w:vAlign w:val="center"/>
            <w:shd w:fill="F0F4F8"/>
          </w:tcPr>
          <w:p>
            <w:pPr>
              <w:spacing w:after="20"/>
            </w:pPr>
            <w:r>
              <w:rPr>
                <w:sz w:val="16"/>
              </w:rPr>
              <w:t>Eradication</w:t>
            </w:r>
          </w:p>
        </w:tc>
        <w:tc>
          <w:tcPr>
            <w:tcW w:type="dxa" w:w="5040"/>
            <w:vAlign w:val="center"/>
            <w:shd w:fill="F0F4F8"/>
          </w:tcPr>
          <w:p>
            <w:pPr>
              <w:spacing w:after="20"/>
            </w:pPr>
            <w:r>
              <w:rPr>
                <w:sz w:val="16"/>
              </w:rPr>
              <w:t>Removal of attacker access, malware, persistence, and exploited weaknesses.</w:t>
            </w:r>
          </w:p>
        </w:tc>
      </w:tr>
      <w:tr>
        <w:tc>
          <w:tcPr>
            <w:tcW w:type="dxa" w:w="5040"/>
            <w:vAlign w:val="center"/>
          </w:tcPr>
          <w:p>
            <w:pPr>
              <w:spacing w:after="20"/>
            </w:pPr>
            <w:r>
              <w:rPr>
                <w:sz w:val="16"/>
              </w:rPr>
              <w:t>Recovery</w:t>
            </w:r>
          </w:p>
        </w:tc>
        <w:tc>
          <w:tcPr>
            <w:tcW w:type="dxa" w:w="5040"/>
            <w:vAlign w:val="center"/>
          </w:tcPr>
          <w:p>
            <w:pPr>
              <w:spacing w:after="20"/>
            </w:pPr>
            <w:r>
              <w:rPr>
                <w:sz w:val="16"/>
              </w:rPr>
              <w:t>Controlled restoration of trusted services followed by monitoring.</w:t>
            </w:r>
          </w:p>
        </w:tc>
      </w:tr>
      <w:tr>
        <w:tc>
          <w:tcPr>
            <w:tcW w:type="dxa" w:w="5040"/>
            <w:vAlign w:val="center"/>
            <w:shd w:fill="F0F4F8"/>
          </w:tcPr>
          <w:p>
            <w:pPr>
              <w:spacing w:after="20"/>
            </w:pPr>
            <w:r>
              <w:rPr>
                <w:sz w:val="16"/>
              </w:rPr>
              <w:t>RTO / RPO</w:t>
            </w:r>
          </w:p>
        </w:tc>
        <w:tc>
          <w:tcPr>
            <w:tcW w:type="dxa" w:w="5040"/>
            <w:vAlign w:val="center"/>
            <w:shd w:fill="F0F4F8"/>
          </w:tcPr>
          <w:p>
            <w:pPr>
              <w:spacing w:after="20"/>
            </w:pPr>
            <w:r>
              <w:rPr>
                <w:sz w:val="16"/>
              </w:rPr>
              <w:t>Recovery Time Objective / Recovery Point Objective: restoration-time and acceptable-data-loss targets.</w:t>
            </w:r>
          </w:p>
        </w:tc>
      </w:tr>
    </w:tbl>
    <w:p/>
    <w:p>
      <w:pPr>
        <w:pStyle w:val="Heading1"/>
      </w:pPr>
      <w:r>
        <w:t>3. Response Team Organisation and Authority</w:t>
      </w:r>
    </w:p>
    <w:p>
      <w:r>
        <w:t>Maintain a primary and backup contact for each role, including after-hours escalation. Small organisations may combine roles, but the Incident Commander should not be the sole person executing and independently reviewing every action.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4"/>
              </w:rPr>
              <w:t>Role</w:t>
            </w:r>
          </w:p>
        </w:tc>
        <w:tc>
          <w:tcPr>
            <w:tcW w:type="dxa" w:w="3360"/>
            <w:shd w:fill="183755"/>
          </w:tcPr>
          <w:p>
            <w:r>
              <w:rPr>
                <w:b/>
                <w:color w:val="FFFFFF"/>
                <w:sz w:val="14"/>
              </w:rPr>
              <w:t>Responsibilities</w:t>
            </w:r>
          </w:p>
        </w:tc>
        <w:tc>
          <w:tcPr>
            <w:tcW w:type="dxa" w:w="3360"/>
            <w:shd w:fill="183755"/>
          </w:tcPr>
          <w:p>
            <w:r>
              <w:rPr>
                <w:b/>
                <w:color w:val="FFFFFF"/>
                <w:sz w:val="14"/>
              </w:rPr>
              <w:t>Decision / escalation duties</w:t>
            </w:r>
          </w:p>
        </w:tc>
      </w:tr>
      <w:tr>
        <w:tc>
          <w:tcPr>
            <w:tcW w:type="dxa" w:w="3360"/>
            <w:vAlign w:val="center"/>
          </w:tcPr>
          <w:p>
            <w:pPr>
              <w:spacing w:after="20"/>
            </w:pPr>
            <w:r>
              <w:rPr>
                <w:sz w:val="14"/>
              </w:rPr>
              <w:t>Incident Commander (IC)</w:t>
            </w:r>
          </w:p>
        </w:tc>
        <w:tc>
          <w:tcPr>
            <w:tcW w:type="dxa" w:w="3360"/>
            <w:vAlign w:val="center"/>
          </w:tcPr>
          <w:p>
            <w:pPr>
              <w:spacing w:after="20"/>
            </w:pPr>
            <w:r>
              <w:rPr>
                <w:sz w:val="14"/>
              </w:rPr>
              <w:t>Coordinates response, incident declaration, objectives, timeline, briefings, action tracking.</w:t>
            </w:r>
          </w:p>
        </w:tc>
        <w:tc>
          <w:tcPr>
            <w:tcW w:type="dxa" w:w="3360"/>
            <w:vAlign w:val="center"/>
          </w:tcPr>
          <w:p>
            <w:pPr>
              <w:spacing w:after="20"/>
            </w:pPr>
            <w:r>
              <w:rPr>
                <w:sz w:val="14"/>
              </w:rPr>
              <w:t>Approves priorities; escalates major impact to executive/crisis leadership.</w:t>
            </w:r>
          </w:p>
        </w:tc>
      </w:tr>
      <w:tr>
        <w:tc>
          <w:tcPr>
            <w:tcW w:type="dxa" w:w="3360"/>
            <w:vAlign w:val="center"/>
            <w:shd w:fill="F0F4F8"/>
          </w:tcPr>
          <w:p>
            <w:pPr>
              <w:spacing w:after="20"/>
            </w:pPr>
            <w:r>
              <w:rPr>
                <w:sz w:val="14"/>
              </w:rPr>
              <w:t>Security Lead / SOC</w:t>
            </w:r>
          </w:p>
        </w:tc>
        <w:tc>
          <w:tcPr>
            <w:tcW w:type="dxa" w:w="3360"/>
            <w:vAlign w:val="center"/>
            <w:shd w:fill="F0F4F8"/>
          </w:tcPr>
          <w:p>
            <w:pPr>
              <w:spacing w:after="20"/>
            </w:pPr>
            <w:r>
              <w:rPr>
                <w:sz w:val="14"/>
              </w:rPr>
              <w:t>Validates alerts, analyses evidence, scopes assets, hunts related activity.</w:t>
            </w:r>
          </w:p>
        </w:tc>
        <w:tc>
          <w:tcPr>
            <w:tcW w:type="dxa" w:w="3360"/>
            <w:vAlign w:val="center"/>
            <w:shd w:fill="F0F4F8"/>
          </w:tcPr>
          <w:p>
            <w:pPr>
              <w:spacing w:after="20"/>
            </w:pPr>
            <w:r>
              <w:rPr>
                <w:sz w:val="14"/>
              </w:rPr>
              <w:t>Recommends severity and containment; coordinates technical security.</w:t>
            </w:r>
          </w:p>
        </w:tc>
      </w:tr>
      <w:tr>
        <w:tc>
          <w:tcPr>
            <w:tcW w:type="dxa" w:w="3360"/>
            <w:vAlign w:val="center"/>
          </w:tcPr>
          <w:p>
            <w:pPr>
              <w:spacing w:after="20"/>
            </w:pPr>
            <w:r>
              <w:rPr>
                <w:sz w:val="14"/>
              </w:rPr>
              <w:t>IT / Cloud / Network Operations</w:t>
            </w:r>
          </w:p>
        </w:tc>
        <w:tc>
          <w:tcPr>
            <w:tcW w:type="dxa" w:w="3360"/>
            <w:vAlign w:val="center"/>
          </w:tcPr>
          <w:p>
            <w:pPr>
              <w:spacing w:after="20"/>
            </w:pPr>
            <w:r>
              <w:rPr>
                <w:sz w:val="14"/>
              </w:rPr>
              <w:t>Isolates hosts, disables accounts, adjusts network rules, restores infrastructure.</w:t>
            </w:r>
          </w:p>
        </w:tc>
        <w:tc>
          <w:tcPr>
            <w:tcW w:type="dxa" w:w="3360"/>
            <w:vAlign w:val="center"/>
          </w:tcPr>
          <w:p>
            <w:pPr>
              <w:spacing w:after="20"/>
            </w:pPr>
            <w:r>
              <w:rPr>
                <w:sz w:val="14"/>
              </w:rPr>
              <w:t>Executes authorised changes and reports service impact.</w:t>
            </w:r>
          </w:p>
        </w:tc>
      </w:tr>
      <w:tr>
        <w:tc>
          <w:tcPr>
            <w:tcW w:type="dxa" w:w="3360"/>
            <w:vAlign w:val="center"/>
            <w:shd w:fill="F0F4F8"/>
          </w:tcPr>
          <w:p>
            <w:pPr>
              <w:spacing w:after="20"/>
            </w:pPr>
            <w:r>
              <w:rPr>
                <w:sz w:val="14"/>
              </w:rPr>
              <w:t>Application / Data Owners</w:t>
            </w:r>
          </w:p>
        </w:tc>
        <w:tc>
          <w:tcPr>
            <w:tcW w:type="dxa" w:w="3360"/>
            <w:vAlign w:val="center"/>
            <w:shd w:fill="F0F4F8"/>
          </w:tcPr>
          <w:p>
            <w:pPr>
              <w:spacing w:after="20"/>
            </w:pPr>
            <w:r>
              <w:rPr>
                <w:sz w:val="14"/>
              </w:rPr>
              <w:t>Explain data flows and business workflows; assess transaction impact; test services.</w:t>
            </w:r>
          </w:p>
        </w:tc>
        <w:tc>
          <w:tcPr>
            <w:tcW w:type="dxa" w:w="3360"/>
            <w:vAlign w:val="center"/>
            <w:shd w:fill="F0F4F8"/>
          </w:tcPr>
          <w:p>
            <w:pPr>
              <w:spacing w:after="20"/>
            </w:pPr>
            <w:r>
              <w:rPr>
                <w:sz w:val="14"/>
              </w:rPr>
              <w:t>Approve business workarounds and service acceptance with IC.</w:t>
            </w:r>
          </w:p>
        </w:tc>
      </w:tr>
      <w:tr>
        <w:tc>
          <w:tcPr>
            <w:tcW w:type="dxa" w:w="3360"/>
            <w:vAlign w:val="center"/>
          </w:tcPr>
          <w:p>
            <w:pPr>
              <w:spacing w:after="20"/>
            </w:pPr>
            <w:r>
              <w:rPr>
                <w:sz w:val="14"/>
              </w:rPr>
              <w:t>Privacy / Legal / Compliance</w:t>
            </w:r>
          </w:p>
        </w:tc>
        <w:tc>
          <w:tcPr>
            <w:tcW w:type="dxa" w:w="3360"/>
            <w:vAlign w:val="center"/>
          </w:tcPr>
          <w:p>
            <w:pPr>
              <w:spacing w:after="20"/>
            </w:pPr>
            <w:r>
              <w:rPr>
                <w:sz w:val="14"/>
              </w:rPr>
              <w:t>Assesses personal-data impact, legal holds, reporting and contract duties.</w:t>
            </w:r>
          </w:p>
        </w:tc>
        <w:tc>
          <w:tcPr>
            <w:tcW w:type="dxa" w:w="3360"/>
            <w:vAlign w:val="center"/>
          </w:tcPr>
          <w:p>
            <w:pPr>
              <w:spacing w:after="20"/>
            </w:pPr>
            <w:r>
              <w:rPr>
                <w:sz w:val="14"/>
              </w:rPr>
              <w:t>Advises on notification obligations and evidence preservation.</w:t>
            </w:r>
          </w:p>
        </w:tc>
      </w:tr>
      <w:tr>
        <w:tc>
          <w:tcPr>
            <w:tcW w:type="dxa" w:w="3360"/>
            <w:vAlign w:val="center"/>
            <w:shd w:fill="F0F4F8"/>
          </w:tcPr>
          <w:p>
            <w:pPr>
              <w:spacing w:after="20"/>
            </w:pPr>
            <w:r>
              <w:rPr>
                <w:sz w:val="14"/>
              </w:rPr>
              <w:t>Communications Lead</w:t>
            </w:r>
          </w:p>
        </w:tc>
        <w:tc>
          <w:tcPr>
            <w:tcW w:type="dxa" w:w="3360"/>
            <w:vAlign w:val="center"/>
            <w:shd w:fill="F0F4F8"/>
          </w:tcPr>
          <w:p>
            <w:pPr>
              <w:spacing w:after="20"/>
            </w:pPr>
            <w:r>
              <w:rPr>
                <w:sz w:val="14"/>
              </w:rPr>
              <w:t>Prepares internal updates, public notices, call-centre scripts and media responses.</w:t>
            </w:r>
          </w:p>
        </w:tc>
        <w:tc>
          <w:tcPr>
            <w:tcW w:type="dxa" w:w="3360"/>
            <w:vAlign w:val="center"/>
            <w:shd w:fill="F0F4F8"/>
          </w:tcPr>
          <w:p>
            <w:pPr>
              <w:spacing w:after="20"/>
            </w:pPr>
            <w:r>
              <w:rPr>
                <w:sz w:val="14"/>
              </w:rPr>
              <w:t>Only authorised spokesperson releases external statements.</w:t>
            </w:r>
          </w:p>
        </w:tc>
      </w:tr>
      <w:tr>
        <w:tc>
          <w:tcPr>
            <w:tcW w:type="dxa" w:w="3360"/>
            <w:vAlign w:val="center"/>
          </w:tcPr>
          <w:p>
            <w:pPr>
              <w:spacing w:after="20"/>
            </w:pPr>
            <w:r>
              <w:rPr>
                <w:sz w:val="14"/>
              </w:rPr>
              <w:t>Executive / Crisis Lead</w:t>
            </w:r>
          </w:p>
        </w:tc>
        <w:tc>
          <w:tcPr>
            <w:tcW w:type="dxa" w:w="3360"/>
            <w:vAlign w:val="center"/>
          </w:tcPr>
          <w:p>
            <w:pPr>
              <w:spacing w:after="20"/>
            </w:pPr>
            <w:r>
              <w:rPr>
                <w:sz w:val="14"/>
              </w:rPr>
              <w:t>Provides resources and resolves cross-department conflicts.</w:t>
            </w:r>
          </w:p>
        </w:tc>
        <w:tc>
          <w:tcPr>
            <w:tcW w:type="dxa" w:w="3360"/>
            <w:vAlign w:val="center"/>
          </w:tcPr>
          <w:p>
            <w:pPr>
              <w:spacing w:after="20"/>
            </w:pPr>
            <w:r>
              <w:rPr>
                <w:sz w:val="14"/>
              </w:rPr>
              <w:t>Approves major shutdowns or continuity activation where required.</w:t>
            </w:r>
          </w:p>
        </w:tc>
      </w:tr>
      <w:tr>
        <w:tc>
          <w:tcPr>
            <w:tcW w:type="dxa" w:w="3360"/>
            <w:vAlign w:val="center"/>
            <w:shd w:fill="F0F4F8"/>
          </w:tcPr>
          <w:p>
            <w:pPr>
              <w:spacing w:after="20"/>
            </w:pPr>
            <w:r>
              <w:rPr>
                <w:sz w:val="14"/>
              </w:rPr>
              <w:t>Supplier / CERT Liaison</w:t>
            </w:r>
          </w:p>
        </w:tc>
        <w:tc>
          <w:tcPr>
            <w:tcW w:type="dxa" w:w="3360"/>
            <w:vAlign w:val="center"/>
            <w:shd w:fill="F0F4F8"/>
          </w:tcPr>
          <w:p>
            <w:pPr>
              <w:spacing w:after="20"/>
            </w:pPr>
            <w:r>
              <w:rPr>
                <w:sz w:val="14"/>
              </w:rPr>
              <w:t>Coordinates cloud, telecom, payment, MSSP, CERT/CSIRT and agency contacts.</w:t>
            </w:r>
          </w:p>
        </w:tc>
        <w:tc>
          <w:tcPr>
            <w:tcW w:type="dxa" w:w="3360"/>
            <w:vAlign w:val="center"/>
            <w:shd w:fill="F0F4F8"/>
          </w:tcPr>
          <w:p>
            <w:pPr>
              <w:spacing w:after="20"/>
            </w:pPr>
            <w:r>
              <w:rPr>
                <w:sz w:val="14"/>
              </w:rPr>
              <w:t>Tracks supplier response and external coordination.</w:t>
            </w:r>
          </w:p>
        </w:tc>
      </w:tr>
      <w:tr>
        <w:tc>
          <w:tcPr>
            <w:tcW w:type="dxa" w:w="3360"/>
            <w:vAlign w:val="center"/>
          </w:tcPr>
          <w:p>
            <w:pPr>
              <w:spacing w:after="20"/>
            </w:pPr>
            <w:r>
              <w:rPr>
                <w:sz w:val="14"/>
              </w:rPr>
              <w:t>Recorder / Scribe</w:t>
            </w:r>
          </w:p>
        </w:tc>
        <w:tc>
          <w:tcPr>
            <w:tcW w:type="dxa" w:w="3360"/>
            <w:vAlign w:val="center"/>
          </w:tcPr>
          <w:p>
            <w:pPr>
              <w:spacing w:after="20"/>
            </w:pPr>
            <w:r>
              <w:rPr>
                <w:sz w:val="14"/>
              </w:rPr>
              <w:t>Maintains timeline, decisions, evidence references, action owners and status.</w:t>
            </w:r>
          </w:p>
        </w:tc>
        <w:tc>
          <w:tcPr>
            <w:tcW w:type="dxa" w:w="3360"/>
            <w:vAlign w:val="center"/>
          </w:tcPr>
          <w:p>
            <w:pPr>
              <w:spacing w:after="20"/>
            </w:pPr>
            <w:r>
              <w:rPr>
                <w:sz w:val="14"/>
              </w:rPr>
              <w:t>Ensures complete, auditable case record.</w:t>
            </w:r>
          </w:p>
        </w:tc>
      </w:tr>
    </w:tbl>
    <w:p/>
    <w:p>
      <w:pPr>
        <w:pStyle w:val="Heading2"/>
      </w:pPr>
      <w:r>
        <w:t>Decision rights</w:t>
      </w:r>
    </w:p>
    <w:p>
      <w:pPr>
        <w:pStyle w:val="ListBullet"/>
        <w:spacing w:after="40"/>
      </w:pPr>
      <w:r>
        <w:t>A first responder may take pre-authorised low-regret actions, such as disabling a confirmed compromised account, while notifying the on-call lead immediately.</w:t>
      </w:r>
    </w:p>
    <w:p>
      <w:pPr>
        <w:pStyle w:val="ListBullet"/>
        <w:spacing w:after="40"/>
      </w:pPr>
      <w:r>
        <w:t>The IC coordinates the response; specialists recommend and execute actions within approved authority.</w:t>
      </w:r>
    </w:p>
    <w:p>
      <w:pPr>
        <w:pStyle w:val="ListBullet"/>
        <w:spacing w:after="40"/>
      </w:pPr>
      <w:r>
        <w:t>Production shutdown or broad network isolation requires designated approval unless immediate action is necessary to prevent imminent severe harm. Record emergency actions and notify the IC promptly.</w:t>
      </w:r>
    </w:p>
    <w:p>
      <w:pPr>
        <w:pStyle w:val="ListBullet"/>
        <w:spacing w:after="40"/>
      </w:pPr>
      <w:r>
        <w:t>Legal/privacy specialists assess reporting duties; the authorised officer submits formal notifications. Do not wait for perfect certainty before escalating a potentially time-critical duty.</w:t>
      </w:r>
    </w:p>
    <w:p>
      <w:pPr>
        <w:pStyle w:val="ListBullet"/>
        <w:spacing w:after="40"/>
      </w:pPr>
      <w:r>
        <w:t>If the IC is unavailable, the named deputy assumes command and records the handover.</w:t>
      </w:r>
    </w:p>
    <w:p>
      <w:pPr>
        <w:pStyle w:val="Heading1"/>
      </w:pPr>
      <w:r>
        <w:t>4. Incident Identification and Classification</w:t>
      </w:r>
    </w:p>
    <w:p>
      <w:pPr>
        <w:pStyle w:val="Heading2"/>
      </w:pPr>
      <w:r>
        <w:t>4.1 Detection sources</w:t>
      </w:r>
    </w:p>
    <w:p>
      <w:pPr>
        <w:pStyle w:val="ListBullet"/>
        <w:spacing w:after="40"/>
      </w:pPr>
      <w:r>
        <w:t>SIEM/SOC, EDR, identity-provider, firewall/WAF/DNS, cloud audit and database logs.</w:t>
      </w:r>
    </w:p>
    <w:p>
      <w:pPr>
        <w:pStyle w:val="ListBullet"/>
        <w:spacing w:after="40"/>
      </w:pPr>
      <w:r>
        <w:t>Citizen complaints, help-desk tickets, unusual account activity, altered transactions, staff or partner reports.</w:t>
      </w:r>
    </w:p>
    <w:p>
      <w:pPr>
        <w:pStyle w:val="ListBullet"/>
        <w:spacing w:after="40"/>
      </w:pPr>
      <w:r>
        <w:t>CERT/CSIRT advisories, threat intelligence, vulnerability disclosures, supplier alerts and law-enforcement notifications.</w:t>
      </w:r>
    </w:p>
    <w:p>
      <w:pPr>
        <w:pStyle w:val="ListBullet"/>
        <w:spacing w:after="40"/>
      </w:pPr>
      <w:r>
        <w:t>Service monitoring: unexpected downtime, traffic spikes, integrity failures, unusual exports or unexplained configuration changes.</w:t>
      </w:r>
    </w:p>
    <w:p>
      <w:pPr>
        <w:pStyle w:val="Heading2"/>
      </w:pPr>
      <w:r>
        <w:t>4.2 Initial triage</w:t>
      </w:r>
    </w:p>
    <w:p>
      <w:pPr>
        <w:pStyle w:val="ListNumber"/>
        <w:spacing w:after="40"/>
      </w:pPr>
      <w:r>
        <w:t>Create a unique incident ticket; record reporter, detection time and timezone, affected service, symptoms, and callback details.</w:t>
      </w:r>
    </w:p>
    <w:p>
      <w:pPr>
        <w:pStyle w:val="ListNumber"/>
        <w:spacing w:after="40"/>
      </w:pPr>
      <w:r>
        <w:t>Preserve original alerts, relevant logs, screenshots, email headers, and system timestamps. Do not send suspicious files through uncontrolled channels.</w:t>
      </w:r>
    </w:p>
    <w:p>
      <w:pPr>
        <w:pStyle w:val="ListNumber"/>
        <w:spacing w:after="40"/>
      </w:pPr>
      <w:r>
        <w:t>Validate the signal using another source where feasible; check whether it is authorised maintenance or a known test.</w:t>
      </w:r>
    </w:p>
    <w:p>
      <w:pPr>
        <w:pStyle w:val="ListNumber"/>
        <w:spacing w:after="40"/>
      </w:pPr>
      <w:r>
        <w:t>Determine affected assets, identities, data types, service criticality, spread, attacker access, and whether activity is ongoing.</w:t>
      </w:r>
    </w:p>
    <w:p>
      <w:pPr>
        <w:pStyle w:val="ListNumber"/>
        <w:spacing w:after="40"/>
      </w:pPr>
      <w:r>
        <w:t>Assign provisional severity and an incident lead; set immediate actions and next update time.</w:t>
      </w:r>
    </w:p>
    <w:p>
      <w:pPr>
        <w:pStyle w:val="ListNumber"/>
        <w:spacing w:after="40"/>
      </w:pPr>
      <w:r>
        <w:t>Escalate immediately for citizen data, privileged accounts, payments/benefits, critical-service disruption, ransomware, destructive activity, or suspected broad compromise.</w:t>
      </w:r>
    </w:p>
    <w:p>
      <w:pPr>
        <w:pStyle w:val="Heading2"/>
      </w:pPr>
      <w:r>
        <w:t>4.3 Proposed severity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83755"/>
          </w:tcPr>
          <w:p>
            <w:r>
              <w:rPr>
                <w:b/>
                <w:color w:val="FFFFFF"/>
                <w:sz w:val="14"/>
              </w:rPr>
              <w:t>Level</w:t>
            </w:r>
          </w:p>
        </w:tc>
        <w:tc>
          <w:tcPr>
            <w:tcW w:type="dxa" w:w="2520"/>
            <w:shd w:fill="183755"/>
          </w:tcPr>
          <w:p>
            <w:r>
              <w:rPr>
                <w:b/>
                <w:color w:val="FFFFFF"/>
                <w:sz w:val="14"/>
              </w:rPr>
              <w:t>Illustrative criteria</w:t>
            </w:r>
          </w:p>
        </w:tc>
        <w:tc>
          <w:tcPr>
            <w:tcW w:type="dxa" w:w="2520"/>
            <w:shd w:fill="183755"/>
          </w:tcPr>
          <w:p>
            <w:r>
              <w:rPr>
                <w:b/>
                <w:color w:val="FFFFFF"/>
                <w:sz w:val="14"/>
              </w:rPr>
              <w:t>Internal acknowledgement target*</w:t>
            </w:r>
          </w:p>
        </w:tc>
        <w:tc>
          <w:tcPr>
            <w:tcW w:type="dxa" w:w="2520"/>
            <w:shd w:fill="183755"/>
          </w:tcPr>
          <w:p>
            <w:r>
              <w:rPr>
                <w:b/>
                <w:color w:val="FFFFFF"/>
                <w:sz w:val="14"/>
              </w:rPr>
              <w:t>Management action</w:t>
            </w:r>
          </w:p>
        </w:tc>
      </w:tr>
      <w:tr>
        <w:tc>
          <w:tcPr>
            <w:tcW w:type="dxa" w:w="2520"/>
            <w:vAlign w:val="center"/>
          </w:tcPr>
          <w:p>
            <w:pPr>
              <w:spacing w:after="20"/>
            </w:pPr>
            <w:r>
              <w:rPr>
                <w:sz w:val="14"/>
              </w:rPr>
              <w:t>SEV-1 Critical</w:t>
            </w:r>
          </w:p>
        </w:tc>
        <w:tc>
          <w:tcPr>
            <w:tcW w:type="dxa" w:w="2520"/>
            <w:vAlign w:val="center"/>
          </w:tcPr>
          <w:p>
            <w:pPr>
              <w:spacing w:after="20"/>
            </w:pPr>
            <w:r>
              <w:rPr>
                <w:sz w:val="14"/>
              </w:rPr>
              <w:t>Broad compromise; large-scale sensitive-data exposure; ransomware affecting critical services; widespread privileged compromise; public-safety impact.</w:t>
            </w:r>
          </w:p>
        </w:tc>
        <w:tc>
          <w:tcPr>
            <w:tcW w:type="dxa" w:w="2520"/>
            <w:vAlign w:val="center"/>
          </w:tcPr>
          <w:p>
            <w:pPr>
              <w:spacing w:after="20"/>
            </w:pPr>
            <w:r>
              <w:rPr>
                <w:sz w:val="14"/>
              </w:rPr>
              <w:t>15 minutes</w:t>
            </w:r>
          </w:p>
        </w:tc>
        <w:tc>
          <w:tcPr>
            <w:tcW w:type="dxa" w:w="2520"/>
            <w:vAlign w:val="center"/>
          </w:tcPr>
          <w:p>
            <w:pPr>
              <w:spacing w:after="20"/>
            </w:pPr>
            <w:r>
              <w:rPr>
                <w:sz w:val="14"/>
              </w:rPr>
              <w:t>Activate crisis leadership and 24×7 response; immediate legal/privacy/CERT assessment.</w:t>
            </w:r>
          </w:p>
        </w:tc>
      </w:tr>
      <w:tr>
        <w:tc>
          <w:tcPr>
            <w:tcW w:type="dxa" w:w="2520"/>
            <w:vAlign w:val="center"/>
            <w:shd w:fill="F0F4F8"/>
          </w:tcPr>
          <w:p>
            <w:pPr>
              <w:spacing w:after="20"/>
            </w:pPr>
            <w:r>
              <w:rPr>
                <w:sz w:val="14"/>
              </w:rPr>
              <w:t>SEV-2 High</w:t>
            </w:r>
          </w:p>
        </w:tc>
        <w:tc>
          <w:tcPr>
            <w:tcW w:type="dxa" w:w="2520"/>
            <w:vAlign w:val="center"/>
            <w:shd w:fill="F0F4F8"/>
          </w:tcPr>
          <w:p>
            <w:pPr>
              <w:spacing w:after="20"/>
            </w:pPr>
            <w:r>
              <w:rPr>
                <w:sz w:val="14"/>
              </w:rPr>
              <w:t>Confirmed compromise of important service or sensitive data; active exploitation; multiple hosts/accounts; serious degradation.</w:t>
            </w:r>
          </w:p>
        </w:tc>
        <w:tc>
          <w:tcPr>
            <w:tcW w:type="dxa" w:w="2520"/>
            <w:vAlign w:val="center"/>
            <w:shd w:fill="F0F4F8"/>
          </w:tcPr>
          <w:p>
            <w:pPr>
              <w:spacing w:after="20"/>
            </w:pPr>
            <w:r>
              <w:rPr>
                <w:sz w:val="14"/>
              </w:rPr>
              <w:t>30 minutes</w:t>
            </w:r>
          </w:p>
        </w:tc>
        <w:tc>
          <w:tcPr>
            <w:tcW w:type="dxa" w:w="2520"/>
            <w:vAlign w:val="center"/>
            <w:shd w:fill="F0F4F8"/>
          </w:tcPr>
          <w:p>
            <w:pPr>
              <w:spacing w:after="20"/>
            </w:pPr>
            <w:r>
              <w:rPr>
                <w:sz w:val="14"/>
              </w:rPr>
              <w:t>Full response team; frequent updates; immediate external-reporting assessment.</w:t>
            </w:r>
          </w:p>
        </w:tc>
      </w:tr>
      <w:tr>
        <w:tc>
          <w:tcPr>
            <w:tcW w:type="dxa" w:w="2520"/>
            <w:vAlign w:val="center"/>
          </w:tcPr>
          <w:p>
            <w:pPr>
              <w:spacing w:after="20"/>
            </w:pPr>
            <w:r>
              <w:rPr>
                <w:sz w:val="14"/>
              </w:rPr>
              <w:t>SEV-3 Moderate</w:t>
            </w:r>
          </w:p>
        </w:tc>
        <w:tc>
          <w:tcPr>
            <w:tcW w:type="dxa" w:w="2520"/>
            <w:vAlign w:val="center"/>
          </w:tcPr>
          <w:p>
            <w:pPr>
              <w:spacing w:after="20"/>
            </w:pPr>
            <w:r>
              <w:rPr>
                <w:sz w:val="14"/>
              </w:rPr>
              <w:t>Limited compromise or credible attempt contained to small scope; limited service/data impact.</w:t>
            </w:r>
          </w:p>
        </w:tc>
        <w:tc>
          <w:tcPr>
            <w:tcW w:type="dxa" w:w="2520"/>
            <w:vAlign w:val="center"/>
          </w:tcPr>
          <w:p>
            <w:pPr>
              <w:spacing w:after="20"/>
            </w:pPr>
            <w:r>
              <w:rPr>
                <w:sz w:val="14"/>
              </w:rPr>
              <w:t>4 hours</w:t>
            </w:r>
          </w:p>
        </w:tc>
        <w:tc>
          <w:tcPr>
            <w:tcW w:type="dxa" w:w="2520"/>
            <w:vAlign w:val="center"/>
          </w:tcPr>
          <w:p>
            <w:pPr>
              <w:spacing w:after="20"/>
            </w:pPr>
            <w:r>
              <w:rPr>
                <w:sz w:val="14"/>
              </w:rPr>
              <w:t>Security and service owner response; regular documented updates.</w:t>
            </w:r>
          </w:p>
        </w:tc>
      </w:tr>
      <w:tr>
        <w:tc>
          <w:tcPr>
            <w:tcW w:type="dxa" w:w="2520"/>
            <w:vAlign w:val="center"/>
            <w:shd w:fill="F0F4F8"/>
          </w:tcPr>
          <w:p>
            <w:pPr>
              <w:spacing w:after="20"/>
            </w:pPr>
            <w:r>
              <w:rPr>
                <w:sz w:val="14"/>
              </w:rPr>
              <w:t>SEV-4 Low</w:t>
            </w:r>
          </w:p>
        </w:tc>
        <w:tc>
          <w:tcPr>
            <w:tcW w:type="dxa" w:w="2520"/>
            <w:vAlign w:val="center"/>
            <w:shd w:fill="F0F4F8"/>
          </w:tcPr>
          <w:p>
            <w:pPr>
              <w:spacing w:after="20"/>
            </w:pPr>
            <w:r>
              <w:rPr>
                <w:sz w:val="14"/>
              </w:rPr>
              <w:t>Low-impact suspicious event or policy violation without evidence of compromise.</w:t>
            </w:r>
          </w:p>
        </w:tc>
        <w:tc>
          <w:tcPr>
            <w:tcW w:type="dxa" w:w="2520"/>
            <w:vAlign w:val="center"/>
            <w:shd w:fill="F0F4F8"/>
          </w:tcPr>
          <w:p>
            <w:pPr>
              <w:spacing w:after="20"/>
            </w:pPr>
            <w:r>
              <w:rPr>
                <w:sz w:val="14"/>
              </w:rPr>
              <w:t>1 business day</w:t>
            </w:r>
          </w:p>
        </w:tc>
        <w:tc>
          <w:tcPr>
            <w:tcW w:type="dxa" w:w="2520"/>
            <w:vAlign w:val="center"/>
            <w:shd w:fill="F0F4F8"/>
          </w:tcPr>
          <w:p>
            <w:pPr>
              <w:spacing w:after="20"/>
            </w:pPr>
            <w:r>
              <w:rPr>
                <w:sz w:val="14"/>
              </w:rPr>
              <w:t>Validate, monitor, trend, or close with rationale.</w:t>
            </w:r>
          </w:p>
        </w:tc>
      </w:tr>
    </w:tbl>
    <w:p/>
    <w:p>
      <w:r>
        <w:t>*These are proposed internal targets, not statutory deadlines. Approve, staff, and test them. Applicable legal reporting deadlines take precedence.</w:t>
      </w:r>
    </w:p>
    <w:p>
      <w:r>
        <w:t>Raise severity if evidence shows wider access, exfiltration, privileged compromise, persistence, critical-service impact, supplier compromise, or failed containment. Downgrade only when the IC records supporting evidence and obtains required approval.</w:t>
      </w:r>
    </w:p>
    <w:p>
      <w:pPr>
        <w:pStyle w:val="Heading1"/>
      </w:pPr>
      <w:r>
        <w:t>5. Incident Response Lifecycle and Workflow</w:t>
      </w:r>
    </w:p>
    <w:p>
      <w:r>
        <w:t>The plan follows the risk-management approach in NIST SP 800-61 Rev. 3 (2025): preparation is sustained through governance, identification, and protection; active response centres on Detect, Respond, and Recover; and improvement feeds lessons back into all functions.</w:t>
      </w:r>
    </w:p>
    <w:p>
      <w:pPr>
        <w:spacing w:after="20"/>
        <w:jc w:val="center"/>
      </w:pPr>
      <w:r>
        <w:rPr>
          <w:b/>
          <w:color w:val="183755"/>
          <w:sz w:val="19"/>
        </w:rPr>
        <w:t>PREPARE — contacts, asset/data maps, logging, backups, playbooks</w:t>
      </w:r>
    </w:p>
    <w:p>
      <w:pPr>
        <w:spacing w:after="20"/>
        <w:jc w:val="center"/>
      </w:pPr>
      <w:r>
        <w:rPr>
          <w:b w:val="0"/>
          <w:color w:val="183755"/>
          <w:sz w:val="19"/>
        </w:rPr>
        <w:t>↓</w:t>
      </w:r>
    </w:p>
    <w:p>
      <w:pPr>
        <w:spacing w:after="20"/>
        <w:jc w:val="center"/>
      </w:pPr>
      <w:r>
        <w:rPr>
          <w:b/>
          <w:color w:val="183755"/>
          <w:sz w:val="19"/>
        </w:rPr>
        <w:t>DETECT &amp; REPORT — alert or user report, open case, preserve initial evidence</w:t>
      </w:r>
    </w:p>
    <w:p>
      <w:pPr>
        <w:spacing w:after="20"/>
        <w:jc w:val="center"/>
      </w:pPr>
      <w:r>
        <w:rPr>
          <w:b w:val="0"/>
          <w:color w:val="183755"/>
          <w:sz w:val="19"/>
        </w:rPr>
        <w:t>↓</w:t>
      </w:r>
    </w:p>
    <w:p>
      <w:pPr>
        <w:spacing w:after="20"/>
        <w:jc w:val="center"/>
      </w:pPr>
      <w:r>
        <w:rPr>
          <w:b/>
          <w:color w:val="183755"/>
          <w:sz w:val="19"/>
        </w:rPr>
        <w:t>TRIAGE &amp; DECLARE — validate, scope, assign severity and IC</w:t>
      </w:r>
    </w:p>
    <w:p>
      <w:pPr>
        <w:spacing w:after="20"/>
        <w:jc w:val="center"/>
      </w:pPr>
      <w:r>
        <w:rPr>
          <w:b w:val="0"/>
          <w:color w:val="183755"/>
          <w:sz w:val="19"/>
        </w:rPr>
        <w:t>↓</w:t>
      </w:r>
    </w:p>
    <w:p>
      <w:pPr>
        <w:spacing w:after="20"/>
        <w:jc w:val="center"/>
      </w:pPr>
      <w:r>
        <w:rPr>
          <w:b/>
          <w:color w:val="183755"/>
          <w:sz w:val="19"/>
        </w:rPr>
        <w:t>CONTAIN — limit access and spread, protect citizens, preserve evidence</w:t>
      </w:r>
    </w:p>
    <w:p>
      <w:pPr>
        <w:spacing w:after="20"/>
        <w:jc w:val="center"/>
      </w:pPr>
      <w:r>
        <w:rPr>
          <w:b w:val="0"/>
          <w:color w:val="183755"/>
          <w:sz w:val="19"/>
        </w:rPr>
        <w:t>↓</w:t>
      </w:r>
    </w:p>
    <w:p>
      <w:pPr>
        <w:spacing w:after="20"/>
        <w:jc w:val="center"/>
      </w:pPr>
      <w:r>
        <w:rPr>
          <w:b/>
          <w:color w:val="183755"/>
          <w:sz w:val="19"/>
        </w:rPr>
        <w:t>ERADICATE — remove persistence, fix attack path, rotate secrets</w:t>
      </w:r>
    </w:p>
    <w:p>
      <w:pPr>
        <w:spacing w:after="20"/>
        <w:jc w:val="center"/>
      </w:pPr>
      <w:r>
        <w:rPr>
          <w:b w:val="0"/>
          <w:color w:val="183755"/>
          <w:sz w:val="19"/>
        </w:rPr>
        <w:t>↓</w:t>
      </w:r>
    </w:p>
    <w:p>
      <w:pPr>
        <w:spacing w:after="20"/>
        <w:jc w:val="center"/>
      </w:pPr>
      <w:r>
        <w:rPr>
          <w:b/>
          <w:color w:val="183755"/>
          <w:sz w:val="19"/>
        </w:rPr>
        <w:t>RECOVER — restore trusted systems, validate integrity, monitor</w:t>
      </w:r>
    </w:p>
    <w:p>
      <w:pPr>
        <w:spacing w:after="20"/>
        <w:jc w:val="center"/>
      </w:pPr>
      <w:r>
        <w:rPr>
          <w:b w:val="0"/>
          <w:color w:val="183755"/>
          <w:sz w:val="19"/>
        </w:rPr>
        <w:t>↓</w:t>
      </w:r>
    </w:p>
    <w:p>
      <w:pPr>
        <w:spacing w:after="20"/>
        <w:jc w:val="center"/>
      </w:pPr>
      <w:r>
        <w:rPr>
          <w:b/>
          <w:color w:val="183755"/>
          <w:sz w:val="19"/>
        </w:rPr>
        <w:t>CLOSE &amp; IMPROVE — lessons learned, owners, due dates, test fixes</w:t>
      </w:r>
    </w:p>
    <w:p>
      <w:r>
        <w:t>Decision loop: if containment fails, scope expands, or attacker access continues, return to triage and containment. Recovery is incomplete until security validation passes and the service owner accepts residual risk.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5"/>
              </w:rPr>
              <w:t>Phase</w:t>
            </w:r>
          </w:p>
        </w:tc>
        <w:tc>
          <w:tcPr>
            <w:tcW w:type="dxa" w:w="3360"/>
            <w:shd w:fill="183755"/>
          </w:tcPr>
          <w:p>
            <w:r>
              <w:rPr>
                <w:b/>
                <w:color w:val="FFFFFF"/>
                <w:sz w:val="15"/>
              </w:rPr>
              <w:t>Core actions</w:t>
            </w:r>
          </w:p>
        </w:tc>
        <w:tc>
          <w:tcPr>
            <w:tcW w:type="dxa" w:w="3360"/>
            <w:shd w:fill="183755"/>
          </w:tcPr>
          <w:p>
            <w:r>
              <w:rPr>
                <w:b/>
                <w:color w:val="FFFFFF"/>
                <w:sz w:val="15"/>
              </w:rPr>
              <w:t>Exit evidence</w:t>
            </w:r>
          </w:p>
        </w:tc>
      </w:tr>
      <w:tr>
        <w:tc>
          <w:tcPr>
            <w:tcW w:type="dxa" w:w="3360"/>
            <w:vAlign w:val="center"/>
          </w:tcPr>
          <w:p>
            <w:pPr>
              <w:spacing w:after="20"/>
            </w:pPr>
            <w:r>
              <w:rPr>
                <w:sz w:val="15"/>
              </w:rPr>
              <w:t>Prepare</w:t>
            </w:r>
          </w:p>
        </w:tc>
        <w:tc>
          <w:tcPr>
            <w:tcW w:type="dxa" w:w="3360"/>
            <w:vAlign w:val="center"/>
          </w:tcPr>
          <w:p>
            <w:pPr>
              <w:spacing w:after="20"/>
            </w:pPr>
            <w:r>
              <w:rPr>
                <w:sz w:val="15"/>
              </w:rPr>
              <w:t>Contacts, inventory, log coverage, access controls, tested backups, supplier agreements, exercises.</w:t>
            </w:r>
          </w:p>
        </w:tc>
        <w:tc>
          <w:tcPr>
            <w:tcW w:type="dxa" w:w="3360"/>
            <w:vAlign w:val="center"/>
          </w:tcPr>
          <w:p>
            <w:pPr>
              <w:spacing w:after="20"/>
            </w:pPr>
            <w:r>
              <w:rPr>
                <w:sz w:val="15"/>
              </w:rPr>
              <w:t>Current roster, approved playbooks, tested restore.</w:t>
            </w:r>
          </w:p>
        </w:tc>
      </w:tr>
      <w:tr>
        <w:tc>
          <w:tcPr>
            <w:tcW w:type="dxa" w:w="3360"/>
            <w:vAlign w:val="center"/>
            <w:shd w:fill="F0F4F8"/>
          </w:tcPr>
          <w:p>
            <w:pPr>
              <w:spacing w:after="20"/>
            </w:pPr>
            <w:r>
              <w:rPr>
                <w:sz w:val="15"/>
              </w:rPr>
              <w:t>Detect / analyse</w:t>
            </w:r>
          </w:p>
        </w:tc>
        <w:tc>
          <w:tcPr>
            <w:tcW w:type="dxa" w:w="3360"/>
            <w:vAlign w:val="center"/>
            <w:shd w:fill="F0F4F8"/>
          </w:tcPr>
          <w:p>
            <w:pPr>
              <w:spacing w:after="20"/>
            </w:pPr>
            <w:r>
              <w:rPr>
                <w:sz w:val="15"/>
              </w:rPr>
              <w:t>Validate alerts, scope assets/data, assess mission impact, classify and declare.</w:t>
            </w:r>
          </w:p>
        </w:tc>
        <w:tc>
          <w:tcPr>
            <w:tcW w:type="dxa" w:w="3360"/>
            <w:vAlign w:val="center"/>
            <w:shd w:fill="F0F4F8"/>
          </w:tcPr>
          <w:p>
            <w:pPr>
              <w:spacing w:after="20"/>
            </w:pPr>
            <w:r>
              <w:rPr>
                <w:sz w:val="15"/>
              </w:rPr>
              <w:t>Incident ID, timeline, severity, IC, affected services.</w:t>
            </w:r>
          </w:p>
        </w:tc>
      </w:tr>
      <w:tr>
        <w:tc>
          <w:tcPr>
            <w:tcW w:type="dxa" w:w="3360"/>
            <w:vAlign w:val="center"/>
          </w:tcPr>
          <w:p>
            <w:pPr>
              <w:spacing w:after="20"/>
            </w:pPr>
            <w:r>
              <w:rPr>
                <w:sz w:val="15"/>
              </w:rPr>
              <w:t>Contain</w:t>
            </w:r>
          </w:p>
        </w:tc>
        <w:tc>
          <w:tcPr>
            <w:tcW w:type="dxa" w:w="3360"/>
            <w:vAlign w:val="center"/>
          </w:tcPr>
          <w:p>
            <w:pPr>
              <w:spacing w:after="20"/>
            </w:pPr>
            <w:r>
              <w:rPr>
                <w:sz w:val="15"/>
              </w:rPr>
              <w:t>Restrict access/spread, preserve evidence, define continuity workaround.</w:t>
            </w:r>
          </w:p>
        </w:tc>
        <w:tc>
          <w:tcPr>
            <w:tcW w:type="dxa" w:w="3360"/>
            <w:vAlign w:val="center"/>
          </w:tcPr>
          <w:p>
            <w:pPr>
              <w:spacing w:after="20"/>
            </w:pPr>
            <w:r>
              <w:rPr>
                <w:sz w:val="15"/>
              </w:rPr>
              <w:t>Spread stopped or constrained; trade-offs documented.</w:t>
            </w:r>
          </w:p>
        </w:tc>
      </w:tr>
      <w:tr>
        <w:tc>
          <w:tcPr>
            <w:tcW w:type="dxa" w:w="3360"/>
            <w:vAlign w:val="center"/>
            <w:shd w:fill="F0F4F8"/>
          </w:tcPr>
          <w:p>
            <w:pPr>
              <w:spacing w:after="20"/>
            </w:pPr>
            <w:r>
              <w:rPr>
                <w:sz w:val="15"/>
              </w:rPr>
              <w:t>Eradicate</w:t>
            </w:r>
          </w:p>
        </w:tc>
        <w:tc>
          <w:tcPr>
            <w:tcW w:type="dxa" w:w="3360"/>
            <w:vAlign w:val="center"/>
            <w:shd w:fill="F0F4F8"/>
          </w:tcPr>
          <w:p>
            <w:pPr>
              <w:spacing w:after="20"/>
            </w:pPr>
            <w:r>
              <w:rPr>
                <w:sz w:val="15"/>
              </w:rPr>
              <w:t>Remove persistence, patch root cause, rotate secrets, close attack path.</w:t>
            </w:r>
          </w:p>
        </w:tc>
        <w:tc>
          <w:tcPr>
            <w:tcW w:type="dxa" w:w="3360"/>
            <w:vAlign w:val="center"/>
            <w:shd w:fill="F0F4F8"/>
          </w:tcPr>
          <w:p>
            <w:pPr>
              <w:spacing w:after="20"/>
            </w:pPr>
            <w:r>
              <w:rPr>
                <w:sz w:val="15"/>
              </w:rPr>
              <w:t>Removal evidence, weakness fixed, threat hunt completed.</w:t>
            </w:r>
          </w:p>
        </w:tc>
      </w:tr>
      <w:tr>
        <w:tc>
          <w:tcPr>
            <w:tcW w:type="dxa" w:w="3360"/>
            <w:vAlign w:val="center"/>
          </w:tcPr>
          <w:p>
            <w:pPr>
              <w:spacing w:after="20"/>
            </w:pPr>
            <w:r>
              <w:rPr>
                <w:sz w:val="15"/>
              </w:rPr>
              <w:t>Recover</w:t>
            </w:r>
          </w:p>
        </w:tc>
        <w:tc>
          <w:tcPr>
            <w:tcW w:type="dxa" w:w="3360"/>
            <w:vAlign w:val="center"/>
          </w:tcPr>
          <w:p>
            <w:pPr>
              <w:spacing w:after="20"/>
            </w:pPr>
            <w:r>
              <w:rPr>
                <w:sz w:val="15"/>
              </w:rPr>
              <w:t>Restore from known-good source, validate integrity, staged return, heightened monitoring.</w:t>
            </w:r>
          </w:p>
        </w:tc>
        <w:tc>
          <w:tcPr>
            <w:tcW w:type="dxa" w:w="3360"/>
            <w:vAlign w:val="center"/>
          </w:tcPr>
          <w:p>
            <w:pPr>
              <w:spacing w:after="20"/>
            </w:pPr>
            <w:r>
              <w:rPr>
                <w:sz w:val="15"/>
              </w:rPr>
              <w:t>Security checks and business sign-off.</w:t>
            </w:r>
          </w:p>
        </w:tc>
      </w:tr>
      <w:tr>
        <w:tc>
          <w:tcPr>
            <w:tcW w:type="dxa" w:w="3360"/>
            <w:vAlign w:val="center"/>
            <w:shd w:fill="F0F4F8"/>
          </w:tcPr>
          <w:p>
            <w:pPr>
              <w:spacing w:after="20"/>
            </w:pPr>
            <w:r>
              <w:rPr>
                <w:sz w:val="15"/>
              </w:rPr>
              <w:t>Improve</w:t>
            </w:r>
          </w:p>
        </w:tc>
        <w:tc>
          <w:tcPr>
            <w:tcW w:type="dxa" w:w="3360"/>
            <w:vAlign w:val="center"/>
            <w:shd w:fill="F0F4F8"/>
          </w:tcPr>
          <w:p>
            <w:pPr>
              <w:spacing w:after="20"/>
            </w:pPr>
            <w:r>
              <w:rPr>
                <w:sz w:val="15"/>
              </w:rPr>
              <w:t>Review timeline, impact, controls, communication and response effectiveness.</w:t>
            </w:r>
          </w:p>
        </w:tc>
        <w:tc>
          <w:tcPr>
            <w:tcW w:type="dxa" w:w="3360"/>
            <w:vAlign w:val="center"/>
            <w:shd w:fill="F0F4F8"/>
          </w:tcPr>
          <w:p>
            <w:pPr>
              <w:spacing w:after="20"/>
            </w:pPr>
            <w:r>
              <w:rPr>
                <w:sz w:val="15"/>
              </w:rPr>
              <w:t>Approved report and tracked corrective actions.</w:t>
            </w:r>
          </w:p>
        </w:tc>
      </w:tr>
    </w:tbl>
    <w:p/>
    <w:p>
      <w:pPr>
        <w:pStyle w:val="Heading1"/>
      </w:pPr>
      <w:r>
        <w:t>6. Immediate Response and Evidence Handling</w:t>
      </w:r>
    </w:p>
    <w:p>
      <w:pPr>
        <w:pStyle w:val="Heading2"/>
      </w:pPr>
      <w:r>
        <w:t>First 15 minutes, or as soon as practicable</w:t>
      </w:r>
    </w:p>
    <w:p>
      <w:pPr>
        <w:pStyle w:val="ListNumber"/>
        <w:spacing w:after="40"/>
      </w:pPr>
      <w:r>
        <w:t>Protect people and essential services; alert crisis leadership if public safety or critical operations are at risk.</w:t>
      </w:r>
    </w:p>
    <w:p>
      <w:pPr>
        <w:pStyle w:val="ListNumber"/>
        <w:spacing w:after="40"/>
      </w:pPr>
      <w:r>
        <w:t>Report through the approved security channel. If email/chat may be compromised, use a verified independent phone or out-of-band channel.</w:t>
      </w:r>
    </w:p>
    <w:p>
      <w:pPr>
        <w:pStyle w:val="ListNumber"/>
        <w:spacing w:after="40"/>
      </w:pPr>
      <w:r>
        <w:t>Open the case and capture facts, timestamps/timezone, alert IDs, affected service, and reporter details.</w:t>
      </w:r>
    </w:p>
    <w:p>
      <w:pPr>
        <w:pStyle w:val="ListNumber"/>
        <w:spacing w:after="40"/>
      </w:pPr>
      <w:r>
        <w:t>Avoid powering off, wiping, reimaging, deleting suspicious messages, or running unapproved cleanup tools before evidence needs are assessed—unless immediate safety/containment requires it.</w:t>
      </w:r>
    </w:p>
    <w:p>
      <w:pPr>
        <w:pStyle w:val="ListNumber"/>
        <w:spacing w:after="40"/>
      </w:pPr>
      <w:r>
        <w:t>For a clearly compromised account, revoke sessions/tokens and disable or restrict access using approved emergency procedures; record the action and time.</w:t>
      </w:r>
    </w:p>
    <w:p>
      <w:pPr>
        <w:pStyle w:val="ListNumber"/>
        <w:spacing w:after="40"/>
      </w:pPr>
      <w:r>
        <w:t>Do not contact the suspected attacker, pay a ransom, speculate publicly, or share citizen data outside authorised channels.</w:t>
      </w:r>
    </w:p>
    <w:p>
      <w:pPr>
        <w:pStyle w:val="Heading2"/>
      </w:pPr>
      <w:r>
        <w:t>Evidence handling and chain of custody</w:t>
      </w:r>
    </w:p>
    <w:p>
      <w:pPr>
        <w:pStyle w:val="ListBullet"/>
        <w:spacing w:after="40"/>
      </w:pPr>
      <w:r>
        <w:t>Assign an evidence custodian; give each item a unique ID and record source, collector, method, date/time/timezone, hash where appropriate, and storage location.</w:t>
      </w:r>
    </w:p>
    <w:p>
      <w:pPr>
        <w:pStyle w:val="ListBullet"/>
        <w:spacing w:after="40"/>
      </w:pPr>
      <w:r>
        <w:t>Preserve logs before retention windows expire: identity, network, endpoint, application, database, WAF, DNS, cloud and provider records as relevant.</w:t>
      </w:r>
    </w:p>
    <w:p>
      <w:pPr>
        <w:pStyle w:val="ListBullet"/>
        <w:spacing w:after="40"/>
      </w:pPr>
      <w:r>
        <w:t>Keep originals read-only where feasible and analyse working copies. Encrypt evidence and use least-privilege access with access logging.</w:t>
      </w:r>
    </w:p>
    <w:p>
      <w:pPr>
        <w:pStyle w:val="ListBullet"/>
        <w:spacing w:after="40"/>
      </w:pPr>
      <w:r>
        <w:t>Record each transfer, access, copy, hash verification, and disposal decision. Follow legal hold and retention requirements.</w:t>
      </w:r>
    </w:p>
    <w:p>
      <w:pPr>
        <w:pStyle w:val="ListBullet"/>
        <w:spacing w:after="40"/>
      </w:pPr>
      <w:r>
        <w:t>Use trained forensic personnel for volatile-memory acquisition or disk imaging; avoid actions that unnecessarily alter evidence.</w:t>
      </w:r>
    </w:p>
    <w:p>
      <w:pPr>
        <w:pStyle w:val="ListBullet"/>
        <w:spacing w:after="40"/>
      </w:pPr>
      <w:r>
        <w:t>Record clock drift and distinguish confirmed facts from hypotheses in the timeline.</w:t>
      </w:r>
    </w:p>
    <w:p>
      <w:r>
        <w:t>Minimum incident-log fields: incident ID; reporter; detection/report timestamps; affected assets/services; severity and rationale; suspected attack vector; data categories and estimated records affected (or ‘unknown’); actions, approvals and results; evidence IDs; external contacts/reference numbers; service status; next update; closure approval.</w:t>
      </w:r>
    </w:p>
    <w:p>
      <w:pPr>
        <w:pStyle w:val="Heading1"/>
      </w:pPr>
      <w:r>
        <w:t>7. Procedures for Containment</w:t>
      </w:r>
    </w:p>
    <w:p>
      <w:r>
        <w:t>Containment limits harm while preserving evidence and maintaining safe public services. Select the least disruptive action that reliably reduces risk; do not preserve availability at the cost of uncontrolled compromise.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4"/>
              </w:rPr>
              <w:t>Scenario</w:t>
            </w:r>
          </w:p>
        </w:tc>
        <w:tc>
          <w:tcPr>
            <w:tcW w:type="dxa" w:w="3360"/>
            <w:shd w:fill="183755"/>
          </w:tcPr>
          <w:p>
            <w:r>
              <w:rPr>
                <w:b/>
                <w:color w:val="FFFFFF"/>
                <w:sz w:val="14"/>
              </w:rPr>
              <w:t>Immediate containment options</w:t>
            </w:r>
          </w:p>
        </w:tc>
        <w:tc>
          <w:tcPr>
            <w:tcW w:type="dxa" w:w="3360"/>
            <w:shd w:fill="183755"/>
          </w:tcPr>
          <w:p>
            <w:r>
              <w:rPr>
                <w:b/>
                <w:color w:val="FFFFFF"/>
                <w:sz w:val="14"/>
              </w:rPr>
              <w:t>Cautions / coordination</w:t>
            </w:r>
          </w:p>
        </w:tc>
      </w:tr>
      <w:tr>
        <w:tc>
          <w:tcPr>
            <w:tcW w:type="dxa" w:w="3360"/>
            <w:vAlign w:val="center"/>
          </w:tcPr>
          <w:p>
            <w:pPr>
              <w:spacing w:after="20"/>
            </w:pPr>
            <w:r>
              <w:rPr>
                <w:sz w:val="14"/>
              </w:rPr>
              <w:t>Compromised account</w:t>
            </w:r>
          </w:p>
        </w:tc>
        <w:tc>
          <w:tcPr>
            <w:tcW w:type="dxa" w:w="3360"/>
            <w:vAlign w:val="center"/>
          </w:tcPr>
          <w:p>
            <w:pPr>
              <w:spacing w:after="20"/>
            </w:pPr>
            <w:r>
              <w:rPr>
                <w:sz w:val="14"/>
              </w:rPr>
              <w:t>Disable/restrict account; revoke sessions/tokens; reset credentials from a clean device; enforce MFA; inspect privileged changes.</w:t>
            </w:r>
          </w:p>
        </w:tc>
        <w:tc>
          <w:tcPr>
            <w:tcW w:type="dxa" w:w="3360"/>
            <w:vAlign w:val="center"/>
          </w:tcPr>
          <w:p>
            <w:pPr>
              <w:spacing w:after="20"/>
            </w:pPr>
            <w:r>
              <w:rPr>
                <w:sz w:val="14"/>
              </w:rPr>
              <w:t>Check service accounts, delegated access, API keys and recovery methods.</w:t>
            </w:r>
          </w:p>
        </w:tc>
      </w:tr>
      <w:tr>
        <w:tc>
          <w:tcPr>
            <w:tcW w:type="dxa" w:w="3360"/>
            <w:vAlign w:val="center"/>
            <w:shd w:fill="F0F4F8"/>
          </w:tcPr>
          <w:p>
            <w:pPr>
              <w:spacing w:after="20"/>
            </w:pPr>
            <w:r>
              <w:rPr>
                <w:sz w:val="14"/>
              </w:rPr>
              <w:t>Malware / ransomware</w:t>
            </w:r>
          </w:p>
        </w:tc>
        <w:tc>
          <w:tcPr>
            <w:tcW w:type="dxa" w:w="3360"/>
            <w:vAlign w:val="center"/>
            <w:shd w:fill="F0F4F8"/>
          </w:tcPr>
          <w:p>
            <w:pPr>
              <w:spacing w:after="20"/>
            </w:pPr>
            <w:r>
              <w:rPr>
                <w:sz w:val="14"/>
              </w:rPr>
              <w:t>Isolate hosts; disable compromised remote access; block verified indicators; protect backup infrastructure.</w:t>
            </w:r>
          </w:p>
        </w:tc>
        <w:tc>
          <w:tcPr>
            <w:tcW w:type="dxa" w:w="3360"/>
            <w:vAlign w:val="center"/>
            <w:shd w:fill="F0F4F8"/>
          </w:tcPr>
          <w:p>
            <w:pPr>
              <w:spacing w:after="20"/>
            </w:pPr>
            <w:r>
              <w:rPr>
                <w:sz w:val="14"/>
              </w:rPr>
              <w:t>Do not wipe before evidence needs are assessed; keep unverified backups offline.</w:t>
            </w:r>
          </w:p>
        </w:tc>
      </w:tr>
      <w:tr>
        <w:tc>
          <w:tcPr>
            <w:tcW w:type="dxa" w:w="3360"/>
            <w:vAlign w:val="center"/>
          </w:tcPr>
          <w:p>
            <w:pPr>
              <w:spacing w:after="20"/>
            </w:pPr>
            <w:r>
              <w:rPr>
                <w:sz w:val="14"/>
              </w:rPr>
              <w:t>Web/API exploitation</w:t>
            </w:r>
          </w:p>
        </w:tc>
        <w:tc>
          <w:tcPr>
            <w:tcW w:type="dxa" w:w="3360"/>
            <w:vAlign w:val="center"/>
          </w:tcPr>
          <w:p>
            <w:pPr>
              <w:spacing w:after="20"/>
            </w:pPr>
            <w:r>
              <w:rPr>
                <w:sz w:val="14"/>
              </w:rPr>
              <w:t>Apply WAF/rate limits; disable vulnerable feature/endpoint; restrict admin routes; isolate component if needed.</w:t>
            </w:r>
          </w:p>
        </w:tc>
        <w:tc>
          <w:tcPr>
            <w:tcW w:type="dxa" w:w="3360"/>
            <w:vAlign w:val="center"/>
          </w:tcPr>
          <w:p>
            <w:pPr>
              <w:spacing w:after="20"/>
            </w:pPr>
            <w:r>
              <w:rPr>
                <w:sz w:val="14"/>
              </w:rPr>
              <w:t>Preserve application/access logs; provide safe alternative citizen-service route.</w:t>
            </w:r>
          </w:p>
        </w:tc>
      </w:tr>
      <w:tr>
        <w:tc>
          <w:tcPr>
            <w:tcW w:type="dxa" w:w="3360"/>
            <w:vAlign w:val="center"/>
            <w:shd w:fill="F0F4F8"/>
          </w:tcPr>
          <w:p>
            <w:pPr>
              <w:spacing w:after="20"/>
            </w:pPr>
            <w:r>
              <w:rPr>
                <w:sz w:val="14"/>
              </w:rPr>
              <w:t>Data exfiltration</w:t>
            </w:r>
          </w:p>
        </w:tc>
        <w:tc>
          <w:tcPr>
            <w:tcW w:type="dxa" w:w="3360"/>
            <w:vAlign w:val="center"/>
            <w:shd w:fill="F0F4F8"/>
          </w:tcPr>
          <w:p>
            <w:pPr>
              <w:spacing w:after="20"/>
            </w:pPr>
            <w:r>
              <w:rPr>
                <w:sz w:val="14"/>
              </w:rPr>
              <w:t>Restrict outbound traffic and suspicious accounts; pause risky exports/integrations; protect storage and keys.</w:t>
            </w:r>
          </w:p>
        </w:tc>
        <w:tc>
          <w:tcPr>
            <w:tcW w:type="dxa" w:w="3360"/>
            <w:vAlign w:val="center"/>
            <w:shd w:fill="F0F4F8"/>
          </w:tcPr>
          <w:p>
            <w:pPr>
              <w:spacing w:after="20"/>
            </w:pPr>
            <w:r>
              <w:rPr>
                <w:sz w:val="14"/>
              </w:rPr>
              <w:t>Start privacy/legal assessment immediately; assess impact of blocking on essential service.</w:t>
            </w:r>
          </w:p>
        </w:tc>
      </w:tr>
      <w:tr>
        <w:tc>
          <w:tcPr>
            <w:tcW w:type="dxa" w:w="3360"/>
            <w:vAlign w:val="center"/>
          </w:tcPr>
          <w:p>
            <w:pPr>
              <w:spacing w:after="20"/>
            </w:pPr>
            <w:r>
              <w:rPr>
                <w:sz w:val="14"/>
              </w:rPr>
              <w:t>DDoS / outage</w:t>
            </w:r>
          </w:p>
        </w:tc>
        <w:tc>
          <w:tcPr>
            <w:tcW w:type="dxa" w:w="3360"/>
            <w:vAlign w:val="center"/>
          </w:tcPr>
          <w:p>
            <w:pPr>
              <w:spacing w:after="20"/>
            </w:pPr>
            <w:r>
              <w:rPr>
                <w:sz w:val="14"/>
              </w:rPr>
              <w:t>Engage ISP/CDN/cloud provider; activate DDoS protection; upstream filtering and rate limits; prioritise critical transactions.</w:t>
            </w:r>
          </w:p>
        </w:tc>
        <w:tc>
          <w:tcPr>
            <w:tcW w:type="dxa" w:w="3360"/>
            <w:vAlign w:val="center"/>
          </w:tcPr>
          <w:p>
            <w:pPr>
              <w:spacing w:after="20"/>
            </w:pPr>
            <w:r>
              <w:rPr>
                <w:sz w:val="14"/>
              </w:rPr>
              <w:t>Preserve telemetry; public status messages require approval.</w:t>
            </w:r>
          </w:p>
        </w:tc>
      </w:tr>
      <w:tr>
        <w:tc>
          <w:tcPr>
            <w:tcW w:type="dxa" w:w="3360"/>
            <w:vAlign w:val="center"/>
            <w:shd w:fill="F0F4F8"/>
          </w:tcPr>
          <w:p>
            <w:pPr>
              <w:spacing w:after="20"/>
            </w:pPr>
            <w:r>
              <w:rPr>
                <w:sz w:val="14"/>
              </w:rPr>
              <w:t>Supplier compromise</w:t>
            </w:r>
          </w:p>
        </w:tc>
        <w:tc>
          <w:tcPr>
            <w:tcW w:type="dxa" w:w="3360"/>
            <w:vAlign w:val="center"/>
            <w:shd w:fill="F0F4F8"/>
          </w:tcPr>
          <w:p>
            <w:pPr>
              <w:spacing w:after="20"/>
            </w:pPr>
            <w:r>
              <w:rPr>
                <w:sz w:val="14"/>
              </w:rPr>
              <w:t>Revoke supplier access/tokens; suspend affected integration if safe; request supplier incident ID and evidence.</w:t>
            </w:r>
          </w:p>
        </w:tc>
        <w:tc>
          <w:tcPr>
            <w:tcW w:type="dxa" w:w="3360"/>
            <w:vAlign w:val="center"/>
            <w:shd w:fill="F0F4F8"/>
          </w:tcPr>
          <w:p>
            <w:pPr>
              <w:spacing w:after="20"/>
            </w:pPr>
            <w:r>
              <w:rPr>
                <w:sz w:val="14"/>
              </w:rPr>
              <w:t>Assess other systems accessible to supplier and contractual/legal duties.</w:t>
            </w:r>
          </w:p>
        </w:tc>
      </w:tr>
      <w:tr>
        <w:tc>
          <w:tcPr>
            <w:tcW w:type="dxa" w:w="3360"/>
            <w:vAlign w:val="center"/>
          </w:tcPr>
          <w:p>
            <w:pPr>
              <w:spacing w:after="20"/>
            </w:pPr>
            <w:r>
              <w:rPr>
                <w:sz w:val="14"/>
              </w:rPr>
              <w:t>Cloud control-plane compromise</w:t>
            </w:r>
          </w:p>
        </w:tc>
        <w:tc>
          <w:tcPr>
            <w:tcW w:type="dxa" w:w="3360"/>
            <w:vAlign w:val="center"/>
          </w:tcPr>
          <w:p>
            <w:pPr>
              <w:spacing w:after="20"/>
            </w:pPr>
            <w:r>
              <w:rPr>
                <w:sz w:val="14"/>
              </w:rPr>
              <w:t>Revoke sessions; rotate privileged credentials/keys; restrict control-plane access; preserve audit logs; isolate workloads.</w:t>
            </w:r>
          </w:p>
        </w:tc>
        <w:tc>
          <w:tcPr>
            <w:tcW w:type="dxa" w:w="3360"/>
            <w:vAlign w:val="center"/>
          </w:tcPr>
          <w:p>
            <w:pPr>
              <w:spacing w:after="20"/>
            </w:pPr>
            <w:r>
              <w:rPr>
                <w:sz w:val="14"/>
              </w:rPr>
              <w:t>Preserve snapshots/audit trails before destroying cloud resources.</w:t>
            </w:r>
          </w:p>
        </w:tc>
      </w:tr>
    </w:tbl>
    <w:p/>
    <w:p>
      <w:pPr>
        <w:pStyle w:val="Heading2"/>
      </w:pPr>
      <w:r>
        <w:t>Containment approval and verification</w:t>
      </w:r>
    </w:p>
    <w:p>
      <w:pPr>
        <w:pStyle w:val="ListBullet"/>
        <w:spacing w:after="40"/>
      </w:pPr>
      <w:r>
        <w:t>Document objective, affected assets, expected side effects, rollback, approver, executor and verification test before major changes.</w:t>
      </w:r>
    </w:p>
    <w:p>
      <w:pPr>
        <w:pStyle w:val="ListBullet"/>
        <w:spacing w:after="40"/>
      </w:pPr>
      <w:r>
        <w:t>Use time-boxed actions where possible; review whether action is effective and can safely be narrowed.</w:t>
      </w:r>
    </w:p>
    <w:p>
      <w:pPr>
        <w:pStyle w:val="ListBullet"/>
        <w:spacing w:after="40"/>
      </w:pPr>
      <w:r>
        <w:t>Verify with independent telemetry: alerts, authentication activity, network connections, new processes, access logs, and service-owner reports.</w:t>
      </w:r>
    </w:p>
    <w:p>
      <w:pPr>
        <w:pStyle w:val="ListBullet"/>
        <w:spacing w:after="40"/>
      </w:pPr>
      <w:r>
        <w:t>If activity continues, re-scope, raise severity when justified, and repeat containment with a broader boundary.</w:t>
      </w:r>
    </w:p>
    <w:p>
      <w:pPr>
        <w:pStyle w:val="Heading1"/>
      </w:pPr>
      <w:r>
        <w:t>8. Eradication and Root-Cause Analysis</w:t>
      </w:r>
    </w:p>
    <w:p>
      <w:r>
        <w:t>Eradication starts after the team has a defensible understanding of scope and has constrained ongoing harm. Patching alone is insufficient if credentials, persistence, or alternate access paths remain.</w:t>
      </w:r>
    </w:p>
    <w:p>
      <w:pPr>
        <w:pStyle w:val="ListNumber"/>
        <w:spacing w:after="40"/>
      </w:pPr>
      <w:r>
        <w:t>Identify initial access and contributing weaknesses using logs, endpoint/network telemetry, configuration history, vulnerability evidence, and supplier information.</w:t>
      </w:r>
    </w:p>
    <w:p>
      <w:pPr>
        <w:pStyle w:val="ListNumber"/>
        <w:spacing w:after="40"/>
      </w:pPr>
      <w:r>
        <w:t>Remove malicious accounts, scheduled tasks, services, web shells, unauthorised rules, backdoors, and persistence using controlled procedures.</w:t>
      </w:r>
    </w:p>
    <w:p>
      <w:pPr>
        <w:pStyle w:val="ListNumber"/>
        <w:spacing w:after="40"/>
      </w:pPr>
      <w:r>
        <w:t>Patch or mitigate the exploited vulnerability; harden configuration; close exposed ports/routes; correct access-control flaws; remove unsafe secrets from code and repositories.</w:t>
      </w:r>
    </w:p>
    <w:p>
      <w:pPr>
        <w:pStyle w:val="ListNumber"/>
        <w:spacing w:after="40"/>
      </w:pPr>
      <w:r>
        <w:t>Rotate credentials, API keys, signing keys, certificates and tokens that may be exposed. Do this from clean administrative systems and invalidate old sessions.</w:t>
      </w:r>
    </w:p>
    <w:p>
      <w:pPr>
        <w:pStyle w:val="ListNumber"/>
        <w:spacing w:after="40"/>
      </w:pPr>
      <w:r>
        <w:t>Rebuild from trusted images when integrity cannot be established; validate image source, deployment pipeline, dependencies and configuration.</w:t>
      </w:r>
    </w:p>
    <w:p>
      <w:pPr>
        <w:pStyle w:val="ListNumber"/>
        <w:spacing w:after="40"/>
      </w:pPr>
      <w:r>
        <w:t>Search for the same indicators and behaviours across connected services, backups, supplier access and related agencies where relevant.</w:t>
      </w:r>
    </w:p>
    <w:p>
      <w:pPr>
        <w:pStyle w:val="ListNumber"/>
        <w:spacing w:after="40"/>
      </w:pPr>
      <w:r>
        <w:t>Record root cause, attack path, affected control, evidence, uncertainty and remaining risk.</w:t>
      </w:r>
    </w:p>
    <w:p>
      <w:pPr>
        <w:pStyle w:val="Heading2"/>
      </w:pPr>
      <w:r>
        <w:t>Eradication exit criteria</w:t>
      </w:r>
    </w:p>
    <w:p>
      <w:r>
        <w:t>No known attacker access or persistence remains; compromised credentials and tokens are revoked or rotated; the root cause is fixed or mitigated; threat hunting is complete; and the IC/security lead approve progression. If certainty is not possible, document residual risk and use heightened monitoring and compensating controls.</w:t>
      </w:r>
    </w:p>
    <w:p>
      <w:pPr>
        <w:pStyle w:val="Heading1"/>
      </w:pPr>
      <w:r>
        <w:t>9. Recovery and Service Restoration</w:t>
      </w:r>
    </w:p>
    <w:p>
      <w:pPr>
        <w:pStyle w:val="Heading2"/>
      </w:pPr>
      <w:r>
        <w:t>Recovery sequence</w:t>
      </w:r>
    </w:p>
    <w:p>
      <w:pPr>
        <w:pStyle w:val="ListNumber"/>
        <w:spacing w:after="40"/>
      </w:pPr>
      <w:r>
        <w:t>Prioritise recovery with business owners using citizen impact, criticality, dependencies and approved RTO/RPO targets.</w:t>
      </w:r>
    </w:p>
    <w:p>
      <w:pPr>
        <w:pStyle w:val="ListNumber"/>
        <w:spacing w:after="40"/>
      </w:pPr>
      <w:r>
        <w:t>Choose a known-good recovery point; verify backup age, integrity, access controls, malware status and separation from compromised administration.</w:t>
      </w:r>
    </w:p>
    <w:p>
      <w:pPr>
        <w:pStyle w:val="ListNumber"/>
        <w:spacing w:after="40"/>
      </w:pPr>
      <w:r>
        <w:t>Restore in a controlled environment; patch and harden before exposure; rotate secrets and validate integrations.</w:t>
      </w:r>
    </w:p>
    <w:p>
      <w:pPr>
        <w:pStyle w:val="ListNumber"/>
        <w:spacing w:after="40"/>
      </w:pPr>
      <w:r>
        <w:t>Run security checks: vulnerability/configuration review, endpoint scans, access-control tests, data-integrity reconciliation and targeted threat hunting.</w:t>
      </w:r>
    </w:p>
    <w:p>
      <w:pPr>
        <w:pStyle w:val="ListNumber"/>
        <w:spacing w:after="40"/>
      </w:pPr>
      <w:r>
        <w:t>Test key citizen journeys: authentication, submissions, payments/benefits, notifications, audit trails and accessibility where relevant.</w:t>
      </w:r>
    </w:p>
    <w:p>
      <w:pPr>
        <w:pStyle w:val="ListNumber"/>
        <w:spacing w:after="40"/>
      </w:pPr>
      <w:r>
        <w:t>Return traffic in stages where feasible; monitor errors, authentication anomalies, data integrity and security alerts.</w:t>
      </w:r>
    </w:p>
    <w:p>
      <w:pPr>
        <w:pStyle w:val="ListNumber"/>
        <w:spacing w:after="40"/>
      </w:pPr>
      <w:r>
        <w:t>Obtain security and service-owner approval; publish authorised status updates; retain alternative service routes until stability criteria are met.</w:t>
      </w:r>
    </w:p>
    <w:p>
      <w:pPr>
        <w:pStyle w:val="ListNumber"/>
        <w:spacing w:after="40"/>
      </w:pPr>
      <w:r>
        <w:t>Maintain enhanced monitoring for a risk-based period (for example, 72 hours after a high-severity event, adjusted to threat and system). Exit only with approval.</w:t>
      </w:r>
    </w:p>
    <w:p>
      <w:pPr>
        <w:pStyle w:val="Heading2"/>
      </w:pPr>
      <w:r>
        <w:t>Recovery safeguards</w:t>
      </w:r>
    </w:p>
    <w:p>
      <w:pPr>
        <w:pStyle w:val="ListBullet"/>
        <w:spacing w:after="40"/>
      </w:pPr>
      <w:r>
        <w:t>Never restore a known-compromised image or backup without investigation and validation.</w:t>
      </w:r>
    </w:p>
    <w:p>
      <w:pPr>
        <w:pStyle w:val="ListBullet"/>
        <w:spacing w:after="40"/>
      </w:pPr>
      <w:r>
        <w:t>Verify database integrity, transaction counts, duplicate/altered records, audit trails and reconciliation with trusted sources.</w:t>
      </w:r>
    </w:p>
    <w:p>
      <w:pPr>
        <w:pStyle w:val="ListBullet"/>
        <w:spacing w:after="40"/>
      </w:pPr>
      <w:r>
        <w:t>Protect backups with separate credentials, MFA, immutable/offline copies where feasible, and tested restore procedures.</w:t>
      </w:r>
    </w:p>
    <w:p>
      <w:pPr>
        <w:pStyle w:val="ListBullet"/>
        <w:spacing w:after="40"/>
      </w:pPr>
      <w:r>
        <w:t>If data loss or modification is suspected, preserve affected records and reconcile with the system of record before declaring service restored.</w:t>
      </w:r>
    </w:p>
    <w:p>
      <w:pPr>
        <w:pStyle w:val="ListBullet"/>
        <w:spacing w:after="40"/>
      </w:pPr>
      <w:r>
        <w:t>If RTO/RPO cannot be met, notify leadership and invoke approved manual or alternate-service procedures.</w:t>
      </w:r>
    </w:p>
    <w:p>
      <w:pPr>
        <w:pStyle w:val="Heading2"/>
      </w:pPr>
      <w:r>
        <w:t>Recovery completion checklist</w:t>
      </w:r>
    </w:p>
    <w:p>
      <w:pPr>
        <w:pStyle w:val="ListBullet"/>
        <w:spacing w:after="40"/>
      </w:pPr>
      <w:r>
        <w:t>☐ Root cause fixed or compensating controls documented.</w:t>
      </w:r>
    </w:p>
    <w:p>
      <w:pPr>
        <w:pStyle w:val="ListBullet"/>
        <w:spacing w:after="40"/>
      </w:pPr>
      <w:r>
        <w:t>☐ Compromised access revoked and privileged access reviewed.</w:t>
      </w:r>
    </w:p>
    <w:p>
      <w:pPr>
        <w:pStyle w:val="ListBullet"/>
        <w:spacing w:after="40"/>
      </w:pPr>
      <w:r>
        <w:t>☐ Restored data/transactions reconciled and integrity checks passed.</w:t>
      </w:r>
    </w:p>
    <w:p>
      <w:pPr>
        <w:pStyle w:val="ListBullet"/>
        <w:spacing w:after="40"/>
      </w:pPr>
      <w:r>
        <w:t>☐ Security monitoring and log retention enabled.</w:t>
      </w:r>
    </w:p>
    <w:p>
      <w:pPr>
        <w:pStyle w:val="ListBullet"/>
        <w:spacing w:after="40"/>
      </w:pPr>
      <w:r>
        <w:t>☐ Business owner tested critical workflows and accepted service.</w:t>
      </w:r>
    </w:p>
    <w:p>
      <w:pPr>
        <w:pStyle w:val="ListBullet"/>
        <w:spacing w:after="40"/>
      </w:pPr>
      <w:r>
        <w:t>☐ Residual risks, rollback plan, on-call owner and monitoring period recorded.</w:t>
      </w:r>
    </w:p>
    <w:p>
      <w:pPr>
        <w:pStyle w:val="Heading1"/>
      </w:pPr>
      <w:r>
        <w:t>10. Communication and Reporting Protocols</w:t>
      </w:r>
    </w:p>
    <w:p>
      <w:r>
        <w:t>Communications must be timely, factual, coordinated, accessible, and limited to what each audience needs. The incident record is the source of truth. Do not speculate about attribution, exact record counts, or root cause before evidence supports it.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4"/>
              </w:rPr>
              <w:t>Audience</w:t>
            </w:r>
          </w:p>
        </w:tc>
        <w:tc>
          <w:tcPr>
            <w:tcW w:type="dxa" w:w="3360"/>
            <w:shd w:fill="183755"/>
          </w:tcPr>
          <w:p>
            <w:r>
              <w:rPr>
                <w:b/>
                <w:color w:val="FFFFFF"/>
                <w:sz w:val="14"/>
              </w:rPr>
              <w:t>Trigger</w:t>
            </w:r>
          </w:p>
        </w:tc>
        <w:tc>
          <w:tcPr>
            <w:tcW w:type="dxa" w:w="3360"/>
            <w:shd w:fill="183755"/>
          </w:tcPr>
          <w:p>
            <w:r>
              <w:rPr>
                <w:b/>
                <w:color w:val="FFFFFF"/>
                <w:sz w:val="14"/>
              </w:rPr>
              <w:t>Owner and content</w:t>
            </w:r>
          </w:p>
        </w:tc>
      </w:tr>
      <w:tr>
        <w:tc>
          <w:tcPr>
            <w:tcW w:type="dxa" w:w="3360"/>
            <w:vAlign w:val="center"/>
          </w:tcPr>
          <w:p>
            <w:pPr>
              <w:spacing w:after="20"/>
            </w:pPr>
            <w:r>
              <w:rPr>
                <w:sz w:val="14"/>
              </w:rPr>
              <w:t>Security / IT on-call</w:t>
            </w:r>
          </w:p>
        </w:tc>
        <w:tc>
          <w:tcPr>
            <w:tcW w:type="dxa" w:w="3360"/>
            <w:vAlign w:val="center"/>
          </w:tcPr>
          <w:p>
            <w:pPr>
              <w:spacing w:after="20"/>
            </w:pPr>
            <w:r>
              <w:rPr>
                <w:sz w:val="14"/>
              </w:rPr>
              <w:t>Immediately on suspicion</w:t>
            </w:r>
          </w:p>
        </w:tc>
        <w:tc>
          <w:tcPr>
            <w:tcW w:type="dxa" w:w="3360"/>
            <w:vAlign w:val="center"/>
          </w:tcPr>
          <w:p>
            <w:pPr>
              <w:spacing w:after="20"/>
            </w:pPr>
            <w:r>
              <w:rPr>
                <w:sz w:val="14"/>
              </w:rPr>
              <w:t>Reporter gives observed facts, service, time, evidence/alert and safe callback.</w:t>
            </w:r>
          </w:p>
        </w:tc>
      </w:tr>
      <w:tr>
        <w:tc>
          <w:tcPr>
            <w:tcW w:type="dxa" w:w="3360"/>
            <w:vAlign w:val="center"/>
            <w:shd w:fill="F0F4F8"/>
          </w:tcPr>
          <w:p>
            <w:pPr>
              <w:spacing w:after="20"/>
            </w:pPr>
            <w:r>
              <w:rPr>
                <w:sz w:val="14"/>
              </w:rPr>
              <w:t>IC / service owner</w:t>
            </w:r>
          </w:p>
        </w:tc>
        <w:tc>
          <w:tcPr>
            <w:tcW w:type="dxa" w:w="3360"/>
            <w:vAlign w:val="center"/>
            <w:shd w:fill="F0F4F8"/>
          </w:tcPr>
          <w:p>
            <w:pPr>
              <w:spacing w:after="20"/>
            </w:pPr>
            <w:r>
              <w:rPr>
                <w:sz w:val="14"/>
              </w:rPr>
              <w:t>Validation or severity threshold</w:t>
            </w:r>
          </w:p>
        </w:tc>
        <w:tc>
          <w:tcPr>
            <w:tcW w:type="dxa" w:w="3360"/>
            <w:vAlign w:val="center"/>
            <w:shd w:fill="F0F4F8"/>
          </w:tcPr>
          <w:p>
            <w:pPr>
              <w:spacing w:after="20"/>
            </w:pPr>
            <w:r>
              <w:rPr>
                <w:sz w:val="14"/>
              </w:rPr>
              <w:t>Security lead provides severity, scope, risk, options, decisions and next update.</w:t>
            </w:r>
          </w:p>
        </w:tc>
      </w:tr>
      <w:tr>
        <w:tc>
          <w:tcPr>
            <w:tcW w:type="dxa" w:w="3360"/>
            <w:vAlign w:val="center"/>
          </w:tcPr>
          <w:p>
            <w:pPr>
              <w:spacing w:after="20"/>
            </w:pPr>
            <w:r>
              <w:rPr>
                <w:sz w:val="14"/>
              </w:rPr>
              <w:t>Executive / crisis lead</w:t>
            </w:r>
          </w:p>
        </w:tc>
        <w:tc>
          <w:tcPr>
            <w:tcW w:type="dxa" w:w="3360"/>
            <w:vAlign w:val="center"/>
          </w:tcPr>
          <w:p>
            <w:pPr>
              <w:spacing w:after="20"/>
            </w:pPr>
            <w:r>
              <w:rPr>
                <w:sz w:val="14"/>
              </w:rPr>
              <w:t>SEV-1/SEV-2 or material public impact</w:t>
            </w:r>
          </w:p>
        </w:tc>
        <w:tc>
          <w:tcPr>
            <w:tcW w:type="dxa" w:w="3360"/>
            <w:vAlign w:val="center"/>
          </w:tcPr>
          <w:p>
            <w:pPr>
              <w:spacing w:after="20"/>
            </w:pPr>
            <w:r>
              <w:rPr>
                <w:sz w:val="14"/>
              </w:rPr>
              <w:t>IC summarises citizen impact, affected services, decisions, resources and reporting status.</w:t>
            </w:r>
          </w:p>
        </w:tc>
      </w:tr>
      <w:tr>
        <w:tc>
          <w:tcPr>
            <w:tcW w:type="dxa" w:w="3360"/>
            <w:vAlign w:val="center"/>
            <w:shd w:fill="F0F4F8"/>
          </w:tcPr>
          <w:p>
            <w:pPr>
              <w:spacing w:after="20"/>
            </w:pPr>
            <w:r>
              <w:rPr>
                <w:sz w:val="14"/>
              </w:rPr>
              <w:t>Privacy / legal / compliance</w:t>
            </w:r>
          </w:p>
        </w:tc>
        <w:tc>
          <w:tcPr>
            <w:tcW w:type="dxa" w:w="3360"/>
            <w:vAlign w:val="center"/>
            <w:shd w:fill="F0F4F8"/>
          </w:tcPr>
          <w:p>
            <w:pPr>
              <w:spacing w:after="20"/>
            </w:pPr>
            <w:r>
              <w:rPr>
                <w:sz w:val="14"/>
              </w:rPr>
              <w:t>Personal data, legal hold, regulated data or possible external reporting</w:t>
            </w:r>
          </w:p>
        </w:tc>
        <w:tc>
          <w:tcPr>
            <w:tcW w:type="dxa" w:w="3360"/>
            <w:vAlign w:val="center"/>
            <w:shd w:fill="F0F4F8"/>
          </w:tcPr>
          <w:p>
            <w:pPr>
              <w:spacing w:after="20"/>
            </w:pPr>
            <w:r>
              <w:rPr>
                <w:sz w:val="14"/>
              </w:rPr>
              <w:t>Share categories, systems, timeline, likely exposure and known/unknown facts.</w:t>
            </w:r>
          </w:p>
        </w:tc>
      </w:tr>
      <w:tr>
        <w:tc>
          <w:tcPr>
            <w:tcW w:type="dxa" w:w="3360"/>
            <w:vAlign w:val="center"/>
          </w:tcPr>
          <w:p>
            <w:pPr>
              <w:spacing w:after="20"/>
            </w:pPr>
            <w:r>
              <w:rPr>
                <w:sz w:val="14"/>
              </w:rPr>
              <w:t>CERT-In / CSIRT / regulator / law enforcement</w:t>
            </w:r>
          </w:p>
        </w:tc>
        <w:tc>
          <w:tcPr>
            <w:tcW w:type="dxa" w:w="3360"/>
            <w:vAlign w:val="center"/>
          </w:tcPr>
          <w:p>
            <w:pPr>
              <w:spacing w:after="20"/>
            </w:pPr>
            <w:r>
              <w:rPr>
                <w:sz w:val="14"/>
              </w:rPr>
              <w:t>When applicable under current law, sector rules, contract or policy</w:t>
            </w:r>
          </w:p>
        </w:tc>
        <w:tc>
          <w:tcPr>
            <w:tcW w:type="dxa" w:w="3360"/>
            <w:vAlign w:val="center"/>
          </w:tcPr>
          <w:p>
            <w:pPr>
              <w:spacing w:after="20"/>
            </w:pPr>
            <w:r>
              <w:rPr>
                <w:sz w:val="14"/>
              </w:rPr>
              <w:t>Authorised officer submits with technical/legal input through verified official channel.</w:t>
            </w:r>
          </w:p>
        </w:tc>
      </w:tr>
      <w:tr>
        <w:tc>
          <w:tcPr>
            <w:tcW w:type="dxa" w:w="3360"/>
            <w:vAlign w:val="center"/>
            <w:shd w:fill="F0F4F8"/>
          </w:tcPr>
          <w:p>
            <w:pPr>
              <w:spacing w:after="20"/>
            </w:pPr>
            <w:r>
              <w:rPr>
                <w:sz w:val="14"/>
              </w:rPr>
              <w:t>Supplier / cloud / telecom / payment provider</w:t>
            </w:r>
          </w:p>
        </w:tc>
        <w:tc>
          <w:tcPr>
            <w:tcW w:type="dxa" w:w="3360"/>
            <w:vAlign w:val="center"/>
            <w:shd w:fill="F0F4F8"/>
          </w:tcPr>
          <w:p>
            <w:pPr>
              <w:spacing w:after="20"/>
            </w:pPr>
            <w:r>
              <w:rPr>
                <w:sz w:val="14"/>
              </w:rPr>
              <w:t>Provider service or access implicated</w:t>
            </w:r>
          </w:p>
        </w:tc>
        <w:tc>
          <w:tcPr>
            <w:tcW w:type="dxa" w:w="3360"/>
            <w:vAlign w:val="center"/>
            <w:shd w:fill="F0F4F8"/>
          </w:tcPr>
          <w:p>
            <w:pPr>
              <w:spacing w:after="20"/>
            </w:pPr>
            <w:r>
              <w:rPr>
                <w:sz w:val="14"/>
              </w:rPr>
              <w:t>Technical lead/vendor manager shares incident ID, service, log request and containment needs.</w:t>
            </w:r>
          </w:p>
        </w:tc>
      </w:tr>
      <w:tr>
        <w:tc>
          <w:tcPr>
            <w:tcW w:type="dxa" w:w="3360"/>
            <w:vAlign w:val="center"/>
          </w:tcPr>
          <w:p>
            <w:pPr>
              <w:spacing w:after="20"/>
            </w:pPr>
            <w:r>
              <w:rPr>
                <w:sz w:val="14"/>
              </w:rPr>
              <w:t>Citizens / media / public</w:t>
            </w:r>
          </w:p>
        </w:tc>
        <w:tc>
          <w:tcPr>
            <w:tcW w:type="dxa" w:w="3360"/>
            <w:vAlign w:val="center"/>
          </w:tcPr>
          <w:p>
            <w:pPr>
              <w:spacing w:after="20"/>
            </w:pPr>
            <w:r>
              <w:rPr>
                <w:sz w:val="14"/>
              </w:rPr>
              <w:t>When an approved status notice or disclosure is necessary</w:t>
            </w:r>
          </w:p>
        </w:tc>
        <w:tc>
          <w:tcPr>
            <w:tcW w:type="dxa" w:w="3360"/>
            <w:vAlign w:val="center"/>
          </w:tcPr>
          <w:p>
            <w:pPr>
              <w:spacing w:after="20"/>
            </w:pPr>
            <w:r>
              <w:rPr>
                <w:sz w:val="14"/>
              </w:rPr>
              <w:t>Authorised spokesperson shares verified facts, affected service, safe actions and support route.</w:t>
            </w:r>
          </w:p>
        </w:tc>
      </w:tr>
      <w:tr>
        <w:tc>
          <w:tcPr>
            <w:tcW w:type="dxa" w:w="3360"/>
            <w:vAlign w:val="center"/>
            <w:shd w:fill="F0F4F8"/>
          </w:tcPr>
          <w:p>
            <w:pPr>
              <w:spacing w:after="20"/>
            </w:pPr>
            <w:r>
              <w:rPr>
                <w:sz w:val="14"/>
              </w:rPr>
              <w:t>Help desk / frontline staff</w:t>
            </w:r>
          </w:p>
        </w:tc>
        <w:tc>
          <w:tcPr>
            <w:tcW w:type="dxa" w:w="3360"/>
            <w:vAlign w:val="center"/>
            <w:shd w:fill="F0F4F8"/>
          </w:tcPr>
          <w:p>
            <w:pPr>
              <w:spacing w:after="20"/>
            </w:pPr>
            <w:r>
              <w:rPr>
                <w:sz w:val="14"/>
              </w:rPr>
              <w:t>When workarounds or citizen support are needed</w:t>
            </w:r>
          </w:p>
        </w:tc>
        <w:tc>
          <w:tcPr>
            <w:tcW w:type="dxa" w:w="3360"/>
            <w:vAlign w:val="center"/>
            <w:shd w:fill="F0F4F8"/>
          </w:tcPr>
          <w:p>
            <w:pPr>
              <w:spacing w:after="20"/>
            </w:pPr>
            <w:r>
              <w:rPr>
                <w:sz w:val="14"/>
              </w:rPr>
              <w:t>Service owner provides approved script, escalation path and update schedule.</w:t>
            </w:r>
          </w:p>
        </w:tc>
      </w:tr>
    </w:tbl>
    <w:p/>
    <w:p>
      <w:pPr>
        <w:pStyle w:val="Heading2"/>
      </w:pPr>
      <w:r>
        <w:t>Communication cadence</w:t>
      </w:r>
    </w:p>
    <w:p>
      <w:pPr>
        <w:pStyle w:val="ListBullet"/>
        <w:spacing w:after="40"/>
      </w:pPr>
      <w:r>
        <w:t>SEV-1: secure bridge immediately; update IC every 30–60 minutes or on material change.</w:t>
      </w:r>
    </w:p>
    <w:p>
      <w:pPr>
        <w:pStyle w:val="ListBullet"/>
        <w:spacing w:after="40"/>
      </w:pPr>
      <w:r>
        <w:t>SEV-2: initial brief as soon as practical; update at least every two hours or when impact changes materially.</w:t>
      </w:r>
    </w:p>
    <w:p>
      <w:pPr>
        <w:pStyle w:val="ListBullet"/>
        <w:spacing w:after="40"/>
      </w:pPr>
      <w:r>
        <w:t>SEV-3/4: IC sets and records cadence based on risk.</w:t>
      </w:r>
    </w:p>
    <w:p>
      <w:pPr>
        <w:pStyle w:val="ListBullet"/>
        <w:spacing w:after="40"/>
      </w:pPr>
      <w:r>
        <w:t>If a channel may be compromised, switch to verified out-of-band communication. Do not share sensitive detail in public or unapproved groups.</w:t>
      </w:r>
    </w:p>
    <w:p>
      <w:pPr>
        <w:pStyle w:val="Heading2"/>
      </w:pPr>
      <w:r>
        <w:t>Situation report template</w:t>
      </w:r>
    </w:p>
    <w:tbl>
      <w:tblPr>
        <w:tblStyle w:val="TableGrid"/>
        <w:tblW w:type="auto" w:w="0"/>
        <w:jc w:val="center"/>
        <w:tblLook w:firstColumn="1" w:firstRow="1" w:lastColumn="0" w:lastRow="0" w:noHBand="0" w:noVBand="1" w:val="04A0"/>
      </w:tblPr>
      <w:tblGrid>
        <w:gridCol w:w="5040"/>
        <w:gridCol w:w="5040"/>
      </w:tblGrid>
      <w:tr>
        <w:tc>
          <w:tcPr>
            <w:tcW w:type="dxa" w:w="5040"/>
            <w:shd w:fill="183755"/>
          </w:tcPr>
          <w:p>
            <w:r>
              <w:rPr>
                <w:b/>
                <w:color w:val="FFFFFF"/>
                <w:sz w:val="16"/>
              </w:rPr>
              <w:t>Field</w:t>
            </w:r>
          </w:p>
        </w:tc>
        <w:tc>
          <w:tcPr>
            <w:tcW w:type="dxa" w:w="5040"/>
            <w:shd w:fill="183755"/>
          </w:tcPr>
          <w:p>
            <w:r>
              <w:rPr>
                <w:b/>
                <w:color w:val="FFFFFF"/>
                <w:sz w:val="16"/>
              </w:rPr>
              <w:t>Required content</w:t>
            </w:r>
          </w:p>
        </w:tc>
      </w:tr>
      <w:tr>
        <w:tc>
          <w:tcPr>
            <w:tcW w:type="dxa" w:w="5040"/>
            <w:vAlign w:val="center"/>
          </w:tcPr>
          <w:p>
            <w:pPr>
              <w:spacing w:after="20"/>
            </w:pPr>
            <w:r>
              <w:rPr>
                <w:sz w:val="16"/>
              </w:rPr>
              <w:t>Incident ID / time</w:t>
            </w:r>
          </w:p>
        </w:tc>
        <w:tc>
          <w:tcPr>
            <w:tcW w:type="dxa" w:w="5040"/>
            <w:vAlign w:val="center"/>
          </w:tcPr>
          <w:p>
            <w:pPr>
              <w:spacing w:after="20"/>
            </w:pPr>
            <w:r>
              <w:rPr>
                <w:sz w:val="16"/>
              </w:rPr>
              <w:t>Unique ID, report timestamp with timezone and version.</w:t>
            </w:r>
          </w:p>
        </w:tc>
      </w:tr>
      <w:tr>
        <w:tc>
          <w:tcPr>
            <w:tcW w:type="dxa" w:w="5040"/>
            <w:vAlign w:val="center"/>
            <w:shd w:fill="F0F4F8"/>
          </w:tcPr>
          <w:p>
            <w:pPr>
              <w:spacing w:after="20"/>
            </w:pPr>
            <w:r>
              <w:rPr>
                <w:sz w:val="16"/>
              </w:rPr>
              <w:t>Status / severity</w:t>
            </w:r>
          </w:p>
        </w:tc>
        <w:tc>
          <w:tcPr>
            <w:tcW w:type="dxa" w:w="5040"/>
            <w:vAlign w:val="center"/>
            <w:shd w:fill="F0F4F8"/>
          </w:tcPr>
          <w:p>
            <w:pPr>
              <w:spacing w:after="20"/>
            </w:pPr>
            <w:r>
              <w:rPr>
                <w:sz w:val="16"/>
              </w:rPr>
              <w:t>Suspected, confirmed, contained, eradication, recovery or closed; rationale.</w:t>
            </w:r>
          </w:p>
        </w:tc>
      </w:tr>
      <w:tr>
        <w:tc>
          <w:tcPr>
            <w:tcW w:type="dxa" w:w="5040"/>
            <w:vAlign w:val="center"/>
          </w:tcPr>
          <w:p>
            <w:pPr>
              <w:spacing w:after="20"/>
            </w:pPr>
            <w:r>
              <w:rPr>
                <w:sz w:val="16"/>
              </w:rPr>
              <w:t>What happened</w:t>
            </w:r>
          </w:p>
        </w:tc>
        <w:tc>
          <w:tcPr>
            <w:tcW w:type="dxa" w:w="5040"/>
            <w:vAlign w:val="center"/>
          </w:tcPr>
          <w:p>
            <w:pPr>
              <w:spacing w:after="20"/>
            </w:pPr>
            <w:r>
              <w:rPr>
                <w:sz w:val="16"/>
              </w:rPr>
              <w:t>Confirmed facts; clearly label hypotheses.</w:t>
            </w:r>
          </w:p>
        </w:tc>
      </w:tr>
      <w:tr>
        <w:tc>
          <w:tcPr>
            <w:tcW w:type="dxa" w:w="5040"/>
            <w:vAlign w:val="center"/>
            <w:shd w:fill="F0F4F8"/>
          </w:tcPr>
          <w:p>
            <w:pPr>
              <w:spacing w:after="20"/>
            </w:pPr>
            <w:r>
              <w:rPr>
                <w:sz w:val="16"/>
              </w:rPr>
              <w:t>Impact</w:t>
            </w:r>
          </w:p>
        </w:tc>
        <w:tc>
          <w:tcPr>
            <w:tcW w:type="dxa" w:w="5040"/>
            <w:vAlign w:val="center"/>
            <w:shd w:fill="F0F4F8"/>
          </w:tcPr>
          <w:p>
            <w:pPr>
              <w:spacing w:after="20"/>
            </w:pPr>
            <w:r>
              <w:rPr>
                <w:sz w:val="16"/>
              </w:rPr>
              <w:t>Service/agency, citizen impact, availability, data categories and transactions; mark unknowns.</w:t>
            </w:r>
          </w:p>
        </w:tc>
      </w:tr>
      <w:tr>
        <w:tc>
          <w:tcPr>
            <w:tcW w:type="dxa" w:w="5040"/>
            <w:vAlign w:val="center"/>
          </w:tcPr>
          <w:p>
            <w:pPr>
              <w:spacing w:after="20"/>
            </w:pPr>
            <w:r>
              <w:rPr>
                <w:sz w:val="16"/>
              </w:rPr>
              <w:t>Actions / next actions</w:t>
            </w:r>
          </w:p>
        </w:tc>
        <w:tc>
          <w:tcPr>
            <w:tcW w:type="dxa" w:w="5040"/>
            <w:vAlign w:val="center"/>
          </w:tcPr>
          <w:p>
            <w:pPr>
              <w:spacing w:after="20"/>
            </w:pPr>
            <w:r>
              <w:rPr>
                <w:sz w:val="16"/>
              </w:rPr>
              <w:t>Action, owner, result, due time and dependency.</w:t>
            </w:r>
          </w:p>
        </w:tc>
      </w:tr>
      <w:tr>
        <w:tc>
          <w:tcPr>
            <w:tcW w:type="dxa" w:w="5040"/>
            <w:vAlign w:val="center"/>
            <w:shd w:fill="F0F4F8"/>
          </w:tcPr>
          <w:p>
            <w:pPr>
              <w:spacing w:after="20"/>
            </w:pPr>
            <w:r>
              <w:rPr>
                <w:sz w:val="16"/>
              </w:rPr>
              <w:t>Decisions needed</w:t>
            </w:r>
          </w:p>
        </w:tc>
        <w:tc>
          <w:tcPr>
            <w:tcW w:type="dxa" w:w="5040"/>
            <w:vAlign w:val="center"/>
            <w:shd w:fill="F0F4F8"/>
          </w:tcPr>
          <w:p>
            <w:pPr>
              <w:spacing w:after="20"/>
            </w:pPr>
            <w:r>
              <w:rPr>
                <w:sz w:val="16"/>
              </w:rPr>
              <w:t>Options, trade-offs, recommendation, approver and deadline.</w:t>
            </w:r>
          </w:p>
        </w:tc>
      </w:tr>
      <w:tr>
        <w:tc>
          <w:tcPr>
            <w:tcW w:type="dxa" w:w="5040"/>
            <w:vAlign w:val="center"/>
          </w:tcPr>
          <w:p>
            <w:pPr>
              <w:spacing w:after="20"/>
            </w:pPr>
            <w:r>
              <w:rPr>
                <w:sz w:val="16"/>
              </w:rPr>
              <w:t>Reporting / communications</w:t>
            </w:r>
          </w:p>
        </w:tc>
        <w:tc>
          <w:tcPr>
            <w:tcW w:type="dxa" w:w="5040"/>
            <w:vAlign w:val="center"/>
          </w:tcPr>
          <w:p>
            <w:pPr>
              <w:spacing w:after="20"/>
            </w:pPr>
            <w:r>
              <w:rPr>
                <w:sz w:val="16"/>
              </w:rPr>
              <w:t>Contacts, reference IDs, deadlines and public statement status.</w:t>
            </w:r>
          </w:p>
        </w:tc>
      </w:tr>
      <w:tr>
        <w:tc>
          <w:tcPr>
            <w:tcW w:type="dxa" w:w="5040"/>
            <w:vAlign w:val="center"/>
            <w:shd w:fill="F0F4F8"/>
          </w:tcPr>
          <w:p>
            <w:pPr>
              <w:spacing w:after="20"/>
            </w:pPr>
            <w:r>
              <w:rPr>
                <w:sz w:val="16"/>
              </w:rPr>
              <w:t>Next update</w:t>
            </w:r>
          </w:p>
        </w:tc>
        <w:tc>
          <w:tcPr>
            <w:tcW w:type="dxa" w:w="5040"/>
            <w:vAlign w:val="center"/>
            <w:shd w:fill="F0F4F8"/>
          </w:tcPr>
          <w:p>
            <w:pPr>
              <w:spacing w:after="20"/>
            </w:pPr>
            <w:r>
              <w:rPr>
                <w:sz w:val="16"/>
              </w:rPr>
              <w:t>Time, owner and channel.</w:t>
            </w:r>
          </w:p>
        </w:tc>
      </w:tr>
    </w:tbl>
    <w:p/>
    <w:p>
      <w:pPr>
        <w:pStyle w:val="Heading2"/>
      </w:pPr>
      <w:r>
        <w:t>10.1 Regulatory and external reporting</w:t>
      </w:r>
    </w:p>
    <w:p>
      <w:r>
        <w:t>For an Indian organisation, legal/security/compliance staff should assess the Information Technology Act, 2000; current CERT-In Directions under section 70B; sector-specific directions; contractual duties; and applicable personal-data protection law and rules. CERT-In's Directions dated 28 April 2022 specify reporting of listed cyber incidents within six hours of noticing them or being brought to notice. Confirm the current official directions, incident categories, channels, and any amendments at incident time. Do not assume every event has identical reporting obligations.</w:t>
      </w:r>
    </w:p>
    <w:p>
      <w:r>
        <w:t>For personal-data incidents, assess the Digital Personal Data Protection Act, 2023, applicable rules and commencement provisions, plus sectoral/contractual duties. Do not use this educational plan to calculate statutory deadlines. The authorised officer, advised by legal/privacy specialists, must record the legal basis, deadline, content, recipient, submission time, and receipt/reference number. Escalate immediately and follow the relevant rules rather than waiting for the final forensic report.</w:t>
      </w:r>
    </w:p>
    <w:p>
      <w:pPr>
        <w:pStyle w:val="Heading1"/>
      </w:pPr>
      <w:r>
        <w:t>11. Contingency and Special-Scenario Playbooks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4"/>
              </w:rPr>
              <w:t>Scenario</w:t>
            </w:r>
          </w:p>
        </w:tc>
        <w:tc>
          <w:tcPr>
            <w:tcW w:type="dxa" w:w="3360"/>
            <w:shd w:fill="183755"/>
          </w:tcPr>
          <w:p>
            <w:r>
              <w:rPr>
                <w:b/>
                <w:color w:val="FFFFFF"/>
                <w:sz w:val="14"/>
              </w:rPr>
              <w:t>Contingency actions</w:t>
            </w:r>
          </w:p>
        </w:tc>
        <w:tc>
          <w:tcPr>
            <w:tcW w:type="dxa" w:w="3360"/>
            <w:shd w:fill="183755"/>
          </w:tcPr>
          <w:p>
            <w:r>
              <w:rPr>
                <w:b/>
                <w:color w:val="FFFFFF"/>
                <w:sz w:val="14"/>
              </w:rPr>
              <w:t>Recovery / follow-up</w:t>
            </w:r>
          </w:p>
        </w:tc>
      </w:tr>
      <w:tr>
        <w:tc>
          <w:tcPr>
            <w:tcW w:type="dxa" w:w="3360"/>
            <w:vAlign w:val="center"/>
          </w:tcPr>
          <w:p>
            <w:pPr>
              <w:spacing w:after="20"/>
            </w:pPr>
            <w:r>
              <w:rPr>
                <w:sz w:val="14"/>
              </w:rPr>
              <w:t>IC unavailable</w:t>
            </w:r>
          </w:p>
        </w:tc>
        <w:tc>
          <w:tcPr>
            <w:tcW w:type="dxa" w:w="3360"/>
            <w:vAlign w:val="center"/>
          </w:tcPr>
          <w:p>
            <w:pPr>
              <w:spacing w:after="20"/>
            </w:pPr>
            <w:r>
              <w:rPr>
                <w:sz w:val="14"/>
              </w:rPr>
              <w:t>Deputy assumes command; contact executive sponsor; record handover and authority.</w:t>
            </w:r>
          </w:p>
        </w:tc>
        <w:tc>
          <w:tcPr>
            <w:tcW w:type="dxa" w:w="3360"/>
            <w:vAlign w:val="center"/>
          </w:tcPr>
          <w:p>
            <w:pPr>
              <w:spacing w:after="20"/>
            </w:pPr>
            <w:r>
              <w:rPr>
                <w:sz w:val="14"/>
              </w:rPr>
              <w:t>Review after-hours roster gaps.</w:t>
            </w:r>
          </w:p>
        </w:tc>
      </w:tr>
      <w:tr>
        <w:tc>
          <w:tcPr>
            <w:tcW w:type="dxa" w:w="3360"/>
            <w:vAlign w:val="center"/>
            <w:shd w:fill="F0F4F8"/>
          </w:tcPr>
          <w:p>
            <w:pPr>
              <w:spacing w:after="20"/>
            </w:pPr>
            <w:r>
              <w:rPr>
                <w:sz w:val="14"/>
              </w:rPr>
              <w:t>Primary comms compromised</w:t>
            </w:r>
          </w:p>
        </w:tc>
        <w:tc>
          <w:tcPr>
            <w:tcW w:type="dxa" w:w="3360"/>
            <w:vAlign w:val="center"/>
            <w:shd w:fill="F0F4F8"/>
          </w:tcPr>
          <w:p>
            <w:pPr>
              <w:spacing w:after="20"/>
            </w:pPr>
            <w:r>
              <w:rPr>
                <w:sz w:val="14"/>
              </w:rPr>
              <w:t>Switch to verified phone/out-of-band bridge; verify participants; avoid suspected credentials.</w:t>
            </w:r>
          </w:p>
        </w:tc>
        <w:tc>
          <w:tcPr>
            <w:tcW w:type="dxa" w:w="3360"/>
            <w:vAlign w:val="center"/>
            <w:shd w:fill="F0F4F8"/>
          </w:tcPr>
          <w:p>
            <w:pPr>
              <w:spacing w:after="20"/>
            </w:pPr>
            <w:r>
              <w:rPr>
                <w:sz w:val="14"/>
              </w:rPr>
              <w:t>Reset access, inspect logs and test secure fallback.</w:t>
            </w:r>
          </w:p>
        </w:tc>
      </w:tr>
      <w:tr>
        <w:tc>
          <w:tcPr>
            <w:tcW w:type="dxa" w:w="3360"/>
            <w:vAlign w:val="center"/>
          </w:tcPr>
          <w:p>
            <w:pPr>
              <w:spacing w:after="20"/>
            </w:pPr>
            <w:r>
              <w:rPr>
                <w:sz w:val="14"/>
              </w:rPr>
              <w:t>Response team overwhelmed</w:t>
            </w:r>
          </w:p>
        </w:tc>
        <w:tc>
          <w:tcPr>
            <w:tcW w:type="dxa" w:w="3360"/>
            <w:vAlign w:val="center"/>
          </w:tcPr>
          <w:p>
            <w:pPr>
              <w:spacing w:after="20"/>
            </w:pPr>
            <w:r>
              <w:rPr>
                <w:sz w:val="14"/>
              </w:rPr>
              <w:t>Prioritise by safety, essential service, data sensitivity and spread; request approved external IR/MSSP/sector support.</w:t>
            </w:r>
          </w:p>
        </w:tc>
        <w:tc>
          <w:tcPr>
            <w:tcW w:type="dxa" w:w="3360"/>
            <w:vAlign w:val="center"/>
          </w:tcPr>
          <w:p>
            <w:pPr>
              <w:spacing w:after="20"/>
            </w:pPr>
            <w:r>
              <w:rPr>
                <w:sz w:val="14"/>
              </w:rPr>
              <w:t>Track resources and keep separate incident records.</w:t>
            </w:r>
          </w:p>
        </w:tc>
      </w:tr>
      <w:tr>
        <w:tc>
          <w:tcPr>
            <w:tcW w:type="dxa" w:w="3360"/>
            <w:vAlign w:val="center"/>
            <w:shd w:fill="F0F4F8"/>
          </w:tcPr>
          <w:p>
            <w:pPr>
              <w:spacing w:after="20"/>
            </w:pPr>
            <w:r>
              <w:rPr>
                <w:sz w:val="14"/>
              </w:rPr>
              <w:t>Backups unavailable/compromised</w:t>
            </w:r>
          </w:p>
        </w:tc>
        <w:tc>
          <w:tcPr>
            <w:tcW w:type="dxa" w:w="3360"/>
            <w:vAlign w:val="center"/>
            <w:shd w:fill="F0F4F8"/>
          </w:tcPr>
          <w:p>
            <w:pPr>
              <w:spacing w:after="20"/>
            </w:pPr>
            <w:r>
              <w:rPr>
                <w:sz w:val="14"/>
              </w:rPr>
              <w:t>Preserve remaining copies; stop overwrite if safe; engage recovery specialists; consider clean-room rebuild and trusted alternate records.</w:t>
            </w:r>
          </w:p>
        </w:tc>
        <w:tc>
          <w:tcPr>
            <w:tcW w:type="dxa" w:w="3360"/>
            <w:vAlign w:val="center"/>
            <w:shd w:fill="F0F4F8"/>
          </w:tcPr>
          <w:p>
            <w:pPr>
              <w:spacing w:after="20"/>
            </w:pPr>
            <w:r>
              <w:rPr>
                <w:sz w:val="14"/>
              </w:rPr>
              <w:t>Reconstruct and document data loss/RPO exception.</w:t>
            </w:r>
          </w:p>
        </w:tc>
      </w:tr>
      <w:tr>
        <w:tc>
          <w:tcPr>
            <w:tcW w:type="dxa" w:w="3360"/>
            <w:vAlign w:val="center"/>
          </w:tcPr>
          <w:p>
            <w:pPr>
              <w:spacing w:after="20"/>
            </w:pPr>
            <w:r>
              <w:rPr>
                <w:sz w:val="14"/>
              </w:rPr>
              <w:t>Cloud/supplier unavailable</w:t>
            </w:r>
          </w:p>
        </w:tc>
        <w:tc>
          <w:tcPr>
            <w:tcW w:type="dxa" w:w="3360"/>
            <w:vAlign w:val="center"/>
          </w:tcPr>
          <w:p>
            <w:pPr>
              <w:spacing w:after="20"/>
            </w:pPr>
            <w:r>
              <w:rPr>
                <w:sz w:val="14"/>
              </w:rPr>
              <w:t>Escalate via provider channel; isolate exposed integration; invoke alternate hosting/manual workflow if approved.</w:t>
            </w:r>
          </w:p>
        </w:tc>
        <w:tc>
          <w:tcPr>
            <w:tcW w:type="dxa" w:w="3360"/>
            <w:vAlign w:val="center"/>
          </w:tcPr>
          <w:p>
            <w:pPr>
              <w:spacing w:after="20"/>
            </w:pPr>
            <w:r>
              <w:rPr>
                <w:sz w:val="14"/>
              </w:rPr>
              <w:t>Validate root-cause evidence and access revocation before reconnection.</w:t>
            </w:r>
          </w:p>
        </w:tc>
      </w:tr>
      <w:tr>
        <w:tc>
          <w:tcPr>
            <w:tcW w:type="dxa" w:w="3360"/>
            <w:vAlign w:val="center"/>
            <w:shd w:fill="F0F4F8"/>
          </w:tcPr>
          <w:p>
            <w:pPr>
              <w:spacing w:after="20"/>
            </w:pPr>
            <w:r>
              <w:rPr>
                <w:sz w:val="14"/>
              </w:rPr>
              <w:t>Service unsafe to restore</w:t>
            </w:r>
          </w:p>
        </w:tc>
        <w:tc>
          <w:tcPr>
            <w:tcW w:type="dxa" w:w="3360"/>
            <w:vAlign w:val="center"/>
            <w:shd w:fill="F0F4F8"/>
          </w:tcPr>
          <w:p>
            <w:pPr>
              <w:spacing w:after="20"/>
            </w:pPr>
            <w:r>
              <w:rPr>
                <w:sz w:val="14"/>
              </w:rPr>
              <w:t>Keep isolated; activate business continuity/DR; provide approved offline/alternate service, prioritising vulnerable users.</w:t>
            </w:r>
          </w:p>
        </w:tc>
        <w:tc>
          <w:tcPr>
            <w:tcW w:type="dxa" w:w="3360"/>
            <w:vAlign w:val="center"/>
            <w:shd w:fill="F0F4F8"/>
          </w:tcPr>
          <w:p>
            <w:pPr>
              <w:spacing w:after="20"/>
            </w:pPr>
            <w:r>
              <w:rPr>
                <w:sz w:val="14"/>
              </w:rPr>
              <w:t>Return only after security and business acceptance criteria pass.</w:t>
            </w:r>
          </w:p>
        </w:tc>
      </w:tr>
      <w:tr>
        <w:tc>
          <w:tcPr>
            <w:tcW w:type="dxa" w:w="3360"/>
            <w:vAlign w:val="center"/>
          </w:tcPr>
          <w:p>
            <w:pPr>
              <w:spacing w:after="20"/>
            </w:pPr>
            <w:r>
              <w:rPr>
                <w:sz w:val="14"/>
              </w:rPr>
              <w:t>Insider threat suspected</w:t>
            </w:r>
          </w:p>
        </w:tc>
        <w:tc>
          <w:tcPr>
            <w:tcW w:type="dxa" w:w="3360"/>
            <w:vAlign w:val="center"/>
          </w:tcPr>
          <w:p>
            <w:pPr>
              <w:spacing w:after="20"/>
            </w:pPr>
            <w:r>
              <w:rPr>
                <w:sz w:val="14"/>
              </w:rPr>
              <w:t>Restrict access on need-to-know basis; preserve logs; involve HR/legal/security leadership.</w:t>
            </w:r>
          </w:p>
        </w:tc>
        <w:tc>
          <w:tcPr>
            <w:tcW w:type="dxa" w:w="3360"/>
            <w:vAlign w:val="center"/>
          </w:tcPr>
          <w:p>
            <w:pPr>
              <w:spacing w:after="20"/>
            </w:pPr>
            <w:r>
              <w:rPr>
                <w:sz w:val="14"/>
              </w:rPr>
              <w:t>Follow lawful investigation procedures and protect evidence.</w:t>
            </w:r>
          </w:p>
        </w:tc>
      </w:tr>
      <w:tr>
        <w:tc>
          <w:tcPr>
            <w:tcW w:type="dxa" w:w="3360"/>
            <w:vAlign w:val="center"/>
            <w:shd w:fill="F0F4F8"/>
          </w:tcPr>
          <w:p>
            <w:pPr>
              <w:spacing w:after="20"/>
            </w:pPr>
            <w:r>
              <w:rPr>
                <w:sz w:val="14"/>
              </w:rPr>
              <w:t>Personal data exposure</w:t>
            </w:r>
          </w:p>
        </w:tc>
        <w:tc>
          <w:tcPr>
            <w:tcW w:type="dxa" w:w="3360"/>
            <w:vAlign w:val="center"/>
            <w:shd w:fill="F0F4F8"/>
          </w:tcPr>
          <w:p>
            <w:pPr>
              <w:spacing w:after="20"/>
            </w:pPr>
            <w:r>
              <w:rPr>
                <w:sz w:val="14"/>
              </w:rPr>
              <w:t>Restrict further access; preserve evidence; activate privacy/legal assessment; prepare verified citizen guidance.</w:t>
            </w:r>
          </w:p>
        </w:tc>
        <w:tc>
          <w:tcPr>
            <w:tcW w:type="dxa" w:w="3360"/>
            <w:vAlign w:val="center"/>
            <w:shd w:fill="F0F4F8"/>
          </w:tcPr>
          <w:p>
            <w:pPr>
              <w:spacing w:after="20"/>
            </w:pPr>
            <w:r>
              <w:rPr>
                <w:sz w:val="14"/>
              </w:rPr>
              <w:t>Notify where required; monitor misuse reports and provide remediation guidance.</w:t>
            </w:r>
          </w:p>
        </w:tc>
      </w:tr>
      <w:tr>
        <w:tc>
          <w:tcPr>
            <w:tcW w:type="dxa" w:w="3360"/>
            <w:vAlign w:val="center"/>
          </w:tcPr>
          <w:p>
            <w:pPr>
              <w:spacing w:after="20"/>
            </w:pPr>
            <w:r>
              <w:rPr>
                <w:sz w:val="14"/>
              </w:rPr>
              <w:t>Physical/power/network outage</w:t>
            </w:r>
          </w:p>
        </w:tc>
        <w:tc>
          <w:tcPr>
            <w:tcW w:type="dxa" w:w="3360"/>
            <w:vAlign w:val="center"/>
          </w:tcPr>
          <w:p>
            <w:pPr>
              <w:spacing w:after="20"/>
            </w:pPr>
            <w:r>
              <w:rPr>
                <w:sz w:val="14"/>
              </w:rPr>
              <w:t>Coordinate facilities, safety, telecom and continuity teams; avoid unverified emergency changes.</w:t>
            </w:r>
          </w:p>
        </w:tc>
        <w:tc>
          <w:tcPr>
            <w:tcW w:type="dxa" w:w="3360"/>
            <w:vAlign w:val="center"/>
          </w:tcPr>
          <w:p>
            <w:pPr>
              <w:spacing w:after="20"/>
            </w:pPr>
            <w:r>
              <w:rPr>
                <w:sz w:val="14"/>
              </w:rPr>
              <w:t>Validate backups, failover and integrity before reopening.</w:t>
            </w:r>
          </w:p>
        </w:tc>
      </w:tr>
      <w:tr>
        <w:tc>
          <w:tcPr>
            <w:tcW w:type="dxa" w:w="3360"/>
            <w:vAlign w:val="center"/>
            <w:shd w:fill="F0F4F8"/>
          </w:tcPr>
          <w:p>
            <w:pPr>
              <w:spacing w:after="20"/>
            </w:pPr>
            <w:r>
              <w:rPr>
                <w:sz w:val="14"/>
              </w:rPr>
              <w:t>Ransom demand</w:t>
            </w:r>
          </w:p>
        </w:tc>
        <w:tc>
          <w:tcPr>
            <w:tcW w:type="dxa" w:w="3360"/>
            <w:vAlign w:val="center"/>
            <w:shd w:fill="F0F4F8"/>
          </w:tcPr>
          <w:p>
            <w:pPr>
              <w:spacing w:after="20"/>
            </w:pPr>
            <w:r>
              <w:rPr>
                <w:sz w:val="14"/>
              </w:rPr>
              <w:t>Do not negotiate/pay without authorised legal/executive and law-enforcement guidance; isolate systems and preserve ransom note and logs.</w:t>
            </w:r>
          </w:p>
        </w:tc>
        <w:tc>
          <w:tcPr>
            <w:tcW w:type="dxa" w:w="3360"/>
            <w:vAlign w:val="center"/>
            <w:shd w:fill="F0F4F8"/>
          </w:tcPr>
          <w:p>
            <w:pPr>
              <w:spacing w:after="20"/>
            </w:pPr>
            <w:r>
              <w:rPr>
                <w:sz w:val="14"/>
              </w:rPr>
              <w:t>Use clean rebuild/backup recovery; assess legal/contractual duties.</w:t>
            </w:r>
          </w:p>
        </w:tc>
      </w:tr>
    </w:tbl>
    <w:p/>
    <w:p>
      <w:pPr>
        <w:pStyle w:val="Heading2"/>
      </w:pPr>
      <w:r>
        <w:t>Business continuity and alternate service</w:t>
      </w:r>
    </w:p>
    <w:p>
      <w:r>
        <w:t>Each critical service should define minimum safe service, authorised manual process, identity verification, transaction numbering, post-recovery reconciliation, citizen support route, and maximum duration. Staff must not move sensitive citizen information to personal email, consumer cloud storage, or unapproved messaging applications.</w:t>
      </w:r>
    </w:p>
    <w:p>
      <w:pPr>
        <w:pStyle w:val="Heading1"/>
      </w:pPr>
      <w:r>
        <w:t>12. Lessons Learned and Continuous Improvement</w:t>
      </w:r>
    </w:p>
    <w:p>
      <w:r>
        <w:t>Conduct an evidence-based, blameless review after every SEV-1/SEV-2 incident and any lower-severity event that reveals a meaningful control gap. Hold an initial hotwash within 1–3 business days when feasible; complete the fuller review when evidence is sufficient, normally within 10 business days for significant incidents. These are proposed internal targets.</w:t>
      </w:r>
    </w:p>
    <w:p>
      <w:pPr>
        <w:pStyle w:val="Heading2"/>
      </w:pPr>
      <w:r>
        <w:t>Post-incident review questions</w:t>
      </w:r>
    </w:p>
    <w:p>
      <w:pPr>
        <w:pStyle w:val="ListBullet"/>
        <w:spacing w:after="40"/>
      </w:pPr>
      <w:r>
        <w:t>What happened, when did it begin, when was it detected, and when was it contained?</w:t>
      </w:r>
    </w:p>
    <w:p>
      <w:pPr>
        <w:pStyle w:val="ListBullet"/>
        <w:spacing w:after="40"/>
      </w:pPr>
      <w:r>
        <w:t>What were the initial access vector, attacker actions, affected assets/data/agencies, and citizen impact?</w:t>
      </w:r>
    </w:p>
    <w:p>
      <w:pPr>
        <w:pStyle w:val="ListBullet"/>
        <w:spacing w:after="40"/>
      </w:pPr>
      <w:r>
        <w:t>Which evidence supports findings and what remains uncertain?</w:t>
      </w:r>
    </w:p>
    <w:p>
      <w:pPr>
        <w:pStyle w:val="ListBullet"/>
        <w:spacing w:after="40"/>
      </w:pPr>
      <w:r>
        <w:t>Which controls succeeded or failed: identity, patching, logging, segmentation, backups, supplier controls, staff reporting?</w:t>
      </w:r>
    </w:p>
    <w:p>
      <w:pPr>
        <w:pStyle w:val="ListBullet"/>
        <w:spacing w:after="40"/>
      </w:pPr>
      <w:r>
        <w:t>Were escalation, communication, evidence handling, and external reporting timely and accurate?</w:t>
      </w:r>
    </w:p>
    <w:p>
      <w:pPr>
        <w:pStyle w:val="ListBullet"/>
        <w:spacing w:after="40"/>
      </w:pPr>
      <w:r>
        <w:t>Did containment/recovery cause avoidable impact? Were RTO/RPO and continuity plans realistic?</w:t>
      </w:r>
    </w:p>
    <w:p>
      <w:pPr>
        <w:pStyle w:val="ListBullet"/>
        <w:spacing w:after="40"/>
      </w:pPr>
      <w:r>
        <w:t>What actions are needed, who owns them, what is the due date, and how will completion be validated?</w:t>
      </w:r>
    </w:p>
    <w:p>
      <w:pPr>
        <w:pStyle w:val="Heading2"/>
      </w:pPr>
      <w:r>
        <w:t>Required outputs</w:t>
      </w:r>
    </w:p>
    <w:p>
      <w:pPr>
        <w:pStyle w:val="ListBullet"/>
        <w:spacing w:after="40"/>
      </w:pPr>
      <w:r>
        <w:t>Incident timeline and impact summary.</w:t>
      </w:r>
    </w:p>
    <w:p>
      <w:pPr>
        <w:pStyle w:val="ListBullet"/>
        <w:spacing w:after="40"/>
      </w:pPr>
      <w:r>
        <w:t>Root-cause and attack-path analysis, separating facts from assumptions.</w:t>
      </w:r>
    </w:p>
    <w:p>
      <w:pPr>
        <w:pStyle w:val="ListBullet"/>
        <w:spacing w:after="40"/>
      </w:pPr>
      <w:r>
        <w:t>Updated risk register and residual-risk owner.</w:t>
      </w:r>
    </w:p>
    <w:p>
      <w:pPr>
        <w:pStyle w:val="ListBullet"/>
        <w:spacing w:after="40"/>
      </w:pPr>
      <w:r>
        <w:t>Corrective-action register with priority, owner, due date, dependencies and validation method.</w:t>
      </w:r>
    </w:p>
    <w:p>
      <w:pPr>
        <w:pStyle w:val="ListBullet"/>
        <w:spacing w:after="40"/>
      </w:pPr>
      <w:r>
        <w:t>Updates to playbooks, alerts, contacts, training, vendor terms, recovery procedures and continuity plans.</w:t>
      </w:r>
    </w:p>
    <w:p>
      <w:pPr>
        <w:pStyle w:val="ListBullet"/>
        <w:spacing w:after="40"/>
      </w:pPr>
      <w:r>
        <w:t>Sanitised knowledge-sharing note; remove personal data, secrets and details that could enable further attacks.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6"/>
              </w:rPr>
              <w:t>Priority</w:t>
            </w:r>
          </w:p>
        </w:tc>
        <w:tc>
          <w:tcPr>
            <w:tcW w:type="dxa" w:w="3360"/>
            <w:shd w:fill="183755"/>
          </w:tcPr>
          <w:p>
            <w:r>
              <w:rPr>
                <w:b/>
                <w:color w:val="FFFFFF"/>
                <w:sz w:val="16"/>
              </w:rPr>
              <w:t>Proposed target</w:t>
            </w:r>
          </w:p>
        </w:tc>
        <w:tc>
          <w:tcPr>
            <w:tcW w:type="dxa" w:w="3360"/>
            <w:shd w:fill="183755"/>
          </w:tcPr>
          <w:p>
            <w:r>
              <w:rPr>
                <w:b/>
                <w:color w:val="FFFFFF"/>
                <w:sz w:val="16"/>
              </w:rPr>
              <w:t>Examples</w:t>
            </w:r>
          </w:p>
        </w:tc>
      </w:tr>
      <w:tr>
        <w:tc>
          <w:tcPr>
            <w:tcW w:type="dxa" w:w="3360"/>
            <w:vAlign w:val="center"/>
          </w:tcPr>
          <w:p>
            <w:pPr>
              <w:spacing w:after="20"/>
            </w:pPr>
            <w:r>
              <w:rPr>
                <w:sz w:val="16"/>
              </w:rPr>
              <w:t>Urgent</w:t>
            </w:r>
          </w:p>
        </w:tc>
        <w:tc>
          <w:tcPr>
            <w:tcW w:type="dxa" w:w="3360"/>
            <w:vAlign w:val="center"/>
          </w:tcPr>
          <w:p>
            <w:pPr>
              <w:spacing w:after="20"/>
            </w:pPr>
            <w:r>
              <w:rPr>
                <w:sz w:val="16"/>
              </w:rPr>
              <w:t>Immediate / 24–72 hours</w:t>
            </w:r>
          </w:p>
        </w:tc>
        <w:tc>
          <w:tcPr>
            <w:tcW w:type="dxa" w:w="3360"/>
            <w:vAlign w:val="center"/>
          </w:tcPr>
          <w:p>
            <w:pPr>
              <w:spacing w:after="20"/>
            </w:pPr>
            <w:r>
              <w:rPr>
                <w:sz w:val="16"/>
              </w:rPr>
              <w:t>Close active access path, rotate exposed secrets, preserve logs, block verified indicators.</w:t>
            </w:r>
          </w:p>
        </w:tc>
      </w:tr>
      <w:tr>
        <w:tc>
          <w:tcPr>
            <w:tcW w:type="dxa" w:w="3360"/>
            <w:vAlign w:val="center"/>
            <w:shd w:fill="F0F4F8"/>
          </w:tcPr>
          <w:p>
            <w:pPr>
              <w:spacing w:after="20"/>
            </w:pPr>
            <w:r>
              <w:rPr>
                <w:sz w:val="16"/>
              </w:rPr>
              <w:t>High</w:t>
            </w:r>
          </w:p>
        </w:tc>
        <w:tc>
          <w:tcPr>
            <w:tcW w:type="dxa" w:w="3360"/>
            <w:vAlign w:val="center"/>
            <w:shd w:fill="F0F4F8"/>
          </w:tcPr>
          <w:p>
            <w:pPr>
              <w:spacing w:after="20"/>
            </w:pPr>
            <w:r>
              <w:rPr>
                <w:sz w:val="16"/>
              </w:rPr>
              <w:t>Within 30 days</w:t>
            </w:r>
          </w:p>
        </w:tc>
        <w:tc>
          <w:tcPr>
            <w:tcW w:type="dxa" w:w="3360"/>
            <w:vAlign w:val="center"/>
            <w:shd w:fill="F0F4F8"/>
          </w:tcPr>
          <w:p>
            <w:pPr>
              <w:spacing w:after="20"/>
            </w:pPr>
            <w:r>
              <w:rPr>
                <w:sz w:val="16"/>
              </w:rPr>
              <w:t>Patch root cause, enforce MFA, fix logging gap, test restore, tighten supplier access.</w:t>
            </w:r>
          </w:p>
        </w:tc>
      </w:tr>
      <w:tr>
        <w:tc>
          <w:tcPr>
            <w:tcW w:type="dxa" w:w="3360"/>
            <w:vAlign w:val="center"/>
          </w:tcPr>
          <w:p>
            <w:pPr>
              <w:spacing w:after="20"/>
            </w:pPr>
            <w:r>
              <w:rPr>
                <w:sz w:val="16"/>
              </w:rPr>
              <w:t>Medium</w:t>
            </w:r>
          </w:p>
        </w:tc>
        <w:tc>
          <w:tcPr>
            <w:tcW w:type="dxa" w:w="3360"/>
            <w:vAlign w:val="center"/>
          </w:tcPr>
          <w:p>
            <w:pPr>
              <w:spacing w:after="20"/>
            </w:pPr>
            <w:r>
              <w:rPr>
                <w:sz w:val="16"/>
              </w:rPr>
              <w:t>Within 60–90 days</w:t>
            </w:r>
          </w:p>
        </w:tc>
        <w:tc>
          <w:tcPr>
            <w:tcW w:type="dxa" w:w="3360"/>
            <w:vAlign w:val="center"/>
          </w:tcPr>
          <w:p>
            <w:pPr>
              <w:spacing w:after="20"/>
            </w:pPr>
            <w:r>
              <w:rPr>
                <w:sz w:val="16"/>
              </w:rPr>
              <w:t>Improve detection coverage, segmentation, runbooks, training and resilience.</w:t>
            </w:r>
          </w:p>
        </w:tc>
      </w:tr>
      <w:tr>
        <w:tc>
          <w:tcPr>
            <w:tcW w:type="dxa" w:w="3360"/>
            <w:vAlign w:val="center"/>
            <w:shd w:fill="F0F4F8"/>
          </w:tcPr>
          <w:p>
            <w:pPr>
              <w:spacing w:after="20"/>
            </w:pPr>
            <w:r>
              <w:rPr>
                <w:sz w:val="16"/>
              </w:rPr>
              <w:t>Strategic</w:t>
            </w:r>
          </w:p>
        </w:tc>
        <w:tc>
          <w:tcPr>
            <w:tcW w:type="dxa" w:w="3360"/>
            <w:vAlign w:val="center"/>
            <w:shd w:fill="F0F4F8"/>
          </w:tcPr>
          <w:p>
            <w:pPr>
              <w:spacing w:after="20"/>
            </w:pPr>
            <w:r>
              <w:rPr>
                <w:sz w:val="16"/>
              </w:rPr>
              <w:t>Quarterly planning</w:t>
            </w:r>
          </w:p>
        </w:tc>
        <w:tc>
          <w:tcPr>
            <w:tcW w:type="dxa" w:w="3360"/>
            <w:vAlign w:val="center"/>
            <w:shd w:fill="F0F4F8"/>
          </w:tcPr>
          <w:p>
            <w:pPr>
              <w:spacing w:after="20"/>
            </w:pPr>
            <w:r>
              <w:rPr>
                <w:sz w:val="16"/>
              </w:rPr>
              <w:t>Architecture redesign, central identity, immutable backup expansion or staffing/procurement change.</w:t>
            </w:r>
          </w:p>
        </w:tc>
      </w:tr>
    </w:tbl>
    <w:p/>
    <w:p>
      <w:pPr>
        <w:pStyle w:val="Heading1"/>
      </w:pPr>
      <w:r>
        <w:t>13. Readiness, Exercises and Metrics</w:t>
      </w:r>
    </w:p>
    <w:p>
      <w:pPr>
        <w:pStyle w:val="Heading2"/>
      </w:pPr>
      <w:r>
        <w:t>Minimum readiness</w:t>
      </w:r>
    </w:p>
    <w:p>
      <w:pPr>
        <w:pStyle w:val="ListBullet"/>
        <w:spacing w:after="40"/>
      </w:pPr>
      <w:r>
        <w:t>Current service/dependency inventory, data-flow map, criticality, owner and approved RTO/RPO.</w:t>
      </w:r>
    </w:p>
    <w:p>
      <w:pPr>
        <w:pStyle w:val="ListBullet"/>
        <w:spacing w:after="40"/>
      </w:pPr>
      <w:r>
        <w:t>24×7 primary/deputy contact roster and verified out-of-band communications.</w:t>
      </w:r>
    </w:p>
    <w:p>
      <w:pPr>
        <w:pStyle w:val="ListBullet"/>
        <w:spacing w:after="40"/>
      </w:pPr>
      <w:r>
        <w:t>Centralised, time-synchronised, access-controlled logging with risk-appropriate retention.</w:t>
      </w:r>
    </w:p>
    <w:p>
      <w:pPr>
        <w:pStyle w:val="ListBullet"/>
        <w:spacing w:after="40"/>
      </w:pPr>
      <w:r>
        <w:t>Tested backups, documented restoration instructions and separate protected backup administration.</w:t>
      </w:r>
    </w:p>
    <w:p>
      <w:pPr>
        <w:pStyle w:val="ListBullet"/>
        <w:spacing w:after="40"/>
      </w:pPr>
      <w:r>
        <w:t>Pre-approved emergency actions for identity, network, endpoint, application, cloud and supplier incidents.</w:t>
      </w:r>
    </w:p>
    <w:p>
      <w:pPr>
        <w:pStyle w:val="ListBullet"/>
        <w:spacing w:after="40"/>
      </w:pPr>
      <w:r>
        <w:t>Supplier contacts, incident-notification clauses, evidence-sharing processes and escalation.</w:t>
      </w:r>
    </w:p>
    <w:p>
      <w:pPr>
        <w:pStyle w:val="ListBullet"/>
        <w:spacing w:after="40"/>
      </w:pPr>
      <w:r>
        <w:t>Staff training in incident reporting, phishing, data handling and evidence preservation.</w:t>
      </w:r>
    </w:p>
    <w:p>
      <w:pPr>
        <w:pStyle w:val="Heading2"/>
      </w:pPr>
      <w:r>
        <w:t>Exercise programme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5"/>
              </w:rPr>
              <w:t>Exercise</w:t>
            </w:r>
          </w:p>
        </w:tc>
        <w:tc>
          <w:tcPr>
            <w:tcW w:type="dxa" w:w="3360"/>
            <w:shd w:fill="183755"/>
          </w:tcPr>
          <w:p>
            <w:r>
              <w:rPr>
                <w:b/>
                <w:color w:val="FFFFFF"/>
                <w:sz w:val="15"/>
              </w:rPr>
              <w:t>Suggested frequency</w:t>
            </w:r>
          </w:p>
        </w:tc>
        <w:tc>
          <w:tcPr>
            <w:tcW w:type="dxa" w:w="3360"/>
            <w:shd w:fill="183755"/>
          </w:tcPr>
          <w:p>
            <w:r>
              <w:rPr>
                <w:b/>
                <w:color w:val="FFFFFF"/>
                <w:sz w:val="15"/>
              </w:rPr>
              <w:t>Evidence of success</w:t>
            </w:r>
          </w:p>
        </w:tc>
      </w:tr>
      <w:tr>
        <w:tc>
          <w:tcPr>
            <w:tcW w:type="dxa" w:w="3360"/>
            <w:vAlign w:val="center"/>
          </w:tcPr>
          <w:p>
            <w:pPr>
              <w:spacing w:after="20"/>
            </w:pPr>
            <w:r>
              <w:rPr>
                <w:sz w:val="15"/>
              </w:rPr>
              <w:t>Compromised administrator tabletop</w:t>
            </w:r>
          </w:p>
        </w:tc>
        <w:tc>
          <w:tcPr>
            <w:tcW w:type="dxa" w:w="3360"/>
            <w:vAlign w:val="center"/>
          </w:tcPr>
          <w:p>
            <w:pPr>
              <w:spacing w:after="20"/>
            </w:pPr>
            <w:r>
              <w:rPr>
                <w:sz w:val="15"/>
              </w:rPr>
              <w:t>Twice per year</w:t>
            </w:r>
          </w:p>
        </w:tc>
        <w:tc>
          <w:tcPr>
            <w:tcW w:type="dxa" w:w="3360"/>
            <w:vAlign w:val="center"/>
          </w:tcPr>
          <w:p>
            <w:pPr>
              <w:spacing w:after="20"/>
            </w:pPr>
            <w:r>
              <w:rPr>
                <w:sz w:val="15"/>
              </w:rPr>
              <w:t>Team identifies IC, revokes sessions, scopes changes, preserves logs and assesses reporting.</w:t>
            </w:r>
          </w:p>
        </w:tc>
      </w:tr>
      <w:tr>
        <w:tc>
          <w:tcPr>
            <w:tcW w:type="dxa" w:w="3360"/>
            <w:vAlign w:val="center"/>
            <w:shd w:fill="F0F4F8"/>
          </w:tcPr>
          <w:p>
            <w:pPr>
              <w:spacing w:after="20"/>
            </w:pPr>
            <w:r>
              <w:rPr>
                <w:sz w:val="15"/>
              </w:rPr>
              <w:t>Ransomware / restore simulation</w:t>
            </w:r>
          </w:p>
        </w:tc>
        <w:tc>
          <w:tcPr>
            <w:tcW w:type="dxa" w:w="3360"/>
            <w:vAlign w:val="center"/>
            <w:shd w:fill="F0F4F8"/>
          </w:tcPr>
          <w:p>
            <w:pPr>
              <w:spacing w:after="20"/>
            </w:pPr>
            <w:r>
              <w:rPr>
                <w:sz w:val="15"/>
              </w:rPr>
              <w:t>Annually</w:t>
            </w:r>
          </w:p>
        </w:tc>
        <w:tc>
          <w:tcPr>
            <w:tcW w:type="dxa" w:w="3360"/>
            <w:vAlign w:val="center"/>
            <w:shd w:fill="F0F4F8"/>
          </w:tcPr>
          <w:p>
            <w:pPr>
              <w:spacing w:after="20"/>
            </w:pPr>
            <w:r>
              <w:rPr>
                <w:sz w:val="15"/>
              </w:rPr>
              <w:t>Clean recovery environment, restore proof, reconciled data and recorded RTO/RPO.</w:t>
            </w:r>
          </w:p>
        </w:tc>
      </w:tr>
      <w:tr>
        <w:tc>
          <w:tcPr>
            <w:tcW w:type="dxa" w:w="3360"/>
            <w:vAlign w:val="center"/>
          </w:tcPr>
          <w:p>
            <w:pPr>
              <w:spacing w:after="20"/>
            </w:pPr>
            <w:r>
              <w:rPr>
                <w:sz w:val="15"/>
              </w:rPr>
              <w:t>Public-service outage communications</w:t>
            </w:r>
          </w:p>
        </w:tc>
        <w:tc>
          <w:tcPr>
            <w:tcW w:type="dxa" w:w="3360"/>
            <w:vAlign w:val="center"/>
          </w:tcPr>
          <w:p>
            <w:pPr>
              <w:spacing w:after="20"/>
            </w:pPr>
            <w:r>
              <w:rPr>
                <w:sz w:val="15"/>
              </w:rPr>
              <w:t>Annually</w:t>
            </w:r>
          </w:p>
        </w:tc>
        <w:tc>
          <w:tcPr>
            <w:tcW w:type="dxa" w:w="3360"/>
            <w:vAlign w:val="center"/>
          </w:tcPr>
          <w:p>
            <w:pPr>
              <w:spacing w:after="20"/>
            </w:pPr>
            <w:r>
              <w:rPr>
                <w:sz w:val="15"/>
              </w:rPr>
              <w:t>Approved public message, help-desk script, alternate service and update cadence.</w:t>
            </w:r>
          </w:p>
        </w:tc>
      </w:tr>
      <w:tr>
        <w:tc>
          <w:tcPr>
            <w:tcW w:type="dxa" w:w="3360"/>
            <w:vAlign w:val="center"/>
            <w:shd w:fill="F0F4F8"/>
          </w:tcPr>
          <w:p>
            <w:pPr>
              <w:spacing w:after="20"/>
            </w:pPr>
            <w:r>
              <w:rPr>
                <w:sz w:val="15"/>
              </w:rPr>
              <w:t>Contact / vendor escalation test</w:t>
            </w:r>
          </w:p>
        </w:tc>
        <w:tc>
          <w:tcPr>
            <w:tcW w:type="dxa" w:w="3360"/>
            <w:vAlign w:val="center"/>
            <w:shd w:fill="F0F4F8"/>
          </w:tcPr>
          <w:p>
            <w:pPr>
              <w:spacing w:after="20"/>
            </w:pPr>
            <w:r>
              <w:rPr>
                <w:sz w:val="15"/>
              </w:rPr>
              <w:t>Quarterly</w:t>
            </w:r>
          </w:p>
        </w:tc>
        <w:tc>
          <w:tcPr>
            <w:tcW w:type="dxa" w:w="3360"/>
            <w:vAlign w:val="center"/>
            <w:shd w:fill="F0F4F8"/>
          </w:tcPr>
          <w:p>
            <w:pPr>
              <w:spacing w:after="20"/>
            </w:pPr>
            <w:r>
              <w:rPr>
                <w:sz w:val="15"/>
              </w:rPr>
              <w:t>Primary and deputy contacts respond; escalation works.</w:t>
            </w:r>
          </w:p>
        </w:tc>
      </w:tr>
      <w:tr>
        <w:tc>
          <w:tcPr>
            <w:tcW w:type="dxa" w:w="3360"/>
            <w:vAlign w:val="center"/>
          </w:tcPr>
          <w:p>
            <w:pPr>
              <w:spacing w:after="20"/>
            </w:pPr>
            <w:r>
              <w:rPr>
                <w:sz w:val="15"/>
              </w:rPr>
              <w:t>After-action validation</w:t>
            </w:r>
          </w:p>
        </w:tc>
        <w:tc>
          <w:tcPr>
            <w:tcW w:type="dxa" w:w="3360"/>
            <w:vAlign w:val="center"/>
          </w:tcPr>
          <w:p>
            <w:pPr>
              <w:spacing w:after="20"/>
            </w:pPr>
            <w:r>
              <w:rPr>
                <w:sz w:val="15"/>
              </w:rPr>
              <w:t>After major incident/exercise</w:t>
            </w:r>
          </w:p>
        </w:tc>
        <w:tc>
          <w:tcPr>
            <w:tcW w:type="dxa" w:w="3360"/>
            <w:vAlign w:val="center"/>
          </w:tcPr>
          <w:p>
            <w:pPr>
              <w:spacing w:after="20"/>
            </w:pPr>
            <w:r>
              <w:rPr>
                <w:sz w:val="15"/>
              </w:rPr>
              <w:t>Corrective actions closed with evidence, not just marked complete.</w:t>
            </w:r>
          </w:p>
        </w:tc>
      </w:tr>
    </w:tbl>
    <w:p/>
    <w:p>
      <w:pPr>
        <w:pStyle w:val="Heading2"/>
      </w:pPr>
      <w:r>
        <w:t>Suggested metrics</w:t>
      </w:r>
    </w:p>
    <w:p>
      <w:pPr>
        <w:pStyle w:val="ListBullet"/>
        <w:spacing w:after="40"/>
      </w:pPr>
      <w:r>
        <w:t>Mean time to acknowledge (MTTA), detect (MTTD), contain (MTTC) and recover (MTTR), by severity.</w:t>
      </w:r>
    </w:p>
    <w:p>
      <w:pPr>
        <w:pStyle w:val="ListBullet"/>
        <w:spacing w:after="40"/>
      </w:pPr>
      <w:r>
        <w:t>Percentage of critical services with named owners, tested recovery procedures and current contacts.</w:t>
      </w:r>
    </w:p>
    <w:p>
      <w:pPr>
        <w:pStyle w:val="ListBullet"/>
        <w:spacing w:after="40"/>
      </w:pPr>
      <w:r>
        <w:t>Percentage of incidents with a complete timeline, evidence register, impact assessment and approved closure.</w:t>
      </w:r>
    </w:p>
    <w:p>
      <w:pPr>
        <w:pStyle w:val="ListBullet"/>
        <w:spacing w:after="40"/>
      </w:pPr>
      <w:r>
        <w:t>Percentage of high-priority corrective actions completed on time and independently validated.</w:t>
      </w:r>
    </w:p>
    <w:p>
      <w:pPr>
        <w:pStyle w:val="ListBullet"/>
        <w:spacing w:after="40"/>
      </w:pPr>
      <w:r>
        <w:t>Backup restore success rate, critical-log availability in exercises, and supplier notification time.</w:t>
      </w:r>
    </w:p>
    <w:p>
      <w:pPr>
        <w:pStyle w:val="ListBullet"/>
        <w:spacing w:after="40"/>
      </w:pPr>
      <w:r>
        <w:t>Citizen-service availability, number/duration of affected transactions, and data-reconciliation completion.</w:t>
      </w:r>
    </w:p>
    <w:p>
      <w:r>
        <w:t>Do not use a lower reported incident count as a standalone success measure: it may reflect under-reporting. Measure reporting quality, containment, recovery quality, and corrective-action effectiveness.</w:t>
      </w:r>
    </w:p>
    <w:p>
      <w:pPr>
        <w:pStyle w:val="Heading1"/>
      </w:pPr>
      <w:r>
        <w:t>14. Checklists and Templates</w:t>
      </w:r>
    </w:p>
    <w:p>
      <w:pPr>
        <w:pStyle w:val="Heading2"/>
      </w:pPr>
      <w:r>
        <w:t>A. First-responder checklist</w:t>
      </w:r>
    </w:p>
    <w:p>
      <w:pPr>
        <w:pStyle w:val="ListBullet"/>
        <w:spacing w:after="40"/>
      </w:pPr>
      <w:r>
        <w:t>☐ Report immediately through the approved channel; use an independent channel if necessary.</w:t>
      </w:r>
    </w:p>
    <w:p>
      <w:pPr>
        <w:pStyle w:val="ListBullet"/>
        <w:spacing w:after="40"/>
      </w:pPr>
      <w:r>
        <w:t>☐ Record time, reporter, affected service/device/account, symptoms and alert ID.</w:t>
      </w:r>
    </w:p>
    <w:p>
      <w:pPr>
        <w:pStyle w:val="ListBullet"/>
        <w:spacing w:after="40"/>
      </w:pPr>
      <w:r>
        <w:t>☐ Do not delete messages, wipe devices or run unapproved cleanup tools.</w:t>
      </w:r>
    </w:p>
    <w:p>
      <w:pPr>
        <w:pStyle w:val="ListBullet"/>
        <w:spacing w:after="40"/>
      </w:pPr>
      <w:r>
        <w:t>☐ Preserve log/evidence references; avoid sensitive data in public channels.</w:t>
      </w:r>
    </w:p>
    <w:p>
      <w:pPr>
        <w:pStyle w:val="ListBullet"/>
        <w:spacing w:after="40"/>
      </w:pPr>
      <w:r>
        <w:t>☐ Notify security/on-call lead and service owner; flag citizen data, privileged access, critical services, ransomware or exfiltration.</w:t>
      </w:r>
    </w:p>
    <w:p>
      <w:pPr>
        <w:pStyle w:val="ListBullet"/>
        <w:spacing w:after="40"/>
      </w:pPr>
      <w:r>
        <w:t>☐ Follow pre-authorised containment instructions; record action, approver, time and result.</w:t>
      </w:r>
    </w:p>
    <w:p>
      <w:pPr>
        <w:pStyle w:val="ListBullet"/>
        <w:spacing w:after="40"/>
      </w:pPr>
      <w:r>
        <w:t>☐ Separate confirmed facts, hypotheses and unknowns.</w:t>
      </w:r>
    </w:p>
    <w:p>
      <w:pPr>
        <w:pStyle w:val="Heading2"/>
      </w:pPr>
      <w:r>
        <w:t>B. Incident Commander opening checklist</w:t>
      </w:r>
    </w:p>
    <w:p>
      <w:pPr>
        <w:pStyle w:val="ListBullet"/>
        <w:spacing w:after="40"/>
      </w:pPr>
      <w:r>
        <w:t>☐ Confirm incident ID, severity, IC/deputy, recorder and secure channel.</w:t>
      </w:r>
    </w:p>
    <w:p>
      <w:pPr>
        <w:pStyle w:val="ListBullet"/>
        <w:spacing w:after="40"/>
      </w:pPr>
      <w:r>
        <w:t>☐ Identify citizen impact, critical dependencies, data categories and ongoing attacker activity.</w:t>
      </w:r>
    </w:p>
    <w:p>
      <w:pPr>
        <w:pStyle w:val="ListBullet"/>
        <w:spacing w:after="40"/>
      </w:pPr>
      <w:r>
        <w:t>☐ Assign technical lead, service owner, privacy/legal, communications and supplier liaison as needed.</w:t>
      </w:r>
    </w:p>
    <w:p>
      <w:pPr>
        <w:pStyle w:val="ListBullet"/>
        <w:spacing w:after="40"/>
      </w:pPr>
      <w:r>
        <w:t>☐ Agree objectives, containment authority, evidence preservation, update cadence and next decision point.</w:t>
      </w:r>
    </w:p>
    <w:p>
      <w:pPr>
        <w:pStyle w:val="ListBullet"/>
        <w:spacing w:after="40"/>
      </w:pPr>
      <w:r>
        <w:t>☐ Start statutory/contractual deadline assessment and assign notification owner.</w:t>
      </w:r>
    </w:p>
    <w:p>
      <w:pPr>
        <w:pStyle w:val="ListBullet"/>
        <w:spacing w:after="40"/>
      </w:pPr>
      <w:r>
        <w:t>☐ Set next briefing and publish a concise situation report.</w:t>
      </w:r>
    </w:p>
    <w:p>
      <w:pPr>
        <w:pStyle w:val="Heading2"/>
      </w:pPr>
      <w:r>
        <w:t>C. Containment decision record</w:t>
      </w:r>
    </w:p>
    <w:tbl>
      <w:tblPr>
        <w:tblStyle w:val="TableGrid"/>
        <w:tblW w:type="auto" w:w="0"/>
        <w:jc w:val="center"/>
        <w:tblLook w:firstColumn="1" w:firstRow="1" w:lastColumn="0" w:lastRow="0" w:noHBand="0" w:noVBand="1" w:val="04A0"/>
      </w:tblPr>
      <w:tblGrid>
        <w:gridCol w:w="5040"/>
        <w:gridCol w:w="5040"/>
      </w:tblGrid>
      <w:tr>
        <w:tc>
          <w:tcPr>
            <w:tcW w:type="dxa" w:w="5040"/>
            <w:shd w:fill="183755"/>
          </w:tcPr>
          <w:p>
            <w:r>
              <w:rPr>
                <w:b/>
                <w:color w:val="FFFFFF"/>
                <w:sz w:val="16"/>
              </w:rPr>
              <w:t>Field</w:t>
            </w:r>
          </w:p>
        </w:tc>
        <w:tc>
          <w:tcPr>
            <w:tcW w:type="dxa" w:w="5040"/>
            <w:shd w:fill="183755"/>
          </w:tcPr>
          <w:p>
            <w:r>
              <w:rPr>
                <w:b/>
                <w:color w:val="FFFFFF"/>
                <w:sz w:val="16"/>
              </w:rPr>
              <w:t>Entry</w:t>
            </w:r>
          </w:p>
        </w:tc>
      </w:tr>
      <w:tr>
        <w:tc>
          <w:tcPr>
            <w:tcW w:type="dxa" w:w="5040"/>
            <w:vAlign w:val="center"/>
          </w:tcPr>
          <w:p>
            <w:pPr>
              <w:spacing w:after="20"/>
            </w:pPr>
            <w:r>
              <w:rPr>
                <w:sz w:val="16"/>
              </w:rPr>
              <w:t>Incident ID / timestamp</w:t>
            </w:r>
          </w:p>
        </w:tc>
        <w:tc>
          <w:tcPr>
            <w:tcW w:type="dxa" w:w="5040"/>
            <w:vAlign w:val="center"/>
          </w:tcPr>
          <w:p>
            <w:pPr>
              <w:spacing w:after="20"/>
            </w:pPr>
            <w:r>
              <w:rPr>
                <w:sz w:val="16"/>
              </w:rPr>
              <w:t>________________________________________</w:t>
            </w:r>
          </w:p>
        </w:tc>
      </w:tr>
      <w:tr>
        <w:tc>
          <w:tcPr>
            <w:tcW w:type="dxa" w:w="5040"/>
            <w:vAlign w:val="center"/>
            <w:shd w:fill="F0F4F8"/>
          </w:tcPr>
          <w:p>
            <w:pPr>
              <w:spacing w:after="20"/>
            </w:pPr>
            <w:r>
              <w:rPr>
                <w:sz w:val="16"/>
              </w:rPr>
              <w:t>Proposed action / target</w:t>
            </w:r>
          </w:p>
        </w:tc>
        <w:tc>
          <w:tcPr>
            <w:tcW w:type="dxa" w:w="5040"/>
            <w:vAlign w:val="center"/>
            <w:shd w:fill="F0F4F8"/>
          </w:tcPr>
          <w:p>
            <w:pPr>
              <w:spacing w:after="20"/>
            </w:pPr>
            <w:r>
              <w:rPr>
                <w:sz w:val="16"/>
              </w:rPr>
              <w:t>________________________________________</w:t>
            </w:r>
          </w:p>
        </w:tc>
      </w:tr>
      <w:tr>
        <w:tc>
          <w:tcPr>
            <w:tcW w:type="dxa" w:w="5040"/>
            <w:vAlign w:val="center"/>
          </w:tcPr>
          <w:p>
            <w:pPr>
              <w:spacing w:after="20"/>
            </w:pPr>
            <w:r>
              <w:rPr>
                <w:sz w:val="16"/>
              </w:rPr>
              <w:t>Reason / expected risk reduction</w:t>
            </w:r>
          </w:p>
        </w:tc>
        <w:tc>
          <w:tcPr>
            <w:tcW w:type="dxa" w:w="5040"/>
            <w:vAlign w:val="center"/>
          </w:tcPr>
          <w:p>
            <w:pPr>
              <w:spacing w:after="20"/>
            </w:pPr>
            <w:r>
              <w:rPr>
                <w:sz w:val="16"/>
              </w:rPr>
              <w:t>________________________________________</w:t>
            </w:r>
          </w:p>
        </w:tc>
      </w:tr>
      <w:tr>
        <w:tc>
          <w:tcPr>
            <w:tcW w:type="dxa" w:w="5040"/>
            <w:vAlign w:val="center"/>
            <w:shd w:fill="F0F4F8"/>
          </w:tcPr>
          <w:p>
            <w:pPr>
              <w:spacing w:after="20"/>
            </w:pPr>
            <w:r>
              <w:rPr>
                <w:sz w:val="16"/>
              </w:rPr>
              <w:t>Expected service impact / alternatives</w:t>
            </w:r>
          </w:p>
        </w:tc>
        <w:tc>
          <w:tcPr>
            <w:tcW w:type="dxa" w:w="5040"/>
            <w:vAlign w:val="center"/>
            <w:shd w:fill="F0F4F8"/>
          </w:tcPr>
          <w:p>
            <w:pPr>
              <w:spacing w:after="20"/>
            </w:pPr>
            <w:r>
              <w:rPr>
                <w:sz w:val="16"/>
              </w:rPr>
              <w:t>________________________________________</w:t>
            </w:r>
          </w:p>
        </w:tc>
      </w:tr>
      <w:tr>
        <w:tc>
          <w:tcPr>
            <w:tcW w:type="dxa" w:w="5040"/>
            <w:vAlign w:val="center"/>
          </w:tcPr>
          <w:p>
            <w:pPr>
              <w:spacing w:after="20"/>
            </w:pPr>
            <w:r>
              <w:rPr>
                <w:sz w:val="16"/>
              </w:rPr>
              <w:t>Evidence to preserve first</w:t>
            </w:r>
          </w:p>
        </w:tc>
        <w:tc>
          <w:tcPr>
            <w:tcW w:type="dxa" w:w="5040"/>
            <w:vAlign w:val="center"/>
          </w:tcPr>
          <w:p>
            <w:pPr>
              <w:spacing w:after="20"/>
            </w:pPr>
            <w:r>
              <w:rPr>
                <w:sz w:val="16"/>
              </w:rPr>
              <w:t>________________________________________</w:t>
            </w:r>
          </w:p>
        </w:tc>
      </w:tr>
      <w:tr>
        <w:tc>
          <w:tcPr>
            <w:tcW w:type="dxa" w:w="5040"/>
            <w:vAlign w:val="center"/>
            <w:shd w:fill="F0F4F8"/>
          </w:tcPr>
          <w:p>
            <w:pPr>
              <w:spacing w:after="20"/>
            </w:pPr>
            <w:r>
              <w:rPr>
                <w:sz w:val="16"/>
              </w:rPr>
              <w:t>Approver / executor</w:t>
            </w:r>
          </w:p>
        </w:tc>
        <w:tc>
          <w:tcPr>
            <w:tcW w:type="dxa" w:w="5040"/>
            <w:vAlign w:val="center"/>
            <w:shd w:fill="F0F4F8"/>
          </w:tcPr>
          <w:p>
            <w:pPr>
              <w:spacing w:after="20"/>
            </w:pPr>
            <w:r>
              <w:rPr>
                <w:sz w:val="16"/>
              </w:rPr>
              <w:t>________________________________________</w:t>
            </w:r>
          </w:p>
        </w:tc>
      </w:tr>
      <w:tr>
        <w:tc>
          <w:tcPr>
            <w:tcW w:type="dxa" w:w="5040"/>
            <w:vAlign w:val="center"/>
          </w:tcPr>
          <w:p>
            <w:pPr>
              <w:spacing w:after="20"/>
            </w:pPr>
            <w:r>
              <w:rPr>
                <w:sz w:val="16"/>
              </w:rPr>
              <w:t>Rollback / validation plan</w:t>
            </w:r>
          </w:p>
        </w:tc>
        <w:tc>
          <w:tcPr>
            <w:tcW w:type="dxa" w:w="5040"/>
            <w:vAlign w:val="center"/>
          </w:tcPr>
          <w:p>
            <w:pPr>
              <w:spacing w:after="20"/>
            </w:pPr>
            <w:r>
              <w:rPr>
                <w:sz w:val="16"/>
              </w:rPr>
              <w:t>________________________________________</w:t>
            </w:r>
          </w:p>
        </w:tc>
      </w:tr>
      <w:tr>
        <w:tc>
          <w:tcPr>
            <w:tcW w:type="dxa" w:w="5040"/>
            <w:vAlign w:val="center"/>
            <w:shd w:fill="F0F4F8"/>
          </w:tcPr>
          <w:p>
            <w:pPr>
              <w:spacing w:after="20"/>
            </w:pPr>
            <w:r>
              <w:rPr>
                <w:sz w:val="16"/>
              </w:rPr>
              <w:t>Result / follow-up</w:t>
            </w:r>
          </w:p>
        </w:tc>
        <w:tc>
          <w:tcPr>
            <w:tcW w:type="dxa" w:w="5040"/>
            <w:vAlign w:val="center"/>
            <w:shd w:fill="F0F4F8"/>
          </w:tcPr>
          <w:p>
            <w:pPr>
              <w:spacing w:after="20"/>
            </w:pPr>
            <w:r>
              <w:rPr>
                <w:sz w:val="16"/>
              </w:rPr>
              <w:t>________________________________________</w:t>
            </w:r>
          </w:p>
        </w:tc>
      </w:tr>
    </w:tbl>
    <w:p/>
    <w:p>
      <w:pPr>
        <w:pStyle w:val="Heading2"/>
      </w:pPr>
      <w:r>
        <w:t>D. Closure criteria</w:t>
      </w:r>
    </w:p>
    <w:p>
      <w:pPr>
        <w:pStyle w:val="ListBullet"/>
        <w:spacing w:after="40"/>
      </w:pPr>
      <w:r>
        <w:t>☐ Threat contained and no known persistence remains, or residual risk is formally accepted.</w:t>
      </w:r>
    </w:p>
    <w:p>
      <w:pPr>
        <w:pStyle w:val="ListBullet"/>
        <w:spacing w:after="40"/>
      </w:pPr>
      <w:r>
        <w:t>☐ Root cause fixed/mitigated and compromised credentials handled.</w:t>
      </w:r>
    </w:p>
    <w:p>
      <w:pPr>
        <w:pStyle w:val="ListBullet"/>
        <w:spacing w:after="40"/>
      </w:pPr>
      <w:r>
        <w:t>☐ Systems/data restored from trusted sources; integrity and critical workflows validated.</w:t>
      </w:r>
    </w:p>
    <w:p>
      <w:pPr>
        <w:pStyle w:val="ListBullet"/>
        <w:spacing w:after="40"/>
      </w:pPr>
      <w:r>
        <w:t>☐ Enhanced monitoring completed and exit criteria met.</w:t>
      </w:r>
    </w:p>
    <w:p>
      <w:pPr>
        <w:pStyle w:val="ListBullet"/>
        <w:spacing w:after="40"/>
      </w:pPr>
      <w:r>
        <w:t>☐ Required notifications and stakeholder updates completed or assigned with deadlines.</w:t>
      </w:r>
    </w:p>
    <w:p>
      <w:pPr>
        <w:pStyle w:val="ListBullet"/>
        <w:spacing w:after="40"/>
      </w:pPr>
      <w:r>
        <w:t>☐ Incident report, evidence register, impact estimate and lessons/actions completed.</w:t>
      </w:r>
    </w:p>
    <w:p>
      <w:pPr>
        <w:pStyle w:val="ListBullet"/>
        <w:spacing w:after="40"/>
      </w:pPr>
      <w:r>
        <w:t>☐ Service owner, security lead and IC approve closure; open actions remain tracked.</w:t>
      </w:r>
    </w:p>
    <w:p>
      <w:pPr>
        <w:pStyle w:val="Heading1"/>
      </w:pPr>
      <w:r>
        <w:t>15. Regulatory Considerations and References</w:t>
      </w:r>
    </w:p>
    <w:p>
      <w:r>
        <w:t>The sources below informed this educational plan. Verify current versions, applicability, amendments, reporting categories and commencement dates before relying on legal requirements.</w:t>
      </w:r>
    </w:p>
    <w:p>
      <w:pPr>
        <w:pStyle w:val="ListNumber"/>
        <w:spacing w:after="80"/>
      </w:pPr>
      <w:r>
        <w:t>NIST SP 800-61 Rev. 3 (April 2025), Incident Response Recommendations and Considerations for Cybersecurity Risk Management: A CSF 2.0 Community Profile.</w:t>
        <w:br/>
      </w:r>
      <w:r>
        <w:rPr>
          <w:color w:val="006699"/>
          <w:sz w:val="16"/>
        </w:rPr>
        <w:t>https://csrc.nist.gov/pubs/sp/800/61/r3/final</w:t>
      </w:r>
    </w:p>
    <w:p>
      <w:pPr>
        <w:pStyle w:val="ListNumber"/>
        <w:spacing w:after="80"/>
      </w:pPr>
      <w:r>
        <w:t>NIST Incident Response project page and lifecycle resources.</w:t>
        <w:br/>
      </w:r>
      <w:r>
        <w:rPr>
          <w:color w:val="006699"/>
          <w:sz w:val="16"/>
        </w:rPr>
        <w:t>https://csrc.nist.gov/projects/incident-response</w:t>
      </w:r>
    </w:p>
    <w:p>
      <w:pPr>
        <w:pStyle w:val="ListNumber"/>
        <w:spacing w:after="80"/>
      </w:pPr>
      <w:r>
        <w:t>CERT-In, Directions under section 70B of the Information Technology Act, 2000 (28 April 2022) and official FAQs.</w:t>
        <w:br/>
      </w:r>
      <w:r>
        <w:rPr>
          <w:color w:val="006699"/>
          <w:sz w:val="16"/>
        </w:rPr>
        <w:t>https://www.cert-in.org.in/Directions70B.jsp</w:t>
      </w:r>
    </w:p>
    <w:p>
      <w:pPr>
        <w:pStyle w:val="ListNumber"/>
        <w:spacing w:after="80"/>
      </w:pPr>
      <w:r>
        <w:t>CERT-In official FAQ on Cyber Security Directions (May 2022).</w:t>
        <w:br/>
      </w:r>
      <w:r>
        <w:rPr>
          <w:color w:val="006699"/>
          <w:sz w:val="16"/>
        </w:rPr>
        <w:t>https://www.cert-in.org.in/PDF/FAQs_on_CyberSecurityDirections_May2022.pdf</w:t>
      </w:r>
    </w:p>
    <w:p>
      <w:pPr>
        <w:pStyle w:val="ListNumber"/>
        <w:spacing w:after="80"/>
      </w:pPr>
      <w:r>
        <w:t>CISA, Federal Government Cybersecurity Incident and Vulnerability Response Playbooks (US federal context; comparative practice reference).</w:t>
        <w:br/>
      </w:r>
      <w:r>
        <w:rPr>
          <w:color w:val="006699"/>
          <w:sz w:val="16"/>
        </w:rPr>
        <w:t>https://www.cisa.gov/sites/default/files/publications/Cybersecurity_Incident_Vulnerability_Response_Playbooks_508C.pdf</w:t>
      </w:r>
    </w:p>
    <w:p>
      <w:pPr>
        <w:pStyle w:val="ListNumber"/>
        <w:spacing w:after="80"/>
      </w:pPr>
      <w:r>
        <w:t>NIST SP 800-184, Guide for Cybersecurity Event Recovery.</w:t>
        <w:br/>
      </w:r>
      <w:r>
        <w:rPr>
          <w:color w:val="006699"/>
          <w:sz w:val="16"/>
        </w:rPr>
        <w:t>https://csrc.nist.gov/pubs/sp/800/184/final</w:t>
      </w:r>
    </w:p>
    <w:p>
      <w:pPr>
        <w:pStyle w:val="ListNumber"/>
        <w:spacing w:after="80"/>
      </w:pPr>
      <w:r>
        <w:t>Digital Personal Data Protection Act, 2023 — India Code; verify current rules and commencement notifications.</w:t>
        <w:br/>
      </w:r>
      <w:r>
        <w:rPr>
          <w:color w:val="006699"/>
          <w:sz w:val="16"/>
        </w:rPr>
        <w:t>https://www.indiacode.nic.in/</w:t>
      </w:r>
    </w:p>
    <w:p>
      <w:r>
        <w:t>Legal note: This document does not replace legal advice, an approved incident response policy, or instructions from a relevant authority. Preserve evidence and escalate reporting assessments promptly; authorised personnel should submit reports through verified official channels.</w:t>
      </w:r>
    </w:p>
    <w:p>
      <w:pPr>
        <w:pStyle w:val="Heading1"/>
      </w:pPr>
      <w:r>
        <w:t>Appendix: Example Incident Walkthrough</w:t>
      </w:r>
    </w:p>
    <w:p>
      <w:r>
        <w:t>Scenario: monitoring detects unusual administrator sign-ins followed by bulk citizen-record exports from a public-service portal. This is illustrative, not a real incident.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83755"/>
          </w:tcPr>
          <w:p>
            <w:r>
              <w:rPr>
                <w:b/>
                <w:color w:val="FFFFFF"/>
                <w:sz w:val="14"/>
              </w:rPr>
              <w:t>Illustrative time</w:t>
            </w:r>
          </w:p>
        </w:tc>
        <w:tc>
          <w:tcPr>
            <w:tcW w:type="dxa" w:w="3360"/>
            <w:shd w:fill="183755"/>
          </w:tcPr>
          <w:p>
            <w:r>
              <w:rPr>
                <w:b/>
                <w:color w:val="FFFFFF"/>
                <w:sz w:val="14"/>
              </w:rPr>
              <w:t>Action</w:t>
            </w:r>
          </w:p>
        </w:tc>
        <w:tc>
          <w:tcPr>
            <w:tcW w:type="dxa" w:w="3360"/>
            <w:shd w:fill="183755"/>
          </w:tcPr>
          <w:p>
            <w:r>
              <w:rPr>
                <w:b/>
                <w:color w:val="FFFFFF"/>
                <w:sz w:val="14"/>
              </w:rPr>
              <w:t>Reason / outcome</w:t>
            </w:r>
          </w:p>
        </w:tc>
      </w:tr>
      <w:tr>
        <w:tc>
          <w:tcPr>
            <w:tcW w:type="dxa" w:w="3360"/>
            <w:vAlign w:val="center"/>
          </w:tcPr>
          <w:p>
            <w:pPr>
              <w:spacing w:after="20"/>
            </w:pPr>
            <w:r>
              <w:rPr>
                <w:sz w:val="14"/>
              </w:rPr>
              <w:t>0–15 minutes</w:t>
            </w:r>
          </w:p>
        </w:tc>
        <w:tc>
          <w:tcPr>
            <w:tcW w:type="dxa" w:w="3360"/>
            <w:vAlign w:val="center"/>
          </w:tcPr>
          <w:p>
            <w:pPr>
              <w:spacing w:after="20"/>
            </w:pPr>
            <w:r>
              <w:rPr>
                <w:sz w:val="14"/>
              </w:rPr>
              <w:t>Open SEV-1/SEV-2 candidate case; alert IC, identity lead, app owner and privacy/legal; preserve identity/export logs.</w:t>
            </w:r>
          </w:p>
        </w:tc>
        <w:tc>
          <w:tcPr>
            <w:tcW w:type="dxa" w:w="3360"/>
            <w:vAlign w:val="center"/>
          </w:tcPr>
          <w:p>
            <w:pPr>
              <w:spacing w:after="20"/>
            </w:pPr>
            <w:r>
              <w:rPr>
                <w:sz w:val="14"/>
              </w:rPr>
              <w:t>Create command structure and prevent log loss; severity remains provisional.</w:t>
            </w:r>
          </w:p>
        </w:tc>
      </w:tr>
      <w:tr>
        <w:tc>
          <w:tcPr>
            <w:tcW w:type="dxa" w:w="3360"/>
            <w:vAlign w:val="center"/>
            <w:shd w:fill="F0F4F8"/>
          </w:tcPr>
          <w:p>
            <w:pPr>
              <w:spacing w:after="20"/>
            </w:pPr>
            <w:r>
              <w:rPr>
                <w:sz w:val="14"/>
              </w:rPr>
              <w:t>15–30 minutes</w:t>
            </w:r>
          </w:p>
        </w:tc>
        <w:tc>
          <w:tcPr>
            <w:tcW w:type="dxa" w:w="3360"/>
            <w:vAlign w:val="center"/>
            <w:shd w:fill="F0F4F8"/>
          </w:tcPr>
          <w:p>
            <w:pPr>
              <w:spacing w:after="20"/>
            </w:pPr>
            <w:r>
              <w:rPr>
                <w:sz w:val="14"/>
              </w:rPr>
              <w:t>Revoke suspicious sessions, restrict compromised account, block export path if safe, check other privileged accounts.</w:t>
            </w:r>
          </w:p>
        </w:tc>
        <w:tc>
          <w:tcPr>
            <w:tcW w:type="dxa" w:w="3360"/>
            <w:vAlign w:val="center"/>
            <w:shd w:fill="F0F4F8"/>
          </w:tcPr>
          <w:p>
            <w:pPr>
              <w:spacing w:after="20"/>
            </w:pPr>
            <w:r>
              <w:rPr>
                <w:sz w:val="14"/>
              </w:rPr>
              <w:t>Stop access while limiting unnecessary outage.</w:t>
            </w:r>
          </w:p>
        </w:tc>
      </w:tr>
      <w:tr>
        <w:tc>
          <w:tcPr>
            <w:tcW w:type="dxa" w:w="3360"/>
            <w:vAlign w:val="center"/>
          </w:tcPr>
          <w:p>
            <w:pPr>
              <w:spacing w:after="20"/>
            </w:pPr>
            <w:r>
              <w:rPr>
                <w:sz w:val="14"/>
              </w:rPr>
              <w:t>30–60 minutes</w:t>
            </w:r>
          </w:p>
        </w:tc>
        <w:tc>
          <w:tcPr>
            <w:tcW w:type="dxa" w:w="3360"/>
            <w:vAlign w:val="center"/>
          </w:tcPr>
          <w:p>
            <w:pPr>
              <w:spacing w:after="20"/>
            </w:pPr>
            <w:r>
              <w:rPr>
                <w:sz w:val="14"/>
              </w:rPr>
              <w:t>Map records/services affected; preserve database/cloud/endpoint/network evidence; assess deadlines and contact providers.</w:t>
            </w:r>
          </w:p>
        </w:tc>
        <w:tc>
          <w:tcPr>
            <w:tcW w:type="dxa" w:w="3360"/>
            <w:vAlign w:val="center"/>
          </w:tcPr>
          <w:p>
            <w:pPr>
              <w:spacing w:after="20"/>
            </w:pPr>
            <w:r>
              <w:rPr>
                <w:sz w:val="14"/>
              </w:rPr>
              <w:t>Build impact picture and avoid missing obligations.</w:t>
            </w:r>
          </w:p>
        </w:tc>
      </w:tr>
      <w:tr>
        <w:tc>
          <w:tcPr>
            <w:tcW w:type="dxa" w:w="3360"/>
            <w:vAlign w:val="center"/>
            <w:shd w:fill="F0F4F8"/>
          </w:tcPr>
          <w:p>
            <w:pPr>
              <w:spacing w:after="20"/>
            </w:pPr>
            <w:r>
              <w:rPr>
                <w:sz w:val="14"/>
              </w:rPr>
              <w:t>1–4 hours</w:t>
            </w:r>
          </w:p>
        </w:tc>
        <w:tc>
          <w:tcPr>
            <w:tcW w:type="dxa" w:w="3360"/>
            <w:vAlign w:val="center"/>
            <w:shd w:fill="F0F4F8"/>
          </w:tcPr>
          <w:p>
            <w:pPr>
              <w:spacing w:after="20"/>
            </w:pPr>
            <w:r>
              <w:rPr>
                <w:sz w:val="14"/>
              </w:rPr>
              <w:t>Rotate credentials from clean environment; inspect persistence/config changes; mitigate exploited path.</w:t>
            </w:r>
          </w:p>
        </w:tc>
        <w:tc>
          <w:tcPr>
            <w:tcW w:type="dxa" w:w="3360"/>
            <w:vAlign w:val="center"/>
            <w:shd w:fill="F0F4F8"/>
          </w:tcPr>
          <w:p>
            <w:pPr>
              <w:spacing w:after="20"/>
            </w:pPr>
            <w:r>
              <w:rPr>
                <w:sz w:val="14"/>
              </w:rPr>
              <w:t>Remove access and close immediate entry point.</w:t>
            </w:r>
          </w:p>
        </w:tc>
      </w:tr>
      <w:tr>
        <w:tc>
          <w:tcPr>
            <w:tcW w:type="dxa" w:w="3360"/>
            <w:vAlign w:val="center"/>
          </w:tcPr>
          <w:p>
            <w:pPr>
              <w:spacing w:after="20"/>
            </w:pPr>
            <w:r>
              <w:rPr>
                <w:sz w:val="14"/>
              </w:rPr>
              <w:t>4–24 hours</w:t>
            </w:r>
          </w:p>
        </w:tc>
        <w:tc>
          <w:tcPr>
            <w:tcW w:type="dxa" w:w="3360"/>
            <w:vAlign w:val="center"/>
          </w:tcPr>
          <w:p>
            <w:pPr>
              <w:spacing w:after="20"/>
            </w:pPr>
            <w:r>
              <w:rPr>
                <w:sz w:val="14"/>
              </w:rPr>
              <w:t>Threat hunt, validate fix, reconcile records, decide staged restoration, issue approved updates.</w:t>
            </w:r>
          </w:p>
        </w:tc>
        <w:tc>
          <w:tcPr>
            <w:tcW w:type="dxa" w:w="3360"/>
            <w:vAlign w:val="center"/>
          </w:tcPr>
          <w:p>
            <w:pPr>
              <w:spacing w:after="20"/>
            </w:pPr>
            <w:r>
              <w:rPr>
                <w:sz w:val="14"/>
              </w:rPr>
              <w:t>Restore only after integrity/access checks.</w:t>
            </w:r>
          </w:p>
        </w:tc>
      </w:tr>
      <w:tr>
        <w:tc>
          <w:tcPr>
            <w:tcW w:type="dxa" w:w="3360"/>
            <w:vAlign w:val="center"/>
            <w:shd w:fill="F0F4F8"/>
          </w:tcPr>
          <w:p>
            <w:pPr>
              <w:spacing w:after="20"/>
            </w:pPr>
            <w:r>
              <w:rPr>
                <w:sz w:val="14"/>
              </w:rPr>
              <w:t>After stabilisation</w:t>
            </w:r>
          </w:p>
        </w:tc>
        <w:tc>
          <w:tcPr>
            <w:tcW w:type="dxa" w:w="3360"/>
            <w:vAlign w:val="center"/>
            <w:shd w:fill="F0F4F8"/>
          </w:tcPr>
          <w:p>
            <w:pPr>
              <w:spacing w:after="20"/>
            </w:pPr>
            <w:r>
              <w:rPr>
                <w:sz w:val="14"/>
              </w:rPr>
              <w:t>Review root cause, improve detections/access policies, test fixes and share sanitised lessons.</w:t>
            </w:r>
          </w:p>
        </w:tc>
        <w:tc>
          <w:tcPr>
            <w:tcW w:type="dxa" w:w="3360"/>
            <w:vAlign w:val="center"/>
            <w:shd w:fill="F0F4F8"/>
          </w:tcPr>
          <w:p>
            <w:pPr>
              <w:spacing w:after="20"/>
            </w:pPr>
            <w:r>
              <w:rPr>
                <w:sz w:val="14"/>
              </w:rPr>
              <w:t>Reduce likelihood and impact of recurrence.</w:t>
            </w:r>
          </w:p>
        </w:tc>
      </w:tr>
    </w:tbl>
    <w:p/>
    <w:p>
      <w:r>
        <w:t>Exact actions, timing, severity and reporting depend on evidence, architecture, business impact and applicable law. Revisit decisions as new facts emerge.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Educational model document • Adapt before operational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E-GOVERNANCE &amp; DIGITAL SERVICES | INCIDENT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7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37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7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