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1B4"/>
          <w:sz w:val="24"/>
        </w:rPr>
        <w:t>WEEK 2 | CYBERSECURITY INTERNSHIP REPORT</w:t>
      </w:r>
    </w:p>
    <w:p>
      <w:pPr>
        <w:pStyle w:val="Title"/>
        <w:jc w:val="center"/>
      </w:pPr>
      <w:r>
        <w:t>Vulnerability Assessment</w:t>
        <w:br/>
        <w:t>and Threat Modeling</w:t>
      </w:r>
    </w:p>
    <w:p>
      <w:pPr>
        <w:jc w:val="center"/>
      </w:pPr>
      <w:r>
        <w:rPr>
          <w:i/>
          <w:sz w:val="26"/>
        </w:rPr>
        <w:t>Risk-based review of a hypothetical e-governance digital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8"/>
              </w:rPr>
              <w:t>Prepared for</w:t>
            </w:r>
          </w:p>
        </w:tc>
        <w:tc>
          <w:tcPr>
            <w:tcW w:type="dxa" w:w="3408"/>
            <w:shd w:fill="12466A"/>
          </w:tcPr>
          <w:p>
            <w:r>
              <w:rPr>
                <w:b/>
                <w:color w:val="FFFFFF"/>
                <w:sz w:val="18"/>
              </w:rPr>
              <w:t>Internship role</w:t>
            </w:r>
          </w:p>
        </w:tc>
        <w:tc>
          <w:tcPr>
            <w:tcW w:type="dxa" w:w="3408"/>
            <w:shd w:fill="12466A"/>
          </w:tcPr>
          <w:p>
            <w:r>
              <w:rPr>
                <w:b/>
                <w:color w:val="FFFFFF"/>
                <w:sz w:val="18"/>
              </w:rPr>
              <w:t>Period</w:t>
            </w:r>
          </w:p>
        </w:tc>
      </w:tr>
      <w:tr>
        <w:tc>
          <w:tcPr>
            <w:tcW w:type="dxa" w:w="3408"/>
          </w:tcPr>
          <w:p>
            <w:pPr>
              <w:spacing w:after="0"/>
            </w:pPr>
            <w:r>
              <w:rPr>
                <w:sz w:val="18"/>
              </w:rPr>
              <w:t>YuvaIntern</w:t>
            </w:r>
          </w:p>
        </w:tc>
        <w:tc>
          <w:tcPr>
            <w:tcW w:type="dxa" w:w="3408"/>
          </w:tcPr>
          <w:p>
            <w:pPr>
              <w:spacing w:after="0"/>
            </w:pPr>
            <w:r>
              <w:rPr>
                <w:sz w:val="18"/>
              </w:rPr>
              <w:t>Junior Cyber Security Analyst – E-Governance &amp; Digital Services</w:t>
            </w:r>
          </w:p>
        </w:tc>
        <w:tc>
          <w:tcPr>
            <w:tcW w:type="dxa" w:w="3408"/>
          </w:tcPr>
          <w:p>
            <w:pPr>
              <w:spacing w:after="0"/>
            </w:pPr>
            <w:r>
              <w:rPr>
                <w:sz w:val="18"/>
              </w:rPr>
              <w:t>16 Oct–27 Nov 2026</w:t>
            </w:r>
          </w:p>
        </w:tc>
      </w:tr>
    </w:tbl>
    <w:p/>
    <w:p>
      <w:pPr>
        <w:jc w:val="center"/>
      </w:pPr>
      <w:r>
        <w:rPr>
          <w:b/>
        </w:rPr>
        <w:t>Prepared by: Kalyan Baraik | BCA, 4th Year, 7th Semester</w:t>
      </w:r>
    </w:p>
    <w:p>
      <w:pPr>
        <w:jc w:val="center"/>
      </w:pPr>
      <w:r>
        <w:rPr>
          <w:i/>
        </w:rPr>
        <w:t>Desk-based hypothetical assessment; no production system tested</w:t>
      </w:r>
    </w:p>
    <w:p>
      <w:r>
        <w:br w:type="page"/>
      </w:r>
    </w:p>
    <w:p>
      <w:pPr>
        <w:pStyle w:val="Heading1"/>
      </w:pPr>
      <w:r>
        <w:t>Executive Summary</w:t>
      </w:r>
    </w:p>
    <w:p>
      <w:pPr>
        <w:spacing w:after="80"/>
      </w:pPr>
      <w:r>
        <w:t>This report assesses potential security risks in a hypothetical Indian e-governance portal where citizens sign in, submit applications, upload documents, check status and interact with public-service APIs. It is a literature-based assessment—not a penetration test, vulnerability scan, or claim that any named government system has these weaknesses.</w:t>
      </w:r>
    </w:p>
    <w:p>
      <w:pPr>
        <w:spacing w:after="80"/>
      </w:pPr>
      <w:r>
        <w:t>A transparent 5 × 5 likelihood-impact matrix prioritizes broken access control, account takeover, injection, security misconfiguration, and ransomware/service disruption. Scores are illustrative estimates, not measured findings. Each risk includes a rationale, attack scenario, impact and practical control. The approach references NIST SP 800-30 Rev. 1, OWASP Top 10:2025 and CERT-In public materials.</w:t>
      </w:r>
    </w:p>
    <w:p>
      <w:pPr>
        <w:spacing w:after="80"/>
      </w:pPr>
      <w:r>
        <w:t>Priority actions are server-side object authorization, stronger authentication and recovery, parameterized database queries, secure storage/API configuration, centralized logging, dependency management, and isolated backup restoration tests.</w:t>
      </w:r>
    </w:p>
    <w:p>
      <w:pPr>
        <w:pStyle w:val="Heading1"/>
      </w:pPr>
      <w:r>
        <w:t>Scope, Assumptions and Limitations</w:t>
      </w:r>
    </w:p>
    <w:p>
      <w:pPr>
        <w:pStyle w:val="ListBullet"/>
        <w:spacing w:after="40"/>
      </w:pPr>
      <w:r>
        <w:t>In scope: public interface, authentication, sessions, APIs, application logic, citizen database, document storage, third-party integrations, logging and recovery.</w:t>
      </w:r>
    </w:p>
    <w:p>
      <w:pPr>
        <w:pStyle w:val="ListBullet"/>
        <w:spacing w:after="40"/>
      </w:pPr>
      <w:r>
        <w:t>Assumption: the hypothetical portal stores personal data and supports application submission and status checks; its actual architecture and controls are unknown.</w:t>
      </w:r>
    </w:p>
    <w:p>
      <w:pPr>
        <w:pStyle w:val="ListBullet"/>
        <w:spacing w:after="40"/>
      </w:pPr>
      <w:r>
        <w:t>Out of scope: testing real public services, scanning external systems, exploiting vulnerabilities or accessing real citizen data.</w:t>
      </w:r>
    </w:p>
    <w:p>
      <w:pPr>
        <w:pStyle w:val="ListBullet"/>
        <w:spacing w:after="40"/>
      </w:pPr>
      <w:r>
        <w:t>No live testing was performed. Risks and scores are hypothetical scenarios to guide authorized assessment planning.</w:t>
      </w:r>
    </w:p>
    <w:p>
      <w:pPr>
        <w:pStyle w:val="ListBullet"/>
        <w:spacing w:after="40"/>
      </w:pPr>
      <w:r>
        <w:t>Before operational use, the system owner must validate assumptions and confirm applicable legal, privacy and contractual requirements.</w:t>
      </w:r>
    </w:p>
    <w:p>
      <w:pPr>
        <w:pStyle w:val="Heading1"/>
      </w:pPr>
      <w:r>
        <w:t>1. Information Gathering</w:t>
      </w:r>
    </w:p>
    <w:p>
      <w:pPr>
        <w:pStyle w:val="Heading2"/>
      </w:pPr>
      <w:r>
        <w:t>1.1 Methodology</w:t>
      </w:r>
    </w:p>
    <w:p>
      <w:pPr>
        <w:spacing w:after="80"/>
      </w:pPr>
      <w:r>
        <w:t>The workflow is: define assets and trust boundaries; map roles and data flows; identify likely attack surfaces; map threats to recognized categories; estimate likelihood and impact; prioritize risks; and assign controls and validation evidence. This is consistent with the risk-assessment purpose of NIST SP 800-30 Rev. 1. OWASP Top 10:2025 is used as an application-risk taxonomy, not as a complete testing standard.</w:t>
      </w:r>
    </w:p>
    <w:p>
      <w:pPr>
        <w:pStyle w:val="Heading2"/>
      </w:pPr>
      <w:r>
        <w:t>1.2 Asset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5"/>
              </w:rPr>
              <w:t>Asset / component</w:t>
            </w:r>
          </w:p>
        </w:tc>
        <w:tc>
          <w:tcPr>
            <w:tcW w:type="dxa" w:w="3408"/>
            <w:shd w:fill="12466A"/>
          </w:tcPr>
          <w:p>
            <w:r>
              <w:rPr>
                <w:b/>
                <w:color w:val="FFFFFF"/>
                <w:sz w:val="15"/>
              </w:rPr>
              <w:t>Security objective</w:t>
            </w:r>
          </w:p>
        </w:tc>
        <w:tc>
          <w:tcPr>
            <w:tcW w:type="dxa" w:w="3408"/>
            <w:shd w:fill="12466A"/>
          </w:tcPr>
          <w:p>
            <w:r>
              <w:rPr>
                <w:b/>
                <w:color w:val="FFFFFF"/>
                <w:sz w:val="15"/>
              </w:rPr>
              <w:t>Potential consequence</w:t>
            </w:r>
          </w:p>
        </w:tc>
      </w:tr>
      <w:tr>
        <w:tc>
          <w:tcPr>
            <w:tcW w:type="dxa" w:w="3408"/>
          </w:tcPr>
          <w:p>
            <w:pPr>
              <w:spacing w:after="0"/>
            </w:pPr>
            <w:r>
              <w:rPr>
                <w:sz w:val="15"/>
              </w:rPr>
              <w:t>Citizen accounts and identity data</w:t>
            </w:r>
          </w:p>
        </w:tc>
        <w:tc>
          <w:tcPr>
            <w:tcW w:type="dxa" w:w="3408"/>
          </w:tcPr>
          <w:p>
            <w:pPr>
              <w:spacing w:after="0"/>
            </w:pPr>
            <w:r>
              <w:rPr>
                <w:sz w:val="15"/>
              </w:rPr>
              <w:t>Confidentiality, integrity, availability</w:t>
            </w:r>
          </w:p>
        </w:tc>
        <w:tc>
          <w:tcPr>
            <w:tcW w:type="dxa" w:w="3408"/>
          </w:tcPr>
          <w:p>
            <w:pPr>
              <w:spacing w:after="0"/>
            </w:pPr>
            <w:r>
              <w:rPr>
                <w:sz w:val="15"/>
              </w:rPr>
              <w:t>Identity misuse, privacy harm, fraudulent changes</w:t>
            </w:r>
          </w:p>
        </w:tc>
      </w:tr>
      <w:tr>
        <w:tc>
          <w:tcPr>
            <w:tcW w:type="dxa" w:w="3408"/>
            <w:shd w:fill="EEF4F8"/>
          </w:tcPr>
          <w:p>
            <w:pPr>
              <w:spacing w:after="0"/>
            </w:pPr>
            <w:r>
              <w:rPr>
                <w:sz w:val="15"/>
              </w:rPr>
              <w:t>Forms and uploaded documents</w:t>
            </w:r>
          </w:p>
        </w:tc>
        <w:tc>
          <w:tcPr>
            <w:tcW w:type="dxa" w:w="3408"/>
            <w:shd w:fill="EEF4F8"/>
          </w:tcPr>
          <w:p>
            <w:pPr>
              <w:spacing w:after="0"/>
            </w:pPr>
            <w:r>
              <w:rPr>
                <w:sz w:val="15"/>
              </w:rPr>
              <w:t>Integrity and confidentiality</w:t>
            </w:r>
          </w:p>
        </w:tc>
        <w:tc>
          <w:tcPr>
            <w:tcW w:type="dxa" w:w="3408"/>
            <w:shd w:fill="EEF4F8"/>
          </w:tcPr>
          <w:p>
            <w:pPr>
              <w:spacing w:after="0"/>
            </w:pPr>
            <w:r>
              <w:rPr>
                <w:sz w:val="15"/>
              </w:rPr>
              <w:t>Altered submissions or exposed documents</w:t>
            </w:r>
          </w:p>
        </w:tc>
      </w:tr>
      <w:tr>
        <w:tc>
          <w:tcPr>
            <w:tcW w:type="dxa" w:w="3408"/>
          </w:tcPr>
          <w:p>
            <w:pPr>
              <w:spacing w:after="0"/>
            </w:pPr>
            <w:r>
              <w:rPr>
                <w:sz w:val="15"/>
              </w:rPr>
              <w:t>Application status / case records</w:t>
            </w:r>
          </w:p>
        </w:tc>
        <w:tc>
          <w:tcPr>
            <w:tcW w:type="dxa" w:w="3408"/>
          </w:tcPr>
          <w:p>
            <w:pPr>
              <w:spacing w:after="0"/>
            </w:pPr>
            <w:r>
              <w:rPr>
                <w:sz w:val="15"/>
              </w:rPr>
              <w:t>Integrity and availability</w:t>
            </w:r>
          </w:p>
        </w:tc>
        <w:tc>
          <w:tcPr>
            <w:tcW w:type="dxa" w:w="3408"/>
          </w:tcPr>
          <w:p>
            <w:pPr>
              <w:spacing w:after="0"/>
            </w:pPr>
            <w:r>
              <w:rPr>
                <w:sz w:val="15"/>
              </w:rPr>
              <w:t>Incorrect status, service delays, loss of trust</w:t>
            </w:r>
          </w:p>
        </w:tc>
      </w:tr>
      <w:tr>
        <w:tc>
          <w:tcPr>
            <w:tcW w:type="dxa" w:w="3408"/>
            <w:shd w:fill="EEF4F8"/>
          </w:tcPr>
          <w:p>
            <w:pPr>
              <w:spacing w:after="0"/>
            </w:pPr>
            <w:r>
              <w:rPr>
                <w:sz w:val="15"/>
              </w:rPr>
              <w:t>Authentication and session service</w:t>
            </w:r>
          </w:p>
        </w:tc>
        <w:tc>
          <w:tcPr>
            <w:tcW w:type="dxa" w:w="3408"/>
            <w:shd w:fill="EEF4F8"/>
          </w:tcPr>
          <w:p>
            <w:pPr>
              <w:spacing w:after="0"/>
            </w:pPr>
            <w:r>
              <w:rPr>
                <w:sz w:val="15"/>
              </w:rPr>
              <w:t>Authenticity and access control</w:t>
            </w:r>
          </w:p>
        </w:tc>
        <w:tc>
          <w:tcPr>
            <w:tcW w:type="dxa" w:w="3408"/>
            <w:shd w:fill="EEF4F8"/>
          </w:tcPr>
          <w:p>
            <w:pPr>
              <w:spacing w:after="0"/>
            </w:pPr>
            <w:r>
              <w:rPr>
                <w:sz w:val="15"/>
              </w:rPr>
              <w:t>Account takeover</w:t>
            </w:r>
          </w:p>
        </w:tc>
      </w:tr>
      <w:tr>
        <w:tc>
          <w:tcPr>
            <w:tcW w:type="dxa" w:w="3408"/>
          </w:tcPr>
          <w:p>
            <w:pPr>
              <w:spacing w:after="0"/>
            </w:pPr>
            <w:r>
              <w:rPr>
                <w:sz w:val="15"/>
              </w:rPr>
              <w:t>Public APIs / third-party integrations</w:t>
            </w:r>
          </w:p>
        </w:tc>
        <w:tc>
          <w:tcPr>
            <w:tcW w:type="dxa" w:w="3408"/>
          </w:tcPr>
          <w:p>
            <w:pPr>
              <w:spacing w:after="0"/>
            </w:pPr>
            <w:r>
              <w:rPr>
                <w:sz w:val="15"/>
              </w:rPr>
              <w:t>Controlled access and availability</w:t>
            </w:r>
          </w:p>
        </w:tc>
        <w:tc>
          <w:tcPr>
            <w:tcW w:type="dxa" w:w="3408"/>
          </w:tcPr>
          <w:p>
            <w:pPr>
              <w:spacing w:after="0"/>
            </w:pPr>
            <w:r>
              <w:rPr>
                <w:sz w:val="15"/>
              </w:rPr>
              <w:t>Data leakage or abuse of linked services</w:t>
            </w:r>
          </w:p>
        </w:tc>
      </w:tr>
      <w:tr>
        <w:tc>
          <w:tcPr>
            <w:tcW w:type="dxa" w:w="3408"/>
            <w:shd w:fill="EEF4F8"/>
          </w:tcPr>
          <w:p>
            <w:pPr>
              <w:spacing w:after="0"/>
            </w:pPr>
            <w:r>
              <w:rPr>
                <w:sz w:val="15"/>
              </w:rPr>
              <w:t>Database, storage and backups</w:t>
            </w:r>
          </w:p>
        </w:tc>
        <w:tc>
          <w:tcPr>
            <w:tcW w:type="dxa" w:w="3408"/>
            <w:shd w:fill="EEF4F8"/>
          </w:tcPr>
          <w:p>
            <w:pPr>
              <w:spacing w:after="0"/>
            </w:pPr>
            <w:r>
              <w:rPr>
                <w:sz w:val="15"/>
              </w:rPr>
              <w:t>Confidentiality, integrity, recoverability</w:t>
            </w:r>
          </w:p>
        </w:tc>
        <w:tc>
          <w:tcPr>
            <w:tcW w:type="dxa" w:w="3408"/>
            <w:shd w:fill="EEF4F8"/>
          </w:tcPr>
          <w:p>
            <w:pPr>
              <w:spacing w:after="0"/>
            </w:pPr>
            <w:r>
              <w:rPr>
                <w:sz w:val="15"/>
              </w:rPr>
              <w:t>Bulk exposure, tampering, extended outage</w:t>
            </w:r>
          </w:p>
        </w:tc>
      </w:tr>
      <w:tr>
        <w:tc>
          <w:tcPr>
            <w:tcW w:type="dxa" w:w="3408"/>
          </w:tcPr>
          <w:p>
            <w:pPr>
              <w:spacing w:after="0"/>
            </w:pPr>
            <w:r>
              <w:rPr>
                <w:sz w:val="15"/>
              </w:rPr>
              <w:t>Admin accounts and logs</w:t>
            </w:r>
          </w:p>
        </w:tc>
        <w:tc>
          <w:tcPr>
            <w:tcW w:type="dxa" w:w="3408"/>
          </w:tcPr>
          <w:p>
            <w:pPr>
              <w:spacing w:after="0"/>
            </w:pPr>
            <w:r>
              <w:rPr>
                <w:sz w:val="15"/>
              </w:rPr>
              <w:t>Accountability and integrity</w:t>
            </w:r>
          </w:p>
        </w:tc>
        <w:tc>
          <w:tcPr>
            <w:tcW w:type="dxa" w:w="3408"/>
          </w:tcPr>
          <w:p>
            <w:pPr>
              <w:spacing w:after="0"/>
            </w:pPr>
            <w:r>
              <w:rPr>
                <w:sz w:val="15"/>
              </w:rPr>
              <w:t>Undetected compromise or lost evidence</w:t>
            </w:r>
          </w:p>
        </w:tc>
      </w:tr>
    </w:tbl>
    <w:p/>
    <w:p>
      <w:pPr>
        <w:pStyle w:val="Heading2"/>
      </w:pPr>
      <w:r>
        <w:t>1.3 Trust Boundaries and Attack Surface</w:t>
      </w:r>
    </w:p>
    <w:p>
      <w:pPr>
        <w:pStyle w:val="ListBullet"/>
        <w:spacing w:after="40"/>
      </w:pPr>
      <w:r>
        <w:t>Internet-to-portal: login, registration, password reset, search, application forms and file uploads.</w:t>
      </w:r>
    </w:p>
    <w:p>
      <w:pPr>
        <w:pStyle w:val="ListBullet"/>
        <w:spacing w:after="40"/>
      </w:pPr>
      <w:r>
        <w:t>Portal-to-API: token validation, object authorization, input schemas, quotas and service identity.</w:t>
      </w:r>
    </w:p>
    <w:p>
      <w:pPr>
        <w:pStyle w:val="ListBullet"/>
        <w:spacing w:after="40"/>
      </w:pPr>
      <w:r>
        <w:t>Application-to-database: query construction, database permissions, secrets and audit trails.</w:t>
      </w:r>
    </w:p>
    <w:p>
      <w:pPr>
        <w:pStyle w:val="ListBullet"/>
        <w:spacing w:after="40"/>
      </w:pPr>
      <w:r>
        <w:t>Portal-to-storage: object access policy, file validation, malware scanning and signed-link expiry.</w:t>
      </w:r>
    </w:p>
    <w:p>
      <w:pPr>
        <w:pStyle w:val="ListBullet"/>
        <w:spacing w:after="40"/>
      </w:pPr>
      <w:r>
        <w:t>Administrator/vendor boundary: privileged access, support accounts, software dependencies and deployment pipeline.</w:t>
      </w:r>
    </w:p>
    <w:p>
      <w:pPr>
        <w:pStyle w:val="Heading2"/>
      </w:pPr>
      <w:r>
        <w:t>1.4 Sources and Assessment Methods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5"/>
              </w:rPr>
              <w:t>Source / method</w:t>
            </w:r>
          </w:p>
        </w:tc>
        <w:tc>
          <w:tcPr>
            <w:tcW w:type="dxa" w:w="3408"/>
            <w:shd w:fill="12466A"/>
          </w:tcPr>
          <w:p>
            <w:r>
              <w:rPr>
                <w:b/>
                <w:color w:val="FFFFFF"/>
                <w:sz w:val="15"/>
              </w:rPr>
              <w:t>Purpose</w:t>
            </w:r>
          </w:p>
        </w:tc>
        <w:tc>
          <w:tcPr>
            <w:tcW w:type="dxa" w:w="3408"/>
            <w:shd w:fill="12466A"/>
          </w:tcPr>
          <w:p>
            <w:r>
              <w:rPr>
                <w:b/>
                <w:color w:val="FFFFFF"/>
                <w:sz w:val="15"/>
              </w:rPr>
              <w:t>Limitation</w:t>
            </w:r>
          </w:p>
        </w:tc>
      </w:tr>
      <w:tr>
        <w:tc>
          <w:tcPr>
            <w:tcW w:type="dxa" w:w="3408"/>
          </w:tcPr>
          <w:p>
            <w:pPr>
              <w:spacing w:after="0"/>
            </w:pPr>
            <w:r>
              <w:rPr>
                <w:sz w:val="15"/>
              </w:rPr>
              <w:t>NIST SP 800-30 Rev. 1</w:t>
            </w:r>
          </w:p>
        </w:tc>
        <w:tc>
          <w:tcPr>
            <w:tcW w:type="dxa" w:w="3408"/>
          </w:tcPr>
          <w:p>
            <w:pPr>
              <w:spacing w:after="0"/>
            </w:pPr>
            <w:r>
              <w:rPr>
                <w:sz w:val="15"/>
              </w:rPr>
              <w:t>Risk-assessment structure and rationale</w:t>
            </w:r>
          </w:p>
        </w:tc>
        <w:tc>
          <w:tcPr>
            <w:tcW w:type="dxa" w:w="3408"/>
          </w:tcPr>
          <w:p>
            <w:pPr>
              <w:spacing w:after="0"/>
            </w:pPr>
            <w:r>
              <w:rPr>
                <w:sz w:val="15"/>
              </w:rPr>
              <w:t>No system-specific findings</w:t>
            </w:r>
          </w:p>
        </w:tc>
      </w:tr>
      <w:tr>
        <w:tc>
          <w:tcPr>
            <w:tcW w:type="dxa" w:w="3408"/>
            <w:shd w:fill="EEF4F8"/>
          </w:tcPr>
          <w:p>
            <w:pPr>
              <w:spacing w:after="0"/>
            </w:pPr>
            <w:r>
              <w:rPr>
                <w:sz w:val="15"/>
              </w:rPr>
              <w:t>OWASP Top 10:2025</w:t>
            </w:r>
          </w:p>
        </w:tc>
        <w:tc>
          <w:tcPr>
            <w:tcW w:type="dxa" w:w="3408"/>
            <w:shd w:fill="EEF4F8"/>
          </w:tcPr>
          <w:p>
            <w:pPr>
              <w:spacing w:after="0"/>
            </w:pPr>
            <w:r>
              <w:rPr>
                <w:sz w:val="15"/>
              </w:rPr>
              <w:t>Application-risk categories</w:t>
            </w:r>
          </w:p>
        </w:tc>
        <w:tc>
          <w:tcPr>
            <w:tcW w:type="dxa" w:w="3408"/>
            <w:shd w:fill="EEF4F8"/>
          </w:tcPr>
          <w:p>
            <w:pPr>
              <w:spacing w:after="0"/>
            </w:pPr>
            <w:r>
              <w:rPr>
                <w:sz w:val="15"/>
              </w:rPr>
              <w:t>Awareness baseline, not a substitute for testing</w:t>
            </w:r>
          </w:p>
        </w:tc>
      </w:tr>
      <w:tr>
        <w:tc>
          <w:tcPr>
            <w:tcW w:type="dxa" w:w="3408"/>
          </w:tcPr>
          <w:p>
            <w:pPr>
              <w:spacing w:after="0"/>
            </w:pPr>
            <w:r>
              <w:rPr>
                <w:sz w:val="15"/>
              </w:rPr>
              <w:t>CERT-In official directions</w:t>
            </w:r>
          </w:p>
        </w:tc>
        <w:tc>
          <w:tcPr>
            <w:tcW w:type="dxa" w:w="3408"/>
          </w:tcPr>
          <w:p>
            <w:pPr>
              <w:spacing w:after="0"/>
            </w:pPr>
            <w:r>
              <w:rPr>
                <w:sz w:val="15"/>
              </w:rPr>
              <w:t>Indian incident-response and reporting context</w:t>
            </w:r>
          </w:p>
        </w:tc>
        <w:tc>
          <w:tcPr>
            <w:tcW w:type="dxa" w:w="3408"/>
          </w:tcPr>
          <w:p>
            <w:pPr>
              <w:spacing w:after="0"/>
            </w:pPr>
            <w:r>
              <w:rPr>
                <w:sz w:val="15"/>
              </w:rPr>
              <w:t>Applicability must be confirmed by the organization</w:t>
            </w:r>
          </w:p>
        </w:tc>
      </w:tr>
      <w:tr>
        <w:tc>
          <w:tcPr>
            <w:tcW w:type="dxa" w:w="3408"/>
            <w:shd w:fill="EEF4F8"/>
          </w:tcPr>
          <w:p>
            <w:pPr>
              <w:spacing w:after="0"/>
            </w:pPr>
            <w:r>
              <w:rPr>
                <w:sz w:val="15"/>
              </w:rPr>
              <w:t>Architecture/data-flow review</w:t>
            </w:r>
          </w:p>
        </w:tc>
        <w:tc>
          <w:tcPr>
            <w:tcW w:type="dxa" w:w="3408"/>
            <w:shd w:fill="EEF4F8"/>
          </w:tcPr>
          <w:p>
            <w:pPr>
              <w:spacing w:after="0"/>
            </w:pPr>
            <w:r>
              <w:rPr>
                <w:sz w:val="15"/>
              </w:rPr>
              <w:t>Identify hypothetical assets and trust boundaries</w:t>
            </w:r>
          </w:p>
        </w:tc>
        <w:tc>
          <w:tcPr>
            <w:tcW w:type="dxa" w:w="3408"/>
            <w:shd w:fill="EEF4F8"/>
          </w:tcPr>
          <w:p>
            <w:pPr>
              <w:spacing w:after="0"/>
            </w:pPr>
            <w:r>
              <w:rPr>
                <w:sz w:val="15"/>
              </w:rPr>
              <w:t>Actual architecture is unknown</w:t>
            </w:r>
          </w:p>
        </w:tc>
      </w:tr>
    </w:tbl>
    <w:p/>
    <w:p>
      <w:pPr>
        <w:spacing w:after="80"/>
      </w:pPr>
      <w:r>
        <w:t>Suitable authorized follow-up methods include architecture and configuration review, software-composition analysis (SCA), static analysis (SAST), dynamic testing (DAST) in staging, authenticated manual testing, log review and backup restoration exercises. Tools must only be used within written authorization and a defined scope.</w:t>
      </w:r>
    </w:p>
    <w:p>
      <w:pPr>
        <w:pStyle w:val="Heading1"/>
      </w:pPr>
      <w:r>
        <w:t>2. Vulnerability Analysis</w:t>
      </w:r>
    </w:p>
    <w:p>
      <w:pPr>
        <w:spacing w:after="80"/>
      </w:pPr>
      <w:r>
        <w:t>The items below are potential weaknesses to verify in an authorized assessment; they are not confirmed vulnerabilities in a real portal.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466A"/>
          </w:tcPr>
          <w:p>
            <w:r>
              <w:rPr>
                <w:b/>
                <w:color w:val="FFFFFF"/>
                <w:sz w:val="13"/>
              </w:rPr>
              <w:t>ID / weakness</w:t>
            </w:r>
          </w:p>
        </w:tc>
        <w:tc>
          <w:tcPr>
            <w:tcW w:type="dxa" w:w="2556"/>
            <w:shd w:fill="12466A"/>
          </w:tcPr>
          <w:p>
            <w:r>
              <w:rPr>
                <w:b/>
                <w:color w:val="FFFFFF"/>
                <w:sz w:val="13"/>
              </w:rPr>
              <w:t>Example scenario / attack path</w:t>
            </w:r>
          </w:p>
        </w:tc>
        <w:tc>
          <w:tcPr>
            <w:tcW w:type="dxa" w:w="2556"/>
            <w:shd w:fill="12466A"/>
          </w:tcPr>
          <w:p>
            <w:r>
              <w:rPr>
                <w:b/>
                <w:color w:val="FFFFFF"/>
                <w:sz w:val="13"/>
              </w:rPr>
              <w:t>Impact</w:t>
            </w:r>
          </w:p>
        </w:tc>
        <w:tc>
          <w:tcPr>
            <w:tcW w:type="dxa" w:w="2556"/>
            <w:shd w:fill="12466A"/>
          </w:tcPr>
          <w:p>
            <w:r>
              <w:rPr>
                <w:b/>
                <w:color w:val="FFFFFF"/>
                <w:sz w:val="13"/>
              </w:rPr>
              <w:t>Validation approach</w:t>
            </w:r>
          </w:p>
        </w:tc>
      </w:tr>
      <w:tr>
        <w:tc>
          <w:tcPr>
            <w:tcW w:type="dxa" w:w="2556"/>
          </w:tcPr>
          <w:p>
            <w:pPr>
              <w:spacing w:after="0"/>
            </w:pPr>
            <w:r>
              <w:rPr>
                <w:sz w:val="13"/>
              </w:rPr>
              <w:t>V01 Broken access control / IDOR</w:t>
            </w:r>
          </w:p>
        </w:tc>
        <w:tc>
          <w:tcPr>
            <w:tcW w:type="dxa" w:w="2556"/>
          </w:tcPr>
          <w:p>
            <w:pPr>
              <w:spacing w:after="0"/>
            </w:pPr>
            <w:r>
              <w:rPr>
                <w:sz w:val="13"/>
              </w:rPr>
              <w:t>Signed-in user changes an application ID and receives another citizen’s record.</w:t>
            </w:r>
          </w:p>
        </w:tc>
        <w:tc>
          <w:tcPr>
            <w:tcW w:type="dxa" w:w="2556"/>
          </w:tcPr>
          <w:p>
            <w:pPr>
              <w:spacing w:after="0"/>
            </w:pPr>
            <w:r>
              <w:rPr>
                <w:sz w:val="13"/>
              </w:rPr>
              <w:t>Unauthorized disclosure or modification.</w:t>
            </w:r>
          </w:p>
        </w:tc>
        <w:tc>
          <w:tcPr>
            <w:tcW w:type="dxa" w:w="2556"/>
          </w:tcPr>
          <w:p>
            <w:pPr>
              <w:spacing w:after="0"/>
            </w:pPr>
            <w:r>
              <w:rPr>
                <w:sz w:val="13"/>
              </w:rPr>
              <w:t>Synthetic test accounts; verify object-level authorization on each API request.</w:t>
            </w:r>
          </w:p>
        </w:tc>
      </w:tr>
      <w:tr>
        <w:tc>
          <w:tcPr>
            <w:tcW w:type="dxa" w:w="2556"/>
            <w:shd w:fill="EEF4F8"/>
          </w:tcPr>
          <w:p>
            <w:pPr>
              <w:spacing w:after="0"/>
            </w:pPr>
            <w:r>
              <w:rPr>
                <w:sz w:val="13"/>
              </w:rPr>
              <w:t>V02 Authentication / recovery weakness</w:t>
            </w:r>
          </w:p>
        </w:tc>
        <w:tc>
          <w:tcPr>
            <w:tcW w:type="dxa" w:w="2556"/>
            <w:shd w:fill="EEF4F8"/>
          </w:tcPr>
          <w:p>
            <w:pPr>
              <w:spacing w:after="0"/>
            </w:pPr>
            <w:r>
              <w:rPr>
                <w:sz w:val="13"/>
              </w:rPr>
              <w:t>Credential stuffing or weak recovery checks allow account takeover.</w:t>
            </w:r>
          </w:p>
        </w:tc>
        <w:tc>
          <w:tcPr>
            <w:tcW w:type="dxa" w:w="2556"/>
            <w:shd w:fill="EEF4F8"/>
          </w:tcPr>
          <w:p>
            <w:pPr>
              <w:spacing w:after="0"/>
            </w:pPr>
            <w:r>
              <w:rPr>
                <w:sz w:val="13"/>
              </w:rPr>
              <w:t>Fraudulent applications or privacy breach.</w:t>
            </w:r>
          </w:p>
        </w:tc>
        <w:tc>
          <w:tcPr>
            <w:tcW w:type="dxa" w:w="2556"/>
            <w:shd w:fill="EEF4F8"/>
          </w:tcPr>
          <w:p>
            <w:pPr>
              <w:spacing w:after="0"/>
            </w:pPr>
            <w:r>
              <w:rPr>
                <w:sz w:val="13"/>
              </w:rPr>
              <w:t>Review MFA, throttling, recovery checks, session revocation and alerts.</w:t>
            </w:r>
          </w:p>
        </w:tc>
      </w:tr>
      <w:tr>
        <w:tc>
          <w:tcPr>
            <w:tcW w:type="dxa" w:w="2556"/>
          </w:tcPr>
          <w:p>
            <w:pPr>
              <w:spacing w:after="0"/>
            </w:pPr>
            <w:r>
              <w:rPr>
                <w:sz w:val="13"/>
              </w:rPr>
              <w:t>V03 Injection / unsafe query handling</w:t>
            </w:r>
          </w:p>
        </w:tc>
        <w:tc>
          <w:tcPr>
            <w:tcW w:type="dxa" w:w="2556"/>
          </w:tcPr>
          <w:p>
            <w:pPr>
              <w:spacing w:after="0"/>
            </w:pPr>
            <w:r>
              <w:rPr>
                <w:sz w:val="13"/>
              </w:rPr>
              <w:t>Input is concatenated into a database query instead of parameterized.</w:t>
            </w:r>
          </w:p>
        </w:tc>
        <w:tc>
          <w:tcPr>
            <w:tcW w:type="dxa" w:w="2556"/>
          </w:tcPr>
          <w:p>
            <w:pPr>
              <w:spacing w:after="0"/>
            </w:pPr>
            <w:r>
              <w:rPr>
                <w:sz w:val="13"/>
              </w:rPr>
              <w:t>Data exposure, modification or failure.</w:t>
            </w:r>
          </w:p>
        </w:tc>
        <w:tc>
          <w:tcPr>
            <w:tcW w:type="dxa" w:w="2556"/>
          </w:tcPr>
          <w:p>
            <w:pPr>
              <w:spacing w:after="0"/>
            </w:pPr>
            <w:r>
              <w:rPr>
                <w:sz w:val="13"/>
              </w:rPr>
              <w:t>Code review and safe staging test cases; verify parameterized queries.</w:t>
            </w:r>
          </w:p>
        </w:tc>
      </w:tr>
      <w:tr>
        <w:tc>
          <w:tcPr>
            <w:tcW w:type="dxa" w:w="2556"/>
            <w:shd w:fill="EEF4F8"/>
          </w:tcPr>
          <w:p>
            <w:pPr>
              <w:spacing w:after="0"/>
            </w:pPr>
            <w:r>
              <w:rPr>
                <w:sz w:val="13"/>
              </w:rPr>
              <w:t>V04 Misconfiguration / exposed storage</w:t>
            </w:r>
          </w:p>
        </w:tc>
        <w:tc>
          <w:tcPr>
            <w:tcW w:type="dxa" w:w="2556"/>
            <w:shd w:fill="EEF4F8"/>
          </w:tcPr>
          <w:p>
            <w:pPr>
              <w:spacing w:after="0"/>
            </w:pPr>
            <w:r>
              <w:rPr>
                <w:sz w:val="13"/>
              </w:rPr>
              <w:t>Debug mode, permissive storage policy or leaked secret exposes records.</w:t>
            </w:r>
          </w:p>
        </w:tc>
        <w:tc>
          <w:tcPr>
            <w:tcW w:type="dxa" w:w="2556"/>
            <w:shd w:fill="EEF4F8"/>
          </w:tcPr>
          <w:p>
            <w:pPr>
              <w:spacing w:after="0"/>
            </w:pPr>
            <w:r>
              <w:rPr>
                <w:sz w:val="13"/>
              </w:rPr>
              <w:t>Bulk exposure or account compromise.</w:t>
            </w:r>
          </w:p>
        </w:tc>
        <w:tc>
          <w:tcPr>
            <w:tcW w:type="dxa" w:w="2556"/>
            <w:shd w:fill="EEF4F8"/>
          </w:tcPr>
          <w:p>
            <w:pPr>
              <w:spacing w:after="0"/>
            </w:pPr>
            <w:r>
              <w:rPr>
                <w:sz w:val="13"/>
              </w:rPr>
              <w:t>Review infrastructure config, storage ACLs, secrets and debug settings.</w:t>
            </w:r>
          </w:p>
        </w:tc>
      </w:tr>
      <w:tr>
        <w:tc>
          <w:tcPr>
            <w:tcW w:type="dxa" w:w="2556"/>
          </w:tcPr>
          <w:p>
            <w:pPr>
              <w:spacing w:after="0"/>
            </w:pPr>
            <w:r>
              <w:rPr>
                <w:sz w:val="13"/>
              </w:rPr>
              <w:t>V05 Weak session management</w:t>
            </w:r>
          </w:p>
        </w:tc>
        <w:tc>
          <w:tcPr>
            <w:tcW w:type="dxa" w:w="2556"/>
          </w:tcPr>
          <w:p>
            <w:pPr>
              <w:spacing w:after="0"/>
            </w:pPr>
            <w:r>
              <w:rPr>
                <w:sz w:val="13"/>
              </w:rPr>
              <w:t>Long-lived tokens or insecure cookies permit session reuse.</w:t>
            </w:r>
          </w:p>
        </w:tc>
        <w:tc>
          <w:tcPr>
            <w:tcW w:type="dxa" w:w="2556"/>
          </w:tcPr>
          <w:p>
            <w:pPr>
              <w:spacing w:after="0"/>
            </w:pPr>
            <w:r>
              <w:rPr>
                <w:sz w:val="13"/>
              </w:rPr>
              <w:t>Account persistence after compromise.</w:t>
            </w:r>
          </w:p>
        </w:tc>
        <w:tc>
          <w:tcPr>
            <w:tcW w:type="dxa" w:w="2556"/>
          </w:tcPr>
          <w:p>
            <w:pPr>
              <w:spacing w:after="0"/>
            </w:pPr>
            <w:r>
              <w:rPr>
                <w:sz w:val="13"/>
              </w:rPr>
              <w:t>Review cookie flags, token lifetime, rotation, revocation and logout.</w:t>
            </w:r>
          </w:p>
        </w:tc>
      </w:tr>
      <w:tr>
        <w:tc>
          <w:tcPr>
            <w:tcW w:type="dxa" w:w="2556"/>
            <w:shd w:fill="EEF4F8"/>
          </w:tcPr>
          <w:p>
            <w:pPr>
              <w:spacing w:after="0"/>
            </w:pPr>
            <w:r>
              <w:rPr>
                <w:sz w:val="13"/>
              </w:rPr>
              <w:t>V06 Unrestricted file upload</w:t>
            </w:r>
          </w:p>
        </w:tc>
        <w:tc>
          <w:tcPr>
            <w:tcW w:type="dxa" w:w="2556"/>
            <w:shd w:fill="EEF4F8"/>
          </w:tcPr>
          <w:p>
            <w:pPr>
              <w:spacing w:after="0"/>
            </w:pPr>
            <w:r>
              <w:rPr>
                <w:sz w:val="13"/>
              </w:rPr>
              <w:t>Dangerous file types or executable storage are allowed.</w:t>
            </w:r>
          </w:p>
        </w:tc>
        <w:tc>
          <w:tcPr>
            <w:tcW w:type="dxa" w:w="2556"/>
            <w:shd w:fill="EEF4F8"/>
          </w:tcPr>
          <w:p>
            <w:pPr>
              <w:spacing w:after="0"/>
            </w:pPr>
            <w:r>
              <w:rPr>
                <w:sz w:val="13"/>
              </w:rPr>
              <w:t>Malware delivery, stored script execution or storage abuse.</w:t>
            </w:r>
          </w:p>
        </w:tc>
        <w:tc>
          <w:tcPr>
            <w:tcW w:type="dxa" w:w="2556"/>
            <w:shd w:fill="EEF4F8"/>
          </w:tcPr>
          <w:p>
            <w:pPr>
              <w:spacing w:after="0"/>
            </w:pPr>
            <w:r>
              <w:rPr>
                <w:sz w:val="13"/>
              </w:rPr>
              <w:t>Check allowlist, size limits, scanning, random filenames and isolated storage.</w:t>
            </w:r>
          </w:p>
        </w:tc>
      </w:tr>
      <w:tr>
        <w:tc>
          <w:tcPr>
            <w:tcW w:type="dxa" w:w="2556"/>
          </w:tcPr>
          <w:p>
            <w:pPr>
              <w:spacing w:after="0"/>
            </w:pPr>
            <w:r>
              <w:rPr>
                <w:sz w:val="13"/>
              </w:rPr>
              <w:t>V07 API authorization / rate-limit gaps</w:t>
            </w:r>
          </w:p>
        </w:tc>
        <w:tc>
          <w:tcPr>
            <w:tcW w:type="dxa" w:w="2556"/>
          </w:tcPr>
          <w:p>
            <w:pPr>
              <w:spacing w:after="0"/>
            </w:pPr>
            <w:r>
              <w:rPr>
                <w:sz w:val="13"/>
              </w:rPr>
              <w:t>API permits excessive queries or misses per-user authorization.</w:t>
            </w:r>
          </w:p>
        </w:tc>
        <w:tc>
          <w:tcPr>
            <w:tcW w:type="dxa" w:w="2556"/>
          </w:tcPr>
          <w:p>
            <w:pPr>
              <w:spacing w:after="0"/>
            </w:pPr>
            <w:r>
              <w:rPr>
                <w:sz w:val="13"/>
              </w:rPr>
              <w:t>Data scraping or resource exhaustion.</w:t>
            </w:r>
          </w:p>
        </w:tc>
        <w:tc>
          <w:tcPr>
            <w:tcW w:type="dxa" w:w="2556"/>
          </w:tcPr>
          <w:p>
            <w:pPr>
              <w:spacing w:after="0"/>
            </w:pPr>
            <w:r>
              <w:rPr>
                <w:sz w:val="13"/>
              </w:rPr>
              <w:t>Review scopes, quotas, pagination and object authorization.</w:t>
            </w:r>
          </w:p>
        </w:tc>
      </w:tr>
      <w:tr>
        <w:tc>
          <w:tcPr>
            <w:tcW w:type="dxa" w:w="2556"/>
            <w:shd w:fill="EEF4F8"/>
          </w:tcPr>
          <w:p>
            <w:pPr>
              <w:spacing w:after="0"/>
            </w:pPr>
            <w:r>
              <w:rPr>
                <w:sz w:val="13"/>
              </w:rPr>
              <w:t>V08 Dependency / supply-chain risk</w:t>
            </w:r>
          </w:p>
        </w:tc>
        <w:tc>
          <w:tcPr>
            <w:tcW w:type="dxa" w:w="2556"/>
            <w:shd w:fill="EEF4F8"/>
          </w:tcPr>
          <w:p>
            <w:pPr>
              <w:spacing w:after="0"/>
            </w:pPr>
            <w:r>
              <w:rPr>
                <w:sz w:val="13"/>
              </w:rPr>
              <w:t>Unreviewed vulnerable or compromised library enters a release.</w:t>
            </w:r>
          </w:p>
        </w:tc>
        <w:tc>
          <w:tcPr>
            <w:tcW w:type="dxa" w:w="2556"/>
            <w:shd w:fill="EEF4F8"/>
          </w:tcPr>
          <w:p>
            <w:pPr>
              <w:spacing w:after="0"/>
            </w:pPr>
            <w:r>
              <w:rPr>
                <w:sz w:val="13"/>
              </w:rPr>
              <w:t>Compromise, data theft or outage.</w:t>
            </w:r>
          </w:p>
        </w:tc>
        <w:tc>
          <w:tcPr>
            <w:tcW w:type="dxa" w:w="2556"/>
            <w:shd w:fill="EEF4F8"/>
          </w:tcPr>
          <w:p>
            <w:pPr>
              <w:spacing w:after="0"/>
            </w:pPr>
            <w:r>
              <w:rPr>
                <w:sz w:val="13"/>
              </w:rPr>
              <w:t>Maintain dependency inventory/SBOM, scan packages and verify provenance.</w:t>
            </w:r>
          </w:p>
        </w:tc>
      </w:tr>
      <w:tr>
        <w:tc>
          <w:tcPr>
            <w:tcW w:type="dxa" w:w="2556"/>
          </w:tcPr>
          <w:p>
            <w:pPr>
              <w:spacing w:after="0"/>
            </w:pPr>
            <w:r>
              <w:rPr>
                <w:sz w:val="13"/>
              </w:rPr>
              <w:t>V09 Weak logging and alerting</w:t>
            </w:r>
          </w:p>
        </w:tc>
        <w:tc>
          <w:tcPr>
            <w:tcW w:type="dxa" w:w="2556"/>
          </w:tcPr>
          <w:p>
            <w:pPr>
              <w:spacing w:after="0"/>
            </w:pPr>
            <w:r>
              <w:rPr>
                <w:sz w:val="13"/>
              </w:rPr>
              <w:t>Login failures, privilege changes or bulk exports are not monitored.</w:t>
            </w:r>
          </w:p>
        </w:tc>
        <w:tc>
          <w:tcPr>
            <w:tcW w:type="dxa" w:w="2556"/>
          </w:tcPr>
          <w:p>
            <w:pPr>
              <w:spacing w:after="0"/>
            </w:pPr>
            <w:r>
              <w:rPr>
                <w:sz w:val="13"/>
              </w:rPr>
              <w:t>Delayed detection and poor investigation.</w:t>
            </w:r>
          </w:p>
        </w:tc>
        <w:tc>
          <w:tcPr>
            <w:tcW w:type="dxa" w:w="2556"/>
          </w:tcPr>
          <w:p>
            <w:pPr>
              <w:spacing w:after="0"/>
            </w:pPr>
            <w:r>
              <w:rPr>
                <w:sz w:val="13"/>
              </w:rPr>
              <w:t>Test event coverage, log integrity, retention, time sync and alert routing.</w:t>
            </w:r>
          </w:p>
        </w:tc>
      </w:tr>
      <w:tr>
        <w:tc>
          <w:tcPr>
            <w:tcW w:type="dxa" w:w="2556"/>
            <w:shd w:fill="EEF4F8"/>
          </w:tcPr>
          <w:p>
            <w:pPr>
              <w:spacing w:after="0"/>
            </w:pPr>
            <w:r>
              <w:rPr>
                <w:sz w:val="13"/>
              </w:rPr>
              <w:t>V10 Inadequate backups</w:t>
            </w:r>
          </w:p>
        </w:tc>
        <w:tc>
          <w:tcPr>
            <w:tcW w:type="dxa" w:w="2556"/>
            <w:shd w:fill="EEF4F8"/>
          </w:tcPr>
          <w:p>
            <w:pPr>
              <w:spacing w:after="0"/>
            </w:pPr>
            <w:r>
              <w:rPr>
                <w:sz w:val="13"/>
              </w:rPr>
              <w:t>Backups are online, untested or share compromised admin access.</w:t>
            </w:r>
          </w:p>
        </w:tc>
        <w:tc>
          <w:tcPr>
            <w:tcW w:type="dxa" w:w="2556"/>
            <w:shd w:fill="EEF4F8"/>
          </w:tcPr>
          <w:p>
            <w:pPr>
              <w:spacing w:after="0"/>
            </w:pPr>
            <w:r>
              <w:rPr>
                <w:sz w:val="13"/>
              </w:rPr>
              <w:t>Extended outage or permanent data loss.</w:t>
            </w:r>
          </w:p>
        </w:tc>
        <w:tc>
          <w:tcPr>
            <w:tcW w:type="dxa" w:w="2556"/>
            <w:shd w:fill="EEF4F8"/>
          </w:tcPr>
          <w:p>
            <w:pPr>
              <w:spacing w:after="0"/>
            </w:pPr>
            <w:r>
              <w:rPr>
                <w:sz w:val="13"/>
              </w:rPr>
              <w:t>Check isolation, access restrictions and timed restore tests.</w:t>
            </w:r>
          </w:p>
        </w:tc>
      </w:tr>
    </w:tbl>
    <w:p/>
    <w:p>
      <w:pPr>
        <w:pStyle w:val="Heading1"/>
      </w:pPr>
      <w:r>
        <w:t>3. Threat Modeling</w:t>
      </w:r>
    </w:p>
    <w:p>
      <w:pPr>
        <w:pStyle w:val="Heading2"/>
      </w:pPr>
      <w:r>
        <w:t>3.1 Actors, Assets and Trust</w:t>
      </w:r>
    </w:p>
    <w:p>
      <w:pPr>
        <w:pStyle w:val="ListBullet"/>
        <w:spacing w:after="40"/>
      </w:pPr>
      <w:r>
        <w:t>External actor: phishing, credential abuse, automated probing or malicious file submission.</w:t>
      </w:r>
    </w:p>
    <w:p>
      <w:pPr>
        <w:pStyle w:val="ListBullet"/>
        <w:spacing w:after="40"/>
      </w:pPr>
      <w:r>
        <w:t>Citizen: legitimate user who should access only their own records and authorized functions.</w:t>
      </w:r>
    </w:p>
    <w:p>
      <w:pPr>
        <w:pStyle w:val="ListBullet"/>
        <w:spacing w:after="40"/>
      </w:pPr>
      <w:r>
        <w:t>Administrator/support staff: privileged users whose actions need strong authentication and audit trails.</w:t>
      </w:r>
    </w:p>
    <w:p>
      <w:pPr>
        <w:pStyle w:val="ListBullet"/>
        <w:spacing w:after="40"/>
      </w:pPr>
      <w:r>
        <w:t>Third-party provider: identity, payment, notification, signing or hosting service connected through APIs.</w:t>
      </w:r>
    </w:p>
    <w:p>
      <w:pPr>
        <w:pStyle w:val="ListBullet"/>
        <w:spacing w:after="40"/>
      </w:pPr>
      <w:r>
        <w:t>Assets: citizen records, applications, uploaded documents, credentials, tokens, service availability and audit logs.</w:t>
      </w:r>
    </w:p>
    <w:p>
      <w:pPr>
        <w:pStyle w:val="Heading2"/>
      </w:pPr>
      <w:r>
        <w:t>3.2 Threat Model Diagram</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Week2_Threat_Model_Diagram.png"/>
                    <pic:cNvPicPr/>
                  </pic:nvPicPr>
                  <pic:blipFill>
                    <a:blip r:embed="rId9"/>
                    <a:stretch>
                      <a:fillRect/>
                    </a:stretch>
                  </pic:blipFill>
                  <pic:spPr>
                    <a:xfrm>
                      <a:off x="0" y="0"/>
                      <a:ext cx="6126480" cy="3829050"/>
                    </a:xfrm>
                    <a:prstGeom prst="rect"/>
                  </pic:spPr>
                </pic:pic>
              </a:graphicData>
            </a:graphic>
          </wp:inline>
        </w:drawing>
      </w:r>
    </w:p>
    <w:p>
      <w:pPr>
        <w:jc w:val="center"/>
      </w:pPr>
      <w:r>
        <w:rPr>
          <w:i/>
        </w:rPr>
        <w:t>Figure 1. Hypothetical service architecture, illustrative attack paths and defensive controls.</w:t>
      </w:r>
    </w:p>
    <w:p>
      <w:pPr>
        <w:pStyle w:val="Heading2"/>
      </w:pPr>
      <w:r>
        <w:t>3.3 STRIDE-Informed Threat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466A"/>
          </w:tcPr>
          <w:p>
            <w:r>
              <w:rPr>
                <w:b/>
                <w:color w:val="FFFFFF"/>
                <w:sz w:val="15"/>
              </w:rPr>
              <w:t>Category</w:t>
            </w:r>
          </w:p>
        </w:tc>
        <w:tc>
          <w:tcPr>
            <w:tcW w:type="dxa" w:w="2556"/>
            <w:shd w:fill="12466A"/>
          </w:tcPr>
          <w:p>
            <w:r>
              <w:rPr>
                <w:b/>
                <w:color w:val="FFFFFF"/>
                <w:sz w:val="15"/>
              </w:rPr>
              <w:t>Illustrative threat</w:t>
            </w:r>
          </w:p>
        </w:tc>
        <w:tc>
          <w:tcPr>
            <w:tcW w:type="dxa" w:w="2556"/>
            <w:shd w:fill="12466A"/>
          </w:tcPr>
          <w:p>
            <w:r>
              <w:rPr>
                <w:b/>
                <w:color w:val="FFFFFF"/>
                <w:sz w:val="15"/>
              </w:rPr>
              <w:t>Asset / property</w:t>
            </w:r>
          </w:p>
        </w:tc>
        <w:tc>
          <w:tcPr>
            <w:tcW w:type="dxa" w:w="2556"/>
            <w:shd w:fill="12466A"/>
          </w:tcPr>
          <w:p>
            <w:r>
              <w:rPr>
                <w:b/>
                <w:color w:val="FFFFFF"/>
                <w:sz w:val="15"/>
              </w:rPr>
              <w:t>Control direction</w:t>
            </w:r>
          </w:p>
        </w:tc>
      </w:tr>
      <w:tr>
        <w:tc>
          <w:tcPr>
            <w:tcW w:type="dxa" w:w="2556"/>
          </w:tcPr>
          <w:p>
            <w:pPr>
              <w:spacing w:after="0"/>
            </w:pPr>
            <w:r>
              <w:rPr>
                <w:sz w:val="15"/>
              </w:rPr>
              <w:t>Spoofing</w:t>
            </w:r>
          </w:p>
        </w:tc>
        <w:tc>
          <w:tcPr>
            <w:tcW w:type="dxa" w:w="2556"/>
          </w:tcPr>
          <w:p>
            <w:pPr>
              <w:spacing w:after="0"/>
            </w:pPr>
            <w:r>
              <w:rPr>
                <w:sz w:val="15"/>
              </w:rPr>
              <w:t>Stolen citizen/admin credentials</w:t>
            </w:r>
          </w:p>
        </w:tc>
        <w:tc>
          <w:tcPr>
            <w:tcW w:type="dxa" w:w="2556"/>
          </w:tcPr>
          <w:p>
            <w:pPr>
              <w:spacing w:after="0"/>
            </w:pPr>
            <w:r>
              <w:rPr>
                <w:sz w:val="15"/>
              </w:rPr>
              <w:t>Accounts; authenticity</w:t>
            </w:r>
          </w:p>
        </w:tc>
        <w:tc>
          <w:tcPr>
            <w:tcW w:type="dxa" w:w="2556"/>
          </w:tcPr>
          <w:p>
            <w:pPr>
              <w:spacing w:after="0"/>
            </w:pPr>
            <w:r>
              <w:rPr>
                <w:sz w:val="15"/>
              </w:rPr>
              <w:t>MFA, secure recovery, session protections</w:t>
            </w:r>
          </w:p>
        </w:tc>
      </w:tr>
      <w:tr>
        <w:tc>
          <w:tcPr>
            <w:tcW w:type="dxa" w:w="2556"/>
            <w:shd w:fill="EEF4F8"/>
          </w:tcPr>
          <w:p>
            <w:pPr>
              <w:spacing w:after="0"/>
            </w:pPr>
            <w:r>
              <w:rPr>
                <w:sz w:val="15"/>
              </w:rPr>
              <w:t>Tampering</w:t>
            </w:r>
          </w:p>
        </w:tc>
        <w:tc>
          <w:tcPr>
            <w:tcW w:type="dxa" w:w="2556"/>
            <w:shd w:fill="EEF4F8"/>
          </w:tcPr>
          <w:p>
            <w:pPr>
              <w:spacing w:after="0"/>
            </w:pPr>
            <w:r>
              <w:rPr>
                <w:sz w:val="15"/>
              </w:rPr>
              <w:t>Unauthorized application/document change</w:t>
            </w:r>
          </w:p>
        </w:tc>
        <w:tc>
          <w:tcPr>
            <w:tcW w:type="dxa" w:w="2556"/>
            <w:shd w:fill="EEF4F8"/>
          </w:tcPr>
          <w:p>
            <w:pPr>
              <w:spacing w:after="0"/>
            </w:pPr>
            <w:r>
              <w:rPr>
                <w:sz w:val="15"/>
              </w:rPr>
              <w:t>Records; integrity</w:t>
            </w:r>
          </w:p>
        </w:tc>
        <w:tc>
          <w:tcPr>
            <w:tcW w:type="dxa" w:w="2556"/>
            <w:shd w:fill="EEF4F8"/>
          </w:tcPr>
          <w:p>
            <w:pPr>
              <w:spacing w:after="0"/>
            </w:pPr>
            <w:r>
              <w:rPr>
                <w:sz w:val="15"/>
              </w:rPr>
              <w:t>Server-side authorization, validation, audit logs</w:t>
            </w:r>
          </w:p>
        </w:tc>
      </w:tr>
      <w:tr>
        <w:tc>
          <w:tcPr>
            <w:tcW w:type="dxa" w:w="2556"/>
          </w:tcPr>
          <w:p>
            <w:pPr>
              <w:spacing w:after="0"/>
            </w:pPr>
            <w:r>
              <w:rPr>
                <w:sz w:val="15"/>
              </w:rPr>
              <w:t>Repudiation</w:t>
            </w:r>
          </w:p>
        </w:tc>
        <w:tc>
          <w:tcPr>
            <w:tcW w:type="dxa" w:w="2556"/>
          </w:tcPr>
          <w:p>
            <w:pPr>
              <w:spacing w:after="0"/>
            </w:pPr>
            <w:r>
              <w:rPr>
                <w:sz w:val="15"/>
              </w:rPr>
              <w:t>Privileged action lacks attributable event</w:t>
            </w:r>
          </w:p>
        </w:tc>
        <w:tc>
          <w:tcPr>
            <w:tcW w:type="dxa" w:w="2556"/>
          </w:tcPr>
          <w:p>
            <w:pPr>
              <w:spacing w:after="0"/>
            </w:pPr>
            <w:r>
              <w:rPr>
                <w:sz w:val="15"/>
              </w:rPr>
              <w:t>Records; accountability</w:t>
            </w:r>
          </w:p>
        </w:tc>
        <w:tc>
          <w:tcPr>
            <w:tcW w:type="dxa" w:w="2556"/>
          </w:tcPr>
          <w:p>
            <w:pPr>
              <w:spacing w:after="0"/>
            </w:pPr>
            <w:r>
              <w:rPr>
                <w:sz w:val="15"/>
              </w:rPr>
              <w:t>Protected logs, unique identities, synchronized time</w:t>
            </w:r>
          </w:p>
        </w:tc>
      </w:tr>
      <w:tr>
        <w:tc>
          <w:tcPr>
            <w:tcW w:type="dxa" w:w="2556"/>
            <w:shd w:fill="EEF4F8"/>
          </w:tcPr>
          <w:p>
            <w:pPr>
              <w:spacing w:after="0"/>
            </w:pPr>
            <w:r>
              <w:rPr>
                <w:sz w:val="15"/>
              </w:rPr>
              <w:t>Information disclosure</w:t>
            </w:r>
          </w:p>
        </w:tc>
        <w:tc>
          <w:tcPr>
            <w:tcW w:type="dxa" w:w="2556"/>
            <w:shd w:fill="EEF4F8"/>
          </w:tcPr>
          <w:p>
            <w:pPr>
              <w:spacing w:after="0"/>
            </w:pPr>
            <w:r>
              <w:rPr>
                <w:sz w:val="15"/>
              </w:rPr>
              <w:t>Object-level authorization fails</w:t>
            </w:r>
          </w:p>
        </w:tc>
        <w:tc>
          <w:tcPr>
            <w:tcW w:type="dxa" w:w="2556"/>
            <w:shd w:fill="EEF4F8"/>
          </w:tcPr>
          <w:p>
            <w:pPr>
              <w:spacing w:after="0"/>
            </w:pPr>
            <w:r>
              <w:rPr>
                <w:sz w:val="15"/>
              </w:rPr>
              <w:t>Citizen records; confidentiality</w:t>
            </w:r>
          </w:p>
        </w:tc>
        <w:tc>
          <w:tcPr>
            <w:tcW w:type="dxa" w:w="2556"/>
            <w:shd w:fill="EEF4F8"/>
          </w:tcPr>
          <w:p>
            <w:pPr>
              <w:spacing w:after="0"/>
            </w:pPr>
            <w:r>
              <w:rPr>
                <w:sz w:val="15"/>
              </w:rPr>
              <w:t>Deny-by-default authorization, private storage, least privilege</w:t>
            </w:r>
          </w:p>
        </w:tc>
      </w:tr>
      <w:tr>
        <w:tc>
          <w:tcPr>
            <w:tcW w:type="dxa" w:w="2556"/>
          </w:tcPr>
          <w:p>
            <w:pPr>
              <w:spacing w:after="0"/>
            </w:pPr>
            <w:r>
              <w:rPr>
                <w:sz w:val="15"/>
              </w:rPr>
              <w:t>Denial of service</w:t>
            </w:r>
          </w:p>
        </w:tc>
        <w:tc>
          <w:tcPr>
            <w:tcW w:type="dxa" w:w="2556"/>
          </w:tcPr>
          <w:p>
            <w:pPr>
              <w:spacing w:after="0"/>
            </w:pPr>
            <w:r>
              <w:rPr>
                <w:sz w:val="15"/>
              </w:rPr>
              <w:t>Automated requests exhaust resources</w:t>
            </w:r>
          </w:p>
        </w:tc>
        <w:tc>
          <w:tcPr>
            <w:tcW w:type="dxa" w:w="2556"/>
          </w:tcPr>
          <w:p>
            <w:pPr>
              <w:spacing w:after="0"/>
            </w:pPr>
            <w:r>
              <w:rPr>
                <w:sz w:val="15"/>
              </w:rPr>
              <w:t>Portal/API; availability</w:t>
            </w:r>
          </w:p>
        </w:tc>
        <w:tc>
          <w:tcPr>
            <w:tcW w:type="dxa" w:w="2556"/>
          </w:tcPr>
          <w:p>
            <w:pPr>
              <w:spacing w:after="0"/>
            </w:pPr>
            <w:r>
              <w:rPr>
                <w:sz w:val="15"/>
              </w:rPr>
              <w:t>Rate limits, quotas, edge protection and response plan</w:t>
            </w:r>
          </w:p>
        </w:tc>
      </w:tr>
      <w:tr>
        <w:tc>
          <w:tcPr>
            <w:tcW w:type="dxa" w:w="2556"/>
            <w:shd w:fill="EEF4F8"/>
          </w:tcPr>
          <w:p>
            <w:pPr>
              <w:spacing w:after="0"/>
            </w:pPr>
            <w:r>
              <w:rPr>
                <w:sz w:val="15"/>
              </w:rPr>
              <w:t>Elevation of privilege</w:t>
            </w:r>
          </w:p>
        </w:tc>
        <w:tc>
          <w:tcPr>
            <w:tcW w:type="dxa" w:w="2556"/>
            <w:shd w:fill="EEF4F8"/>
          </w:tcPr>
          <w:p>
            <w:pPr>
              <w:spacing w:after="0"/>
            </w:pPr>
            <w:r>
              <w:rPr>
                <w:sz w:val="15"/>
              </w:rPr>
              <w:t>User reaches admin function through weak checks</w:t>
            </w:r>
          </w:p>
        </w:tc>
        <w:tc>
          <w:tcPr>
            <w:tcW w:type="dxa" w:w="2556"/>
            <w:shd w:fill="EEF4F8"/>
          </w:tcPr>
          <w:p>
            <w:pPr>
              <w:spacing w:after="0"/>
            </w:pPr>
            <w:r>
              <w:rPr>
                <w:sz w:val="15"/>
              </w:rPr>
              <w:t>Admin functions; authorization</w:t>
            </w:r>
          </w:p>
        </w:tc>
        <w:tc>
          <w:tcPr>
            <w:tcW w:type="dxa" w:w="2556"/>
            <w:shd w:fill="EEF4F8"/>
          </w:tcPr>
          <w:p>
            <w:pPr>
              <w:spacing w:after="0"/>
            </w:pPr>
            <w:r>
              <w:rPr>
                <w:sz w:val="15"/>
              </w:rPr>
              <w:t>Role separation, server-side checks, privileged MFA</w:t>
            </w:r>
          </w:p>
        </w:tc>
      </w:tr>
    </w:tbl>
    <w:p/>
    <w:p>
      <w:pPr>
        <w:pStyle w:val="Heading2"/>
      </w:pPr>
      <w:r>
        <w:t>3.4 Worked Example: IDOR / Broken Object Authorization</w:t>
      </w:r>
    </w:p>
    <w:p>
      <w:pPr>
        <w:spacing w:after="80"/>
      </w:pPr>
      <w:r>
        <w:t>Scenario: a citizen can view application A-1001. A request is altered to ask for A-1002. If the server checks only that the user is logged in—not whether the user is entitled to access A-1002—another person’s information may be returned. The underlying weakness is missing object-level authorization, not simply an easily guessed identifier.</w:t>
      </w:r>
    </w:p>
    <w:p>
      <w:pPr>
        <w:spacing w:after="80"/>
      </w:pPr>
      <w:r>
        <w:t>Expected secure behavior: derive identity from a validated session/token; check ownership or delegated permission for every requested record; return a minimal denial response; and log repeated unauthorized attempts. Test only with synthetic records in an authorized staging environment.</w:t>
      </w:r>
    </w:p>
    <w:p>
      <w:pPr>
        <w:spacing w:after="80"/>
      </w:pPr>
      <w:r>
        <w:t>Illustrative rationale: likelihood 4/5 because a record endpoint may be directly reachable from the client; impact 5/5 because citizen data exposure or unauthorized changes can affect privacy and public-service outcomes. Inherent score = 4 × 5 = 20/25. An example residual estimate after verified authorization checks, regression tests, monitoring and least privilege could be 2 × 4 = 8/25. The residual score is illustrative and must be recalculated from evidence.</w:t>
      </w:r>
    </w:p>
    <w:p>
      <w:pPr>
        <w:pStyle w:val="Heading2"/>
      </w:pPr>
      <w:r>
        <w:t>3.5 Abuse Cases and Acceptance Tests</w:t>
      </w:r>
    </w:p>
    <w:tbl>
      <w:tblPr>
        <w:tblStyle w:val="TableGrid"/>
        <w:tblW w:type="auto" w:w="0"/>
        <w:jc w:val="center"/>
        <w:tblLook w:firstColumn="1" w:firstRow="1" w:lastColumn="0" w:lastRow="0" w:noHBand="0" w:noVBand="1" w:val="04A0"/>
      </w:tblPr>
      <w:tblGrid>
        <w:gridCol w:w="5112"/>
        <w:gridCol w:w="5112"/>
      </w:tblGrid>
      <w:tr>
        <w:tc>
          <w:tcPr>
            <w:tcW w:type="dxa" w:w="5112"/>
            <w:shd w:fill="12466A"/>
          </w:tcPr>
          <w:p>
            <w:r>
              <w:rPr>
                <w:b/>
                <w:color w:val="FFFFFF"/>
                <w:sz w:val="15"/>
              </w:rPr>
              <w:t>Abuse case</w:t>
            </w:r>
          </w:p>
        </w:tc>
        <w:tc>
          <w:tcPr>
            <w:tcW w:type="dxa" w:w="5112"/>
            <w:shd w:fill="12466A"/>
          </w:tcPr>
          <w:p>
            <w:r>
              <w:rPr>
                <w:b/>
                <w:color w:val="FFFFFF"/>
                <w:sz w:val="15"/>
              </w:rPr>
              <w:t>Security requirement / test</w:t>
            </w:r>
          </w:p>
        </w:tc>
      </w:tr>
      <w:tr>
        <w:tc>
          <w:tcPr>
            <w:tcW w:type="dxa" w:w="5112"/>
          </w:tcPr>
          <w:p>
            <w:pPr>
              <w:spacing w:after="0"/>
            </w:pPr>
            <w:r>
              <w:rPr>
                <w:sz w:val="15"/>
              </w:rPr>
              <w:t>User requests another citizen’s record</w:t>
            </w:r>
          </w:p>
        </w:tc>
        <w:tc>
          <w:tcPr>
            <w:tcW w:type="dxa" w:w="5112"/>
          </w:tcPr>
          <w:p>
            <w:pPr>
              <w:spacing w:after="0"/>
            </w:pPr>
            <w:r>
              <w:rPr>
                <w:sz w:val="15"/>
              </w:rPr>
              <w:t>Every API enforces server-side ownership/delegated authorization; negative tests pass.</w:t>
            </w:r>
          </w:p>
        </w:tc>
      </w:tr>
      <w:tr>
        <w:tc>
          <w:tcPr>
            <w:tcW w:type="dxa" w:w="5112"/>
            <w:shd w:fill="EEF4F8"/>
          </w:tcPr>
          <w:p>
            <w:pPr>
              <w:spacing w:after="0"/>
            </w:pPr>
            <w:r>
              <w:rPr>
                <w:sz w:val="15"/>
              </w:rPr>
              <w:t>Repeated login or recovery attempts</w:t>
            </w:r>
          </w:p>
        </w:tc>
        <w:tc>
          <w:tcPr>
            <w:tcW w:type="dxa" w:w="5112"/>
            <w:shd w:fill="EEF4F8"/>
          </w:tcPr>
          <w:p>
            <w:pPr>
              <w:spacing w:after="0"/>
            </w:pPr>
            <w:r>
              <w:rPr>
                <w:sz w:val="15"/>
              </w:rPr>
              <w:t>Rate limits, secure recovery, step-up checks and alerting are tested.</w:t>
            </w:r>
          </w:p>
        </w:tc>
      </w:tr>
      <w:tr>
        <w:tc>
          <w:tcPr>
            <w:tcW w:type="dxa" w:w="5112"/>
          </w:tcPr>
          <w:p>
            <w:pPr>
              <w:spacing w:after="0"/>
            </w:pPr>
            <w:r>
              <w:rPr>
                <w:sz w:val="15"/>
              </w:rPr>
              <w:t>Malicious/oversized file upload</w:t>
            </w:r>
          </w:p>
        </w:tc>
        <w:tc>
          <w:tcPr>
            <w:tcW w:type="dxa" w:w="5112"/>
          </w:tcPr>
          <w:p>
            <w:pPr>
              <w:spacing w:after="0"/>
            </w:pPr>
            <w:r>
              <w:rPr>
                <w:sz w:val="15"/>
              </w:rPr>
              <w:t>Allowlist, size limits, malware scanning and isolated non-executable storage are enforced.</w:t>
            </w:r>
          </w:p>
        </w:tc>
      </w:tr>
      <w:tr>
        <w:tc>
          <w:tcPr>
            <w:tcW w:type="dxa" w:w="5112"/>
            <w:shd w:fill="EEF4F8"/>
          </w:tcPr>
          <w:p>
            <w:pPr>
              <w:spacing w:after="0"/>
            </w:pPr>
            <w:r>
              <w:rPr>
                <w:sz w:val="15"/>
              </w:rPr>
              <w:t>High-volume API requests</w:t>
            </w:r>
          </w:p>
        </w:tc>
        <w:tc>
          <w:tcPr>
            <w:tcW w:type="dxa" w:w="5112"/>
            <w:shd w:fill="EEF4F8"/>
          </w:tcPr>
          <w:p>
            <w:pPr>
              <w:spacing w:after="0"/>
            </w:pPr>
            <w:r>
              <w:rPr>
                <w:sz w:val="15"/>
              </w:rPr>
              <w:t>Per-client quotas, pagination limits and anomaly alerts prevent unrestricted extraction.</w:t>
            </w:r>
          </w:p>
        </w:tc>
      </w:tr>
      <w:tr>
        <w:tc>
          <w:tcPr>
            <w:tcW w:type="dxa" w:w="5112"/>
          </w:tcPr>
          <w:p>
            <w:pPr>
              <w:spacing w:after="0"/>
            </w:pPr>
            <w:r>
              <w:rPr>
                <w:sz w:val="15"/>
              </w:rPr>
              <w:t>Administrator account compromised</w:t>
            </w:r>
          </w:p>
        </w:tc>
        <w:tc>
          <w:tcPr>
            <w:tcW w:type="dxa" w:w="5112"/>
          </w:tcPr>
          <w:p>
            <w:pPr>
              <w:spacing w:after="0"/>
            </w:pPr>
            <w:r>
              <w:rPr>
                <w:sz w:val="15"/>
              </w:rPr>
              <w:t>Privileged MFA, least privilege, session revocation and high-risk action alerts limit impact.</w:t>
            </w:r>
          </w:p>
        </w:tc>
      </w:tr>
      <w:tr>
        <w:tc>
          <w:tcPr>
            <w:tcW w:type="dxa" w:w="5112"/>
            <w:shd w:fill="EEF4F8"/>
          </w:tcPr>
          <w:p>
            <w:pPr>
              <w:spacing w:after="0"/>
            </w:pPr>
            <w:r>
              <w:rPr>
                <w:sz w:val="15"/>
              </w:rPr>
              <w:t>Ransomware affects production</w:t>
            </w:r>
          </w:p>
        </w:tc>
        <w:tc>
          <w:tcPr>
            <w:tcW w:type="dxa" w:w="5112"/>
            <w:shd w:fill="EEF4F8"/>
          </w:tcPr>
          <w:p>
            <w:pPr>
              <w:spacing w:after="0"/>
            </w:pPr>
            <w:r>
              <w:rPr>
                <w:sz w:val="15"/>
              </w:rPr>
              <w:t>Isolated backups restore to a clean environment within approved recovery objectives.</w:t>
            </w:r>
          </w:p>
        </w:tc>
      </w:tr>
    </w:tbl>
    <w:p/>
    <w:p>
      <w:pPr>
        <w:pStyle w:val="Heading1"/>
      </w:pPr>
      <w:r>
        <w:t>4. Risk Assessment</w:t>
      </w:r>
    </w:p>
    <w:p>
      <w:pPr>
        <w:pStyle w:val="Heading2"/>
      </w:pPr>
      <w:r>
        <w:t>4.1 Scoring Method</w:t>
      </w:r>
    </w:p>
    <w:p>
      <w:pPr>
        <w:spacing w:after="80"/>
      </w:pPr>
      <w:r>
        <w:t>Risk score = Likelihood × Impact, each rated from 1 to 5. Likelihood estimates how plausible exploitation is under stated assumptions; impact considers confidentiality, integrity, availability, privacy, trust and service delivery. This simple matrix is for transparent prioritization, not a statistical probability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5"/>
              </w:rPr>
              <w:t>Score</w:t>
            </w:r>
          </w:p>
        </w:tc>
        <w:tc>
          <w:tcPr>
            <w:tcW w:type="dxa" w:w="3408"/>
            <w:shd w:fill="12466A"/>
          </w:tcPr>
          <w:p>
            <w:r>
              <w:rPr>
                <w:b/>
                <w:color w:val="FFFFFF"/>
                <w:sz w:val="15"/>
              </w:rPr>
              <w:t>Likelihood guide</w:t>
            </w:r>
          </w:p>
        </w:tc>
        <w:tc>
          <w:tcPr>
            <w:tcW w:type="dxa" w:w="3408"/>
            <w:shd w:fill="12466A"/>
          </w:tcPr>
          <w:p>
            <w:r>
              <w:rPr>
                <w:b/>
                <w:color w:val="FFFFFF"/>
                <w:sz w:val="15"/>
              </w:rPr>
              <w:t>Impact guide</w:t>
            </w:r>
          </w:p>
        </w:tc>
      </w:tr>
      <w:tr>
        <w:tc>
          <w:tcPr>
            <w:tcW w:type="dxa" w:w="3408"/>
          </w:tcPr>
          <w:p>
            <w:pPr>
              <w:spacing w:after="0"/>
            </w:pPr>
            <w:r>
              <w:rPr>
                <w:sz w:val="15"/>
              </w:rPr>
              <w:t>1</w:t>
            </w:r>
          </w:p>
        </w:tc>
        <w:tc>
          <w:tcPr>
            <w:tcW w:type="dxa" w:w="3408"/>
          </w:tcPr>
          <w:p>
            <w:pPr>
              <w:spacing w:after="0"/>
            </w:pPr>
            <w:r>
              <w:rPr>
                <w:sz w:val="15"/>
              </w:rPr>
              <w:t>Rare under assumptions; multiple barriers</w:t>
            </w:r>
          </w:p>
        </w:tc>
        <w:tc>
          <w:tcPr>
            <w:tcW w:type="dxa" w:w="3408"/>
          </w:tcPr>
          <w:p>
            <w:pPr>
              <w:spacing w:after="0"/>
            </w:pPr>
            <w:r>
              <w:rPr>
                <w:sz w:val="15"/>
              </w:rPr>
              <w:t>Negligible effect</w:t>
            </w:r>
          </w:p>
        </w:tc>
      </w:tr>
      <w:tr>
        <w:tc>
          <w:tcPr>
            <w:tcW w:type="dxa" w:w="3408"/>
            <w:shd w:fill="EEF4F8"/>
          </w:tcPr>
          <w:p>
            <w:pPr>
              <w:spacing w:after="0"/>
            </w:pPr>
            <w:r>
              <w:rPr>
                <w:sz w:val="15"/>
              </w:rPr>
              <w:t>2</w:t>
            </w:r>
          </w:p>
        </w:tc>
        <w:tc>
          <w:tcPr>
            <w:tcW w:type="dxa" w:w="3408"/>
            <w:shd w:fill="EEF4F8"/>
          </w:tcPr>
          <w:p>
            <w:pPr>
              <w:spacing w:after="0"/>
            </w:pPr>
            <w:r>
              <w:rPr>
                <w:sz w:val="15"/>
              </w:rPr>
              <w:t>Unlikely; unusual conditions required</w:t>
            </w:r>
          </w:p>
        </w:tc>
        <w:tc>
          <w:tcPr>
            <w:tcW w:type="dxa" w:w="3408"/>
            <w:shd w:fill="EEF4F8"/>
          </w:tcPr>
          <w:p>
            <w:pPr>
              <w:spacing w:after="0"/>
            </w:pPr>
            <w:r>
              <w:rPr>
                <w:sz w:val="15"/>
              </w:rPr>
              <w:t>Limited and quickly reversible effect</w:t>
            </w:r>
          </w:p>
        </w:tc>
      </w:tr>
      <w:tr>
        <w:tc>
          <w:tcPr>
            <w:tcW w:type="dxa" w:w="3408"/>
          </w:tcPr>
          <w:p>
            <w:pPr>
              <w:spacing w:after="0"/>
            </w:pPr>
            <w:r>
              <w:rPr>
                <w:sz w:val="15"/>
              </w:rPr>
              <w:t>3</w:t>
            </w:r>
          </w:p>
        </w:tc>
        <w:tc>
          <w:tcPr>
            <w:tcW w:type="dxa" w:w="3408"/>
          </w:tcPr>
          <w:p>
            <w:pPr>
              <w:spacing w:after="0"/>
            </w:pPr>
            <w:r>
              <w:rPr>
                <w:sz w:val="15"/>
              </w:rPr>
              <w:t>Plausible; credible path exists</w:t>
            </w:r>
          </w:p>
        </w:tc>
        <w:tc>
          <w:tcPr>
            <w:tcW w:type="dxa" w:w="3408"/>
          </w:tcPr>
          <w:p>
            <w:pPr>
              <w:spacing w:after="0"/>
            </w:pPr>
            <w:r>
              <w:rPr>
                <w:sz w:val="15"/>
              </w:rPr>
              <w:t>Moderate outage or limited exposure</w:t>
            </w:r>
          </w:p>
        </w:tc>
      </w:tr>
      <w:tr>
        <w:tc>
          <w:tcPr>
            <w:tcW w:type="dxa" w:w="3408"/>
            <w:shd w:fill="EEF4F8"/>
          </w:tcPr>
          <w:p>
            <w:pPr>
              <w:spacing w:after="0"/>
            </w:pPr>
            <w:r>
              <w:rPr>
                <w:sz w:val="15"/>
              </w:rPr>
              <w:t>4</w:t>
            </w:r>
          </w:p>
        </w:tc>
        <w:tc>
          <w:tcPr>
            <w:tcW w:type="dxa" w:w="3408"/>
            <w:shd w:fill="EEF4F8"/>
          </w:tcPr>
          <w:p>
            <w:pPr>
              <w:spacing w:after="0"/>
            </w:pPr>
            <w:r>
              <w:rPr>
                <w:sz w:val="15"/>
              </w:rPr>
              <w:t>Likely if weakness exists and is reachable</w:t>
            </w:r>
          </w:p>
        </w:tc>
        <w:tc>
          <w:tcPr>
            <w:tcW w:type="dxa" w:w="3408"/>
            <w:shd w:fill="EEF4F8"/>
          </w:tcPr>
          <w:p>
            <w:pPr>
              <w:spacing w:after="0"/>
            </w:pPr>
            <w:r>
              <w:rPr>
                <w:sz w:val="15"/>
              </w:rPr>
              <w:t>Major data or service impact</w:t>
            </w:r>
          </w:p>
        </w:tc>
      </w:tr>
      <w:tr>
        <w:tc>
          <w:tcPr>
            <w:tcW w:type="dxa" w:w="3408"/>
          </w:tcPr>
          <w:p>
            <w:pPr>
              <w:spacing w:after="0"/>
            </w:pPr>
            <w:r>
              <w:rPr>
                <w:sz w:val="15"/>
              </w:rPr>
              <w:t>5</w:t>
            </w:r>
          </w:p>
        </w:tc>
        <w:tc>
          <w:tcPr>
            <w:tcW w:type="dxa" w:w="3408"/>
          </w:tcPr>
          <w:p>
            <w:pPr>
              <w:spacing w:after="0"/>
            </w:pPr>
            <w:r>
              <w:rPr>
                <w:sz w:val="15"/>
              </w:rPr>
              <w:t>Very likely / readily repeatable in scenario</w:t>
            </w:r>
          </w:p>
        </w:tc>
        <w:tc>
          <w:tcPr>
            <w:tcW w:type="dxa" w:w="3408"/>
          </w:tcPr>
          <w:p>
            <w:pPr>
              <w:spacing w:after="0"/>
            </w:pPr>
            <w:r>
              <w:rPr>
                <w:sz w:val="15"/>
              </w:rPr>
              <w:t>Severe or widespread personal-data, integrity or essential-service impact</w:t>
            </w:r>
          </w:p>
        </w:tc>
      </w:tr>
    </w:tbl>
    <w:p/>
    <w:p>
      <w:pPr>
        <w:spacing w:after="80"/>
      </w:pPr>
      <w:r>
        <w:t>Priority bands used in this report: Critical = 20–25; High = 12–19; Medium = 6–11; Low = 1–5. These are illustrative project thresholds, not universal standards. A service owner should approve thresholds and consider legal, privacy and service-criticality requirements.</w:t>
      </w:r>
    </w:p>
    <w:p>
      <w:pPr>
        <w:pStyle w:val="Heading2"/>
      </w:pPr>
      <w:r>
        <w:t>4.2 Prioritized Risk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2466A"/>
          </w:tcPr>
          <w:p>
            <w:r>
              <w:rPr>
                <w:b/>
                <w:color w:val="FFFFFF"/>
                <w:sz w:val="12"/>
              </w:rPr>
              <w:t>ID / risk</w:t>
            </w:r>
          </w:p>
        </w:tc>
        <w:tc>
          <w:tcPr>
            <w:tcW w:type="dxa" w:w="1704"/>
            <w:shd w:fill="12466A"/>
          </w:tcPr>
          <w:p>
            <w:r>
              <w:rPr>
                <w:b/>
                <w:color w:val="FFFFFF"/>
                <w:sz w:val="12"/>
              </w:rPr>
              <w:t>L</w:t>
            </w:r>
          </w:p>
        </w:tc>
        <w:tc>
          <w:tcPr>
            <w:tcW w:type="dxa" w:w="1704"/>
            <w:shd w:fill="12466A"/>
          </w:tcPr>
          <w:p>
            <w:r>
              <w:rPr>
                <w:b/>
                <w:color w:val="FFFFFF"/>
                <w:sz w:val="12"/>
              </w:rPr>
              <w:t>I</w:t>
            </w:r>
          </w:p>
        </w:tc>
        <w:tc>
          <w:tcPr>
            <w:tcW w:type="dxa" w:w="1704"/>
            <w:shd w:fill="12466A"/>
          </w:tcPr>
          <w:p>
            <w:r>
              <w:rPr>
                <w:b/>
                <w:color w:val="FFFFFF"/>
                <w:sz w:val="12"/>
              </w:rPr>
              <w:t>Score / priority</w:t>
            </w:r>
          </w:p>
        </w:tc>
        <w:tc>
          <w:tcPr>
            <w:tcW w:type="dxa" w:w="1704"/>
            <w:shd w:fill="12466A"/>
          </w:tcPr>
          <w:p>
            <w:r>
              <w:rPr>
                <w:b/>
                <w:color w:val="FFFFFF"/>
                <w:sz w:val="12"/>
              </w:rPr>
              <w:t>Rationale</w:t>
            </w:r>
          </w:p>
        </w:tc>
        <w:tc>
          <w:tcPr>
            <w:tcW w:type="dxa" w:w="1704"/>
            <w:shd w:fill="12466A"/>
          </w:tcPr>
          <w:p>
            <w:r>
              <w:rPr>
                <w:b/>
                <w:color w:val="FFFFFF"/>
                <w:sz w:val="12"/>
              </w:rPr>
              <w:t>Controls / owner / target</w:t>
            </w:r>
          </w:p>
        </w:tc>
      </w:tr>
      <w:tr>
        <w:tc>
          <w:tcPr>
            <w:tcW w:type="dxa" w:w="1704"/>
          </w:tcPr>
          <w:p>
            <w:pPr>
              <w:spacing w:after="0"/>
            </w:pPr>
            <w:r>
              <w:rPr>
                <w:sz w:val="12"/>
              </w:rPr>
              <w:t>R01 Broken access control / IDOR</w:t>
            </w:r>
          </w:p>
        </w:tc>
        <w:tc>
          <w:tcPr>
            <w:tcW w:type="dxa" w:w="1704"/>
          </w:tcPr>
          <w:p>
            <w:pPr>
              <w:spacing w:after="0"/>
            </w:pPr>
            <w:r>
              <w:rPr>
                <w:sz w:val="12"/>
              </w:rPr>
              <w:t>4</w:t>
            </w:r>
          </w:p>
        </w:tc>
        <w:tc>
          <w:tcPr>
            <w:tcW w:type="dxa" w:w="1704"/>
          </w:tcPr>
          <w:p>
            <w:pPr>
              <w:spacing w:after="0"/>
            </w:pPr>
            <w:r>
              <w:rPr>
                <w:sz w:val="12"/>
              </w:rPr>
              <w:t>5</w:t>
            </w:r>
          </w:p>
        </w:tc>
        <w:tc>
          <w:tcPr>
            <w:tcW w:type="dxa" w:w="1704"/>
          </w:tcPr>
          <w:p>
            <w:pPr>
              <w:spacing w:after="0"/>
            </w:pPr>
            <w:r>
              <w:rPr>
                <w:sz w:val="12"/>
              </w:rPr>
              <w:t>20 Critical</w:t>
            </w:r>
          </w:p>
        </w:tc>
        <w:tc>
          <w:tcPr>
            <w:tcW w:type="dxa" w:w="1704"/>
          </w:tcPr>
          <w:p>
            <w:pPr>
              <w:spacing w:after="0"/>
            </w:pPr>
            <w:r>
              <w:rPr>
                <w:sz w:val="12"/>
              </w:rPr>
              <w:t>Cross-user access may expose or alter citizen records.</w:t>
            </w:r>
          </w:p>
        </w:tc>
        <w:tc>
          <w:tcPr>
            <w:tcW w:type="dxa" w:w="1704"/>
          </w:tcPr>
          <w:p>
            <w:pPr>
              <w:spacing w:after="0"/>
            </w:pPr>
            <w:r>
              <w:rPr>
                <w:sz w:val="12"/>
              </w:rPr>
              <w:t>Object-level authorization, negative tests, access-log review; App owner; 7 days for design review and before release for fix.</w:t>
            </w:r>
          </w:p>
        </w:tc>
      </w:tr>
      <w:tr>
        <w:tc>
          <w:tcPr>
            <w:tcW w:type="dxa" w:w="1704"/>
            <w:shd w:fill="EEF4F8"/>
          </w:tcPr>
          <w:p>
            <w:pPr>
              <w:spacing w:after="0"/>
            </w:pPr>
            <w:r>
              <w:rPr>
                <w:sz w:val="12"/>
              </w:rPr>
              <w:t>R02 Account takeover / weak authentication</w:t>
            </w:r>
          </w:p>
        </w:tc>
        <w:tc>
          <w:tcPr>
            <w:tcW w:type="dxa" w:w="1704"/>
            <w:shd w:fill="EEF4F8"/>
          </w:tcPr>
          <w:p>
            <w:pPr>
              <w:spacing w:after="0"/>
            </w:pPr>
            <w:r>
              <w:rPr>
                <w:sz w:val="12"/>
              </w:rPr>
              <w:t>4</w:t>
            </w:r>
          </w:p>
        </w:tc>
        <w:tc>
          <w:tcPr>
            <w:tcW w:type="dxa" w:w="1704"/>
            <w:shd w:fill="EEF4F8"/>
          </w:tcPr>
          <w:p>
            <w:pPr>
              <w:spacing w:after="0"/>
            </w:pPr>
            <w:r>
              <w:rPr>
                <w:sz w:val="12"/>
              </w:rPr>
              <w:t>4</w:t>
            </w:r>
          </w:p>
        </w:tc>
        <w:tc>
          <w:tcPr>
            <w:tcW w:type="dxa" w:w="1704"/>
            <w:shd w:fill="EEF4F8"/>
          </w:tcPr>
          <w:p>
            <w:pPr>
              <w:spacing w:after="0"/>
            </w:pPr>
            <w:r>
              <w:rPr>
                <w:sz w:val="12"/>
              </w:rPr>
              <w:t>16 High</w:t>
            </w:r>
          </w:p>
        </w:tc>
        <w:tc>
          <w:tcPr>
            <w:tcW w:type="dxa" w:w="1704"/>
            <w:shd w:fill="EEF4F8"/>
          </w:tcPr>
          <w:p>
            <w:pPr>
              <w:spacing w:after="0"/>
            </w:pPr>
            <w:r>
              <w:rPr>
                <w:sz w:val="12"/>
              </w:rPr>
              <w:t>Credential reuse/phishing are credible; impact increases for privileged accounts.</w:t>
            </w:r>
          </w:p>
        </w:tc>
        <w:tc>
          <w:tcPr>
            <w:tcW w:type="dxa" w:w="1704"/>
            <w:shd w:fill="EEF4F8"/>
          </w:tcPr>
          <w:p>
            <w:pPr>
              <w:spacing w:after="0"/>
            </w:pPr>
            <w:r>
              <w:rPr>
                <w:sz w:val="12"/>
              </w:rPr>
              <w:t>MFA, secure recovery, rate limits, session revocation; IAM/App team; 14 days.</w:t>
            </w:r>
          </w:p>
        </w:tc>
      </w:tr>
      <w:tr>
        <w:tc>
          <w:tcPr>
            <w:tcW w:type="dxa" w:w="1704"/>
          </w:tcPr>
          <w:p>
            <w:pPr>
              <w:spacing w:after="0"/>
            </w:pPr>
            <w:r>
              <w:rPr>
                <w:sz w:val="12"/>
              </w:rPr>
              <w:t>R03 Injection / unsafe input</w:t>
            </w:r>
          </w:p>
        </w:tc>
        <w:tc>
          <w:tcPr>
            <w:tcW w:type="dxa" w:w="1704"/>
          </w:tcPr>
          <w:p>
            <w:pPr>
              <w:spacing w:after="0"/>
            </w:pPr>
            <w:r>
              <w:rPr>
                <w:sz w:val="12"/>
              </w:rPr>
              <w:t>3</w:t>
            </w:r>
          </w:p>
        </w:tc>
        <w:tc>
          <w:tcPr>
            <w:tcW w:type="dxa" w:w="1704"/>
          </w:tcPr>
          <w:p>
            <w:pPr>
              <w:spacing w:after="0"/>
            </w:pPr>
            <w:r>
              <w:rPr>
                <w:sz w:val="12"/>
              </w:rPr>
              <w:t>5</w:t>
            </w:r>
          </w:p>
        </w:tc>
        <w:tc>
          <w:tcPr>
            <w:tcW w:type="dxa" w:w="1704"/>
          </w:tcPr>
          <w:p>
            <w:pPr>
              <w:spacing w:after="0"/>
            </w:pPr>
            <w:r>
              <w:rPr>
                <w:sz w:val="12"/>
              </w:rPr>
              <w:t>15 High</w:t>
            </w:r>
          </w:p>
        </w:tc>
        <w:tc>
          <w:tcPr>
            <w:tcW w:type="dxa" w:w="1704"/>
          </w:tcPr>
          <w:p>
            <w:pPr>
              <w:spacing w:after="0"/>
            </w:pPr>
            <w:r>
              <w:rPr>
                <w:sz w:val="12"/>
              </w:rPr>
              <w:t>A reachable input flaw can expose or alter data; likelihood depends on implementation.</w:t>
            </w:r>
          </w:p>
        </w:tc>
        <w:tc>
          <w:tcPr>
            <w:tcW w:type="dxa" w:w="1704"/>
          </w:tcPr>
          <w:p>
            <w:pPr>
              <w:spacing w:after="0"/>
            </w:pPr>
            <w:r>
              <w:rPr>
                <w:sz w:val="12"/>
              </w:rPr>
              <w:t>Parameterized queries, validation, code review, safe staging tests; Dev lead; before release.</w:t>
            </w:r>
          </w:p>
        </w:tc>
      </w:tr>
      <w:tr>
        <w:tc>
          <w:tcPr>
            <w:tcW w:type="dxa" w:w="1704"/>
            <w:shd w:fill="EEF4F8"/>
          </w:tcPr>
          <w:p>
            <w:pPr>
              <w:spacing w:after="0"/>
            </w:pPr>
            <w:r>
              <w:rPr>
                <w:sz w:val="12"/>
              </w:rPr>
              <w:t>R04 Misconfiguration / exposed storage or secrets</w:t>
            </w:r>
          </w:p>
        </w:tc>
        <w:tc>
          <w:tcPr>
            <w:tcW w:type="dxa" w:w="1704"/>
            <w:shd w:fill="EEF4F8"/>
          </w:tcPr>
          <w:p>
            <w:pPr>
              <w:spacing w:after="0"/>
            </w:pPr>
            <w:r>
              <w:rPr>
                <w:sz w:val="12"/>
              </w:rPr>
              <w:t>3</w:t>
            </w:r>
          </w:p>
        </w:tc>
        <w:tc>
          <w:tcPr>
            <w:tcW w:type="dxa" w:w="1704"/>
            <w:shd w:fill="EEF4F8"/>
          </w:tcPr>
          <w:p>
            <w:pPr>
              <w:spacing w:after="0"/>
            </w:pPr>
            <w:r>
              <w:rPr>
                <w:sz w:val="12"/>
              </w:rPr>
              <w:t>5</w:t>
            </w:r>
          </w:p>
        </w:tc>
        <w:tc>
          <w:tcPr>
            <w:tcW w:type="dxa" w:w="1704"/>
            <w:shd w:fill="EEF4F8"/>
          </w:tcPr>
          <w:p>
            <w:pPr>
              <w:spacing w:after="0"/>
            </w:pPr>
            <w:r>
              <w:rPr>
                <w:sz w:val="12"/>
              </w:rPr>
              <w:t>15 High</w:t>
            </w:r>
          </w:p>
        </w:tc>
        <w:tc>
          <w:tcPr>
            <w:tcW w:type="dxa" w:w="1704"/>
            <w:shd w:fill="EEF4F8"/>
          </w:tcPr>
          <w:p>
            <w:pPr>
              <w:spacing w:after="0"/>
            </w:pPr>
            <w:r>
              <w:rPr>
                <w:sz w:val="12"/>
              </w:rPr>
              <w:t>Configuration errors can expose bulk records or credentials.</w:t>
            </w:r>
          </w:p>
        </w:tc>
        <w:tc>
          <w:tcPr>
            <w:tcW w:type="dxa" w:w="1704"/>
            <w:shd w:fill="EEF4F8"/>
          </w:tcPr>
          <w:p>
            <w:pPr>
              <w:spacing w:after="0"/>
            </w:pPr>
            <w:r>
              <w:rPr>
                <w:sz w:val="12"/>
              </w:rPr>
              <w:t>Private-by-default storage, secrets manager, hardened baseline, config checks; Platform team; 7–14 days.</w:t>
            </w:r>
          </w:p>
        </w:tc>
      </w:tr>
      <w:tr>
        <w:tc>
          <w:tcPr>
            <w:tcW w:type="dxa" w:w="1704"/>
          </w:tcPr>
          <w:p>
            <w:pPr>
              <w:spacing w:after="0"/>
            </w:pPr>
            <w:r>
              <w:rPr>
                <w:sz w:val="12"/>
              </w:rPr>
              <w:t>R05 Ransomware / service disruption</w:t>
            </w:r>
          </w:p>
        </w:tc>
        <w:tc>
          <w:tcPr>
            <w:tcW w:type="dxa" w:w="1704"/>
          </w:tcPr>
          <w:p>
            <w:pPr>
              <w:spacing w:after="0"/>
            </w:pPr>
            <w:r>
              <w:rPr>
                <w:sz w:val="12"/>
              </w:rPr>
              <w:t>3</w:t>
            </w:r>
          </w:p>
        </w:tc>
        <w:tc>
          <w:tcPr>
            <w:tcW w:type="dxa" w:w="1704"/>
          </w:tcPr>
          <w:p>
            <w:pPr>
              <w:spacing w:after="0"/>
            </w:pPr>
            <w:r>
              <w:rPr>
                <w:sz w:val="12"/>
              </w:rPr>
              <w:t>5</w:t>
            </w:r>
          </w:p>
        </w:tc>
        <w:tc>
          <w:tcPr>
            <w:tcW w:type="dxa" w:w="1704"/>
          </w:tcPr>
          <w:p>
            <w:pPr>
              <w:spacing w:after="0"/>
            </w:pPr>
            <w:r>
              <w:rPr>
                <w:sz w:val="12"/>
              </w:rPr>
              <w:t>15 High</w:t>
            </w:r>
          </w:p>
        </w:tc>
        <w:tc>
          <w:tcPr>
            <w:tcW w:type="dxa" w:w="1704"/>
          </w:tcPr>
          <w:p>
            <w:pPr>
              <w:spacing w:after="0"/>
            </w:pPr>
            <w:r>
              <w:rPr>
                <w:sz w:val="12"/>
              </w:rPr>
              <w:t>Availability impact may be severe; recovery depends on backup isolation.</w:t>
            </w:r>
          </w:p>
        </w:tc>
        <w:tc>
          <w:tcPr>
            <w:tcW w:type="dxa" w:w="1704"/>
          </w:tcPr>
          <w:p>
            <w:pPr>
              <w:spacing w:after="0"/>
            </w:pPr>
            <w:r>
              <w:rPr>
                <w:sz w:val="12"/>
              </w:rPr>
              <w:t>Isolated backups, least privilege, segmentation, endpoint protection, restore test; IT/IR; 30 days.</w:t>
            </w:r>
          </w:p>
        </w:tc>
      </w:tr>
      <w:tr>
        <w:tc>
          <w:tcPr>
            <w:tcW w:type="dxa" w:w="1704"/>
            <w:shd w:fill="EEF4F8"/>
          </w:tcPr>
          <w:p>
            <w:pPr>
              <w:spacing w:after="0"/>
            </w:pPr>
            <w:r>
              <w:rPr>
                <w:sz w:val="12"/>
              </w:rPr>
              <w:t>R06 Insufficient logging / alerting</w:t>
            </w:r>
          </w:p>
        </w:tc>
        <w:tc>
          <w:tcPr>
            <w:tcW w:type="dxa" w:w="1704"/>
            <w:shd w:fill="EEF4F8"/>
          </w:tcPr>
          <w:p>
            <w:pPr>
              <w:spacing w:after="0"/>
            </w:pPr>
            <w:r>
              <w:rPr>
                <w:sz w:val="12"/>
              </w:rPr>
              <w:t>4</w:t>
            </w:r>
          </w:p>
        </w:tc>
        <w:tc>
          <w:tcPr>
            <w:tcW w:type="dxa" w:w="1704"/>
            <w:shd w:fill="EEF4F8"/>
          </w:tcPr>
          <w:p>
            <w:pPr>
              <w:spacing w:after="0"/>
            </w:pPr>
            <w:r>
              <w:rPr>
                <w:sz w:val="12"/>
              </w:rPr>
              <w:t>3</w:t>
            </w:r>
          </w:p>
        </w:tc>
        <w:tc>
          <w:tcPr>
            <w:tcW w:type="dxa" w:w="1704"/>
            <w:shd w:fill="EEF4F8"/>
          </w:tcPr>
          <w:p>
            <w:pPr>
              <w:spacing w:after="0"/>
            </w:pPr>
            <w:r>
              <w:rPr>
                <w:sz w:val="12"/>
              </w:rPr>
              <w:t>12 High</w:t>
            </w:r>
          </w:p>
        </w:tc>
        <w:tc>
          <w:tcPr>
            <w:tcW w:type="dxa" w:w="1704"/>
            <w:shd w:fill="EEF4F8"/>
          </w:tcPr>
          <w:p>
            <w:pPr>
              <w:spacing w:after="0"/>
            </w:pPr>
            <w:r>
              <w:rPr>
                <w:sz w:val="12"/>
              </w:rPr>
              <w:t>Attacks may persist undetected; investigation evidence may be incomplete.</w:t>
            </w:r>
          </w:p>
        </w:tc>
        <w:tc>
          <w:tcPr>
            <w:tcW w:type="dxa" w:w="1704"/>
            <w:shd w:fill="EEF4F8"/>
          </w:tcPr>
          <w:p>
            <w:pPr>
              <w:spacing w:after="0"/>
            </w:pPr>
            <w:r>
              <w:rPr>
                <w:sz w:val="12"/>
              </w:rPr>
              <w:t>Central logs, alerts for privilege changes and bulk exports, protected logs; SOC/Ops; 14 days.</w:t>
            </w:r>
          </w:p>
        </w:tc>
      </w:tr>
      <w:tr>
        <w:tc>
          <w:tcPr>
            <w:tcW w:type="dxa" w:w="1704"/>
          </w:tcPr>
          <w:p>
            <w:pPr>
              <w:spacing w:after="0"/>
            </w:pPr>
            <w:r>
              <w:rPr>
                <w:sz w:val="12"/>
              </w:rPr>
              <w:t>R07 Third-party/API compromise</w:t>
            </w:r>
          </w:p>
        </w:tc>
        <w:tc>
          <w:tcPr>
            <w:tcW w:type="dxa" w:w="1704"/>
          </w:tcPr>
          <w:p>
            <w:pPr>
              <w:spacing w:after="0"/>
            </w:pPr>
            <w:r>
              <w:rPr>
                <w:sz w:val="12"/>
              </w:rPr>
              <w:t>3</w:t>
            </w:r>
          </w:p>
        </w:tc>
        <w:tc>
          <w:tcPr>
            <w:tcW w:type="dxa" w:w="1704"/>
          </w:tcPr>
          <w:p>
            <w:pPr>
              <w:spacing w:after="0"/>
            </w:pPr>
            <w:r>
              <w:rPr>
                <w:sz w:val="12"/>
              </w:rPr>
              <w:t>4</w:t>
            </w:r>
          </w:p>
        </w:tc>
        <w:tc>
          <w:tcPr>
            <w:tcW w:type="dxa" w:w="1704"/>
          </w:tcPr>
          <w:p>
            <w:pPr>
              <w:spacing w:after="0"/>
            </w:pPr>
            <w:r>
              <w:rPr>
                <w:sz w:val="12"/>
              </w:rPr>
              <w:t>12 High</w:t>
            </w:r>
          </w:p>
        </w:tc>
        <w:tc>
          <w:tcPr>
            <w:tcW w:type="dxa" w:w="1704"/>
          </w:tcPr>
          <w:p>
            <w:pPr>
              <w:spacing w:after="0"/>
            </w:pPr>
            <w:r>
              <w:rPr>
                <w:sz w:val="12"/>
              </w:rPr>
              <w:t>Connected services widen trust boundaries and can propagate outage or access.</w:t>
            </w:r>
          </w:p>
        </w:tc>
        <w:tc>
          <w:tcPr>
            <w:tcW w:type="dxa" w:w="1704"/>
          </w:tcPr>
          <w:p>
            <w:pPr>
              <w:spacing w:after="0"/>
            </w:pPr>
            <w:r>
              <w:rPr>
                <w:sz w:val="12"/>
              </w:rPr>
              <w:t>Integration inventory, scoped credentials, vendor review, revocation plan; Integration owner; 30 days.</w:t>
            </w:r>
          </w:p>
        </w:tc>
      </w:tr>
      <w:tr>
        <w:tc>
          <w:tcPr>
            <w:tcW w:type="dxa" w:w="1704"/>
            <w:shd w:fill="EEF4F8"/>
          </w:tcPr>
          <w:p>
            <w:pPr>
              <w:spacing w:after="0"/>
            </w:pPr>
            <w:r>
              <w:rPr>
                <w:sz w:val="12"/>
              </w:rPr>
              <w:t>R08 Unsafe file upload</w:t>
            </w:r>
          </w:p>
        </w:tc>
        <w:tc>
          <w:tcPr>
            <w:tcW w:type="dxa" w:w="1704"/>
            <w:shd w:fill="EEF4F8"/>
          </w:tcPr>
          <w:p>
            <w:pPr>
              <w:spacing w:after="0"/>
            </w:pPr>
            <w:r>
              <w:rPr>
                <w:sz w:val="12"/>
              </w:rPr>
              <w:t>3</w:t>
            </w:r>
          </w:p>
        </w:tc>
        <w:tc>
          <w:tcPr>
            <w:tcW w:type="dxa" w:w="1704"/>
            <w:shd w:fill="EEF4F8"/>
          </w:tcPr>
          <w:p>
            <w:pPr>
              <w:spacing w:after="0"/>
            </w:pPr>
            <w:r>
              <w:rPr>
                <w:sz w:val="12"/>
              </w:rPr>
              <w:t>4</w:t>
            </w:r>
          </w:p>
        </w:tc>
        <w:tc>
          <w:tcPr>
            <w:tcW w:type="dxa" w:w="1704"/>
            <w:shd w:fill="EEF4F8"/>
          </w:tcPr>
          <w:p>
            <w:pPr>
              <w:spacing w:after="0"/>
            </w:pPr>
            <w:r>
              <w:rPr>
                <w:sz w:val="12"/>
              </w:rPr>
              <w:t>12 High</w:t>
            </w:r>
          </w:p>
        </w:tc>
        <w:tc>
          <w:tcPr>
            <w:tcW w:type="dxa" w:w="1704"/>
            <w:shd w:fill="EEF4F8"/>
          </w:tcPr>
          <w:p>
            <w:pPr>
              <w:spacing w:after="0"/>
            </w:pPr>
            <w:r>
              <w:rPr>
                <w:sz w:val="12"/>
              </w:rPr>
              <w:t>Untrusted files can create malware or execution risks if isolation fails.</w:t>
            </w:r>
          </w:p>
        </w:tc>
        <w:tc>
          <w:tcPr>
            <w:tcW w:type="dxa" w:w="1704"/>
            <w:shd w:fill="EEF4F8"/>
          </w:tcPr>
          <w:p>
            <w:pPr>
              <w:spacing w:after="0"/>
            </w:pPr>
            <w:r>
              <w:rPr>
                <w:sz w:val="12"/>
              </w:rPr>
              <w:t>Allowlist, size limits, scanning, random filenames, isolated storage; App team; 14 days.</w:t>
            </w:r>
          </w:p>
        </w:tc>
      </w:tr>
      <w:tr>
        <w:tc>
          <w:tcPr>
            <w:tcW w:type="dxa" w:w="1704"/>
          </w:tcPr>
          <w:p>
            <w:pPr>
              <w:spacing w:after="0"/>
            </w:pPr>
            <w:r>
              <w:rPr>
                <w:sz w:val="12"/>
              </w:rPr>
              <w:t>R09 Dependency/supply-chain compromise</w:t>
            </w:r>
          </w:p>
        </w:tc>
        <w:tc>
          <w:tcPr>
            <w:tcW w:type="dxa" w:w="1704"/>
          </w:tcPr>
          <w:p>
            <w:pPr>
              <w:spacing w:after="0"/>
            </w:pPr>
            <w:r>
              <w:rPr>
                <w:sz w:val="12"/>
              </w:rPr>
              <w:t>3</w:t>
            </w:r>
          </w:p>
        </w:tc>
        <w:tc>
          <w:tcPr>
            <w:tcW w:type="dxa" w:w="1704"/>
          </w:tcPr>
          <w:p>
            <w:pPr>
              <w:spacing w:after="0"/>
            </w:pPr>
            <w:r>
              <w:rPr>
                <w:sz w:val="12"/>
              </w:rPr>
              <w:t>4</w:t>
            </w:r>
          </w:p>
        </w:tc>
        <w:tc>
          <w:tcPr>
            <w:tcW w:type="dxa" w:w="1704"/>
          </w:tcPr>
          <w:p>
            <w:pPr>
              <w:spacing w:after="0"/>
            </w:pPr>
            <w:r>
              <w:rPr>
                <w:sz w:val="12"/>
              </w:rPr>
              <w:t>12 High</w:t>
            </w:r>
          </w:p>
        </w:tc>
        <w:tc>
          <w:tcPr>
            <w:tcW w:type="dxa" w:w="1704"/>
          </w:tcPr>
          <w:p>
            <w:pPr>
              <w:spacing w:after="0"/>
            </w:pPr>
            <w:r>
              <w:rPr>
                <w:sz w:val="12"/>
              </w:rPr>
              <w:t>Unreviewed vulnerable or malicious dependencies may enter releases.</w:t>
            </w:r>
          </w:p>
        </w:tc>
        <w:tc>
          <w:tcPr>
            <w:tcW w:type="dxa" w:w="1704"/>
          </w:tcPr>
          <w:p>
            <w:pPr>
              <w:spacing w:after="0"/>
            </w:pPr>
            <w:r>
              <w:rPr>
                <w:sz w:val="12"/>
              </w:rPr>
              <w:t>SBOM/dependency inventory, SCA, pinned versions, trusted registries; DevSecOps; 30 days.</w:t>
            </w:r>
          </w:p>
        </w:tc>
      </w:tr>
      <w:tr>
        <w:tc>
          <w:tcPr>
            <w:tcW w:type="dxa" w:w="1704"/>
            <w:shd w:fill="EEF4F8"/>
          </w:tcPr>
          <w:p>
            <w:pPr>
              <w:spacing w:after="0"/>
            </w:pPr>
            <w:r>
              <w:rPr>
                <w:sz w:val="12"/>
              </w:rPr>
              <w:t>R10 API abuse/resource exhaustion</w:t>
            </w:r>
          </w:p>
        </w:tc>
        <w:tc>
          <w:tcPr>
            <w:tcW w:type="dxa" w:w="1704"/>
            <w:shd w:fill="EEF4F8"/>
          </w:tcPr>
          <w:p>
            <w:pPr>
              <w:spacing w:after="0"/>
            </w:pPr>
            <w:r>
              <w:rPr>
                <w:sz w:val="12"/>
              </w:rPr>
              <w:t>3</w:t>
            </w:r>
          </w:p>
        </w:tc>
        <w:tc>
          <w:tcPr>
            <w:tcW w:type="dxa" w:w="1704"/>
            <w:shd w:fill="EEF4F8"/>
          </w:tcPr>
          <w:p>
            <w:pPr>
              <w:spacing w:after="0"/>
            </w:pPr>
            <w:r>
              <w:rPr>
                <w:sz w:val="12"/>
              </w:rPr>
              <w:t>3</w:t>
            </w:r>
          </w:p>
        </w:tc>
        <w:tc>
          <w:tcPr>
            <w:tcW w:type="dxa" w:w="1704"/>
            <w:shd w:fill="EEF4F8"/>
          </w:tcPr>
          <w:p>
            <w:pPr>
              <w:spacing w:after="0"/>
            </w:pPr>
            <w:r>
              <w:rPr>
                <w:sz w:val="12"/>
              </w:rPr>
              <w:t>9 Medium</w:t>
            </w:r>
          </w:p>
        </w:tc>
        <w:tc>
          <w:tcPr>
            <w:tcW w:type="dxa" w:w="1704"/>
            <w:shd w:fill="EEF4F8"/>
          </w:tcPr>
          <w:p>
            <w:pPr>
              <w:spacing w:after="0"/>
            </w:pPr>
            <w:r>
              <w:rPr>
                <w:sz w:val="12"/>
              </w:rPr>
              <w:t>Unbounded requests may degrade service or enable scraping.</w:t>
            </w:r>
          </w:p>
        </w:tc>
        <w:tc>
          <w:tcPr>
            <w:tcW w:type="dxa" w:w="1704"/>
            <w:shd w:fill="EEF4F8"/>
          </w:tcPr>
          <w:p>
            <w:pPr>
              <w:spacing w:after="0"/>
            </w:pPr>
            <w:r>
              <w:rPr>
                <w:sz w:val="12"/>
              </w:rPr>
              <w:t>Rate limits, quotas, pagination, payload limits, monitoring; API owner; 30 days.</w:t>
            </w:r>
          </w:p>
        </w:tc>
      </w:tr>
    </w:tbl>
    <w:p/>
    <w:p>
      <w:pPr>
        <w:pStyle w:val="Heading2"/>
      </w:pPr>
      <w:r>
        <w:t>4.3 Why These Risks Are Prioritized</w:t>
      </w:r>
    </w:p>
    <w:p>
      <w:pPr>
        <w:spacing w:after="80"/>
      </w:pPr>
      <w:r>
        <w:t>R01 is ranked first because missing object-level authorization can directly expose another citizen’s record and may permit unauthorized updates. R02 is next because compromised credentials can bypass otherwise sound user flows. R03 and R04 have high potential impact, but likelihood depends on implementation and deployment evidence; they must be verified rather than assumed. R05 is important because service outages can block time-sensitive public services. R06 supports detection across all other risks, so logging improvements should begin early.</w:t>
      </w:r>
    </w:p>
    <w:p>
      <w:pPr>
        <w:pStyle w:val="Heading2"/>
      </w:pPr>
      <w:r>
        <w:t>4.4 Residual Risk and Acceptance</w:t>
      </w:r>
    </w:p>
    <w:p>
      <w:pPr>
        <w:spacing w:after="80"/>
      </w:pPr>
      <w:r>
        <w:t>Residual risk is the risk remaining after controls are implemented and verified. Do not reduce a score solely because a control is planned. Record evidence such as passing authorization tests, configuration review, restore-test results or alert simulation. A named system owner should approve any accepted High/Critical residual risk with rationale, expiry date, compensating controls and review date.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466A"/>
          </w:tcPr>
          <w:p>
            <w:r>
              <w:rPr>
                <w:b/>
                <w:color w:val="FFFFFF"/>
                <w:sz w:val="15"/>
              </w:rPr>
              <w:t>Risk</w:t>
            </w:r>
          </w:p>
        </w:tc>
        <w:tc>
          <w:tcPr>
            <w:tcW w:type="dxa" w:w="2556"/>
            <w:shd w:fill="12466A"/>
          </w:tcPr>
          <w:p>
            <w:r>
              <w:rPr>
                <w:b/>
                <w:color w:val="FFFFFF"/>
                <w:sz w:val="15"/>
              </w:rPr>
              <w:t>Illustrative inherent score</w:t>
            </w:r>
          </w:p>
        </w:tc>
        <w:tc>
          <w:tcPr>
            <w:tcW w:type="dxa" w:w="2556"/>
            <w:shd w:fill="12466A"/>
          </w:tcPr>
          <w:p>
            <w:r>
              <w:rPr>
                <w:b/>
                <w:color w:val="FFFFFF"/>
                <w:sz w:val="15"/>
              </w:rPr>
              <w:t>Illustrative target residual</w:t>
            </w:r>
          </w:p>
        </w:tc>
        <w:tc>
          <w:tcPr>
            <w:tcW w:type="dxa" w:w="2556"/>
            <w:shd w:fill="12466A"/>
          </w:tcPr>
          <w:p>
            <w:r>
              <w:rPr>
                <w:b/>
                <w:color w:val="FFFFFF"/>
                <w:sz w:val="15"/>
              </w:rPr>
              <w:t>Evidence required</w:t>
            </w:r>
          </w:p>
        </w:tc>
      </w:tr>
      <w:tr>
        <w:tc>
          <w:tcPr>
            <w:tcW w:type="dxa" w:w="2556"/>
          </w:tcPr>
          <w:p>
            <w:pPr>
              <w:spacing w:after="0"/>
            </w:pPr>
            <w:r>
              <w:rPr>
                <w:sz w:val="15"/>
              </w:rPr>
              <w:t>R01</w:t>
            </w:r>
          </w:p>
        </w:tc>
        <w:tc>
          <w:tcPr>
            <w:tcW w:type="dxa" w:w="2556"/>
          </w:tcPr>
          <w:p>
            <w:pPr>
              <w:spacing w:after="0"/>
            </w:pPr>
            <w:r>
              <w:rPr>
                <w:sz w:val="15"/>
              </w:rPr>
              <w:t>20/25</w:t>
            </w:r>
          </w:p>
        </w:tc>
        <w:tc>
          <w:tcPr>
            <w:tcW w:type="dxa" w:w="2556"/>
          </w:tcPr>
          <w:p>
            <w:pPr>
              <w:spacing w:after="0"/>
            </w:pPr>
            <w:r>
              <w:rPr>
                <w:sz w:val="15"/>
              </w:rPr>
              <w:t>8/25</w:t>
            </w:r>
          </w:p>
        </w:tc>
        <w:tc>
          <w:tcPr>
            <w:tcW w:type="dxa" w:w="2556"/>
          </w:tcPr>
          <w:p>
            <w:pPr>
              <w:spacing w:after="0"/>
            </w:pPr>
            <w:r>
              <w:rPr>
                <w:sz w:val="15"/>
              </w:rPr>
              <w:t>Authorization tests pass for each role/object type; denied attempts are logged.</w:t>
            </w:r>
          </w:p>
        </w:tc>
      </w:tr>
      <w:tr>
        <w:tc>
          <w:tcPr>
            <w:tcW w:type="dxa" w:w="2556"/>
            <w:shd w:fill="EEF4F8"/>
          </w:tcPr>
          <w:p>
            <w:pPr>
              <w:spacing w:after="0"/>
            </w:pPr>
            <w:r>
              <w:rPr>
                <w:sz w:val="15"/>
              </w:rPr>
              <w:t>R02</w:t>
            </w:r>
          </w:p>
        </w:tc>
        <w:tc>
          <w:tcPr>
            <w:tcW w:type="dxa" w:w="2556"/>
            <w:shd w:fill="EEF4F8"/>
          </w:tcPr>
          <w:p>
            <w:pPr>
              <w:spacing w:after="0"/>
            </w:pPr>
            <w:r>
              <w:rPr>
                <w:sz w:val="15"/>
              </w:rPr>
              <w:t>16/25</w:t>
            </w:r>
          </w:p>
        </w:tc>
        <w:tc>
          <w:tcPr>
            <w:tcW w:type="dxa" w:w="2556"/>
            <w:shd w:fill="EEF4F8"/>
          </w:tcPr>
          <w:p>
            <w:pPr>
              <w:spacing w:after="0"/>
            </w:pPr>
            <w:r>
              <w:rPr>
                <w:sz w:val="15"/>
              </w:rPr>
              <w:t>6/25</w:t>
            </w:r>
          </w:p>
        </w:tc>
        <w:tc>
          <w:tcPr>
            <w:tcW w:type="dxa" w:w="2556"/>
            <w:shd w:fill="EEF4F8"/>
          </w:tcPr>
          <w:p>
            <w:pPr>
              <w:spacing w:after="0"/>
            </w:pPr>
            <w:r>
              <w:rPr>
                <w:sz w:val="15"/>
              </w:rPr>
              <w:t>MFA coverage report; rate-limit and recovery-flow tests; session revocation test.</w:t>
            </w:r>
          </w:p>
        </w:tc>
      </w:tr>
      <w:tr>
        <w:tc>
          <w:tcPr>
            <w:tcW w:type="dxa" w:w="2556"/>
          </w:tcPr>
          <w:p>
            <w:pPr>
              <w:spacing w:after="0"/>
            </w:pPr>
            <w:r>
              <w:rPr>
                <w:sz w:val="15"/>
              </w:rPr>
              <w:t>R03</w:t>
            </w:r>
          </w:p>
        </w:tc>
        <w:tc>
          <w:tcPr>
            <w:tcW w:type="dxa" w:w="2556"/>
          </w:tcPr>
          <w:p>
            <w:pPr>
              <w:spacing w:after="0"/>
            </w:pPr>
            <w:r>
              <w:rPr>
                <w:sz w:val="15"/>
              </w:rPr>
              <w:t>15/25</w:t>
            </w:r>
          </w:p>
        </w:tc>
        <w:tc>
          <w:tcPr>
            <w:tcW w:type="dxa" w:w="2556"/>
          </w:tcPr>
          <w:p>
            <w:pPr>
              <w:spacing w:after="0"/>
            </w:pPr>
            <w:r>
              <w:rPr>
                <w:sz w:val="15"/>
              </w:rPr>
              <w:t>5/25</w:t>
            </w:r>
          </w:p>
        </w:tc>
        <w:tc>
          <w:tcPr>
            <w:tcW w:type="dxa" w:w="2556"/>
          </w:tcPr>
          <w:p>
            <w:pPr>
              <w:spacing w:after="0"/>
            </w:pPr>
            <w:r>
              <w:rPr>
                <w:sz w:val="15"/>
              </w:rPr>
              <w:t>Code review confirms parameterized queries; authorized staging tests.</w:t>
            </w:r>
          </w:p>
        </w:tc>
      </w:tr>
      <w:tr>
        <w:tc>
          <w:tcPr>
            <w:tcW w:type="dxa" w:w="2556"/>
            <w:shd w:fill="EEF4F8"/>
          </w:tcPr>
          <w:p>
            <w:pPr>
              <w:spacing w:after="0"/>
            </w:pPr>
            <w:r>
              <w:rPr>
                <w:sz w:val="15"/>
              </w:rPr>
              <w:t>R04</w:t>
            </w:r>
          </w:p>
        </w:tc>
        <w:tc>
          <w:tcPr>
            <w:tcW w:type="dxa" w:w="2556"/>
            <w:shd w:fill="EEF4F8"/>
          </w:tcPr>
          <w:p>
            <w:pPr>
              <w:spacing w:after="0"/>
            </w:pPr>
            <w:r>
              <w:rPr>
                <w:sz w:val="15"/>
              </w:rPr>
              <w:t>15/25</w:t>
            </w:r>
          </w:p>
        </w:tc>
        <w:tc>
          <w:tcPr>
            <w:tcW w:type="dxa" w:w="2556"/>
            <w:shd w:fill="EEF4F8"/>
          </w:tcPr>
          <w:p>
            <w:pPr>
              <w:spacing w:after="0"/>
            </w:pPr>
            <w:r>
              <w:rPr>
                <w:sz w:val="15"/>
              </w:rPr>
              <w:t>5/25</w:t>
            </w:r>
          </w:p>
        </w:tc>
        <w:tc>
          <w:tcPr>
            <w:tcW w:type="dxa" w:w="2556"/>
            <w:shd w:fill="EEF4F8"/>
          </w:tcPr>
          <w:p>
            <w:pPr>
              <w:spacing w:after="0"/>
            </w:pPr>
            <w:r>
              <w:rPr>
                <w:sz w:val="15"/>
              </w:rPr>
              <w:t>Storage/configuration review; secrets scan; hardened deployment evidence.</w:t>
            </w:r>
          </w:p>
        </w:tc>
      </w:tr>
      <w:tr>
        <w:tc>
          <w:tcPr>
            <w:tcW w:type="dxa" w:w="2556"/>
          </w:tcPr>
          <w:p>
            <w:pPr>
              <w:spacing w:after="0"/>
            </w:pPr>
            <w:r>
              <w:rPr>
                <w:sz w:val="15"/>
              </w:rPr>
              <w:t>R05</w:t>
            </w:r>
          </w:p>
        </w:tc>
        <w:tc>
          <w:tcPr>
            <w:tcW w:type="dxa" w:w="2556"/>
          </w:tcPr>
          <w:p>
            <w:pPr>
              <w:spacing w:after="0"/>
            </w:pPr>
            <w:r>
              <w:rPr>
                <w:sz w:val="15"/>
              </w:rPr>
              <w:t>15/25</w:t>
            </w:r>
          </w:p>
        </w:tc>
        <w:tc>
          <w:tcPr>
            <w:tcW w:type="dxa" w:w="2556"/>
          </w:tcPr>
          <w:p>
            <w:pPr>
              <w:spacing w:after="0"/>
            </w:pPr>
            <w:r>
              <w:rPr>
                <w:sz w:val="15"/>
              </w:rPr>
              <w:t>8/25</w:t>
            </w:r>
          </w:p>
        </w:tc>
        <w:tc>
          <w:tcPr>
            <w:tcW w:type="dxa" w:w="2556"/>
          </w:tcPr>
          <w:p>
            <w:pPr>
              <w:spacing w:after="0"/>
            </w:pPr>
            <w:r>
              <w:rPr>
                <w:sz w:val="15"/>
              </w:rPr>
              <w:t>Successful isolated restore test against approved RTO/RPO; incident exercise.</w:t>
            </w:r>
          </w:p>
        </w:tc>
      </w:tr>
    </w:tbl>
    <w:p/>
    <w:p>
      <w:pPr>
        <w:pStyle w:val="Heading1"/>
      </w:pPr>
      <w:r>
        <w:t>5. Mitigation Strategies</w:t>
      </w:r>
    </w:p>
    <w:p>
      <w:pPr>
        <w:pStyle w:val="Heading2"/>
      </w:pPr>
      <w:r>
        <w:t>5.1 Preventive</w:t>
      </w:r>
    </w:p>
    <w:p>
      <w:pPr>
        <w:pStyle w:val="ListBullet"/>
        <w:spacing w:after="40"/>
      </w:pPr>
      <w:r>
        <w:t>Identity/access: least privilege, deny-by-default authorization, object-level checks, MFA for staff/admins, secure recovery, session expiry and periodic access review.</w:t>
      </w:r>
    </w:p>
    <w:p>
      <w:pPr>
        <w:pStyle w:val="ListBullet"/>
        <w:spacing w:after="40"/>
      </w:pPr>
      <w:r>
        <w:t>Secure development: schema validation, parameterized queries, context-aware output encoding, CSRF protection where applicable, business-logic review and safe error handling.</w:t>
      </w:r>
    </w:p>
    <w:p>
      <w:pPr>
        <w:pStyle w:val="ListBullet"/>
        <w:spacing w:after="40"/>
      </w:pPr>
      <w:r>
        <w:t>API security: authenticate clients, authorize each object/action, scope tokens, set quotas and payload limits, validate schemas and avoid internal error leakage.</w:t>
      </w:r>
    </w:p>
    <w:p>
      <w:pPr>
        <w:pStyle w:val="ListBullet"/>
        <w:spacing w:after="40"/>
      </w:pPr>
      <w:r>
        <w:t>Data protection: classify and minimize data, encrypt in transit/at rest, restrict exports, mask sensitive fields in logs, and define retention/deletion.</w:t>
      </w:r>
    </w:p>
    <w:p>
      <w:pPr>
        <w:pStyle w:val="ListBullet"/>
        <w:spacing w:after="40"/>
      </w:pPr>
      <w:r>
        <w:t>Configuration/supply chain: inventory assets and dependencies, remove defaults, disable debug modes, manage secrets centrally, scan dependencies and review vendor access.</w:t>
      </w:r>
    </w:p>
    <w:p>
      <w:pPr>
        <w:pStyle w:val="Heading2"/>
      </w:pPr>
      <w:r>
        <w:t>5.2 Detective</w:t>
      </w:r>
    </w:p>
    <w:p>
      <w:pPr>
        <w:pStyle w:val="ListBullet"/>
        <w:spacing w:after="40"/>
      </w:pPr>
      <w:r>
        <w:t>Centralize authentication, authorization, admin, API, database and cloud audit events in a protected logging platform.</w:t>
      </w:r>
    </w:p>
    <w:p>
      <w:pPr>
        <w:pStyle w:val="ListBullet"/>
        <w:spacing w:after="40"/>
      </w:pPr>
      <w:r>
        <w:t>Alert on repeated failures, password-reset abuse, privilege changes, unusual bulk downloads, access-denied spikes and unexpected configuration changes.</w:t>
      </w:r>
    </w:p>
    <w:p>
      <w:pPr>
        <w:pStyle w:val="ListBullet"/>
        <w:spacing w:after="40"/>
      </w:pPr>
      <w:r>
        <w:t>Synchronize clocks, restrict log access, set retention according to applicable requirements and test alert delivery to a responsible responder.</w:t>
      </w:r>
    </w:p>
    <w:p>
      <w:pPr>
        <w:pStyle w:val="Heading2"/>
      </w:pPr>
      <w:r>
        <w:t>5.3 Corrective and Resilience</w:t>
      </w:r>
    </w:p>
    <w:p>
      <w:pPr>
        <w:pStyle w:val="ListBullet"/>
        <w:spacing w:after="40"/>
      </w:pPr>
      <w:r>
        <w:t>Maintain isolated, access-controlled backups; test restoration to a clean environment and record actual recovery time and recovery point.</w:t>
      </w:r>
    </w:p>
    <w:p>
      <w:pPr>
        <w:pStyle w:val="ListBullet"/>
        <w:spacing w:after="40"/>
      </w:pPr>
      <w:r>
        <w:t>Prepare incident procedures for account takeover, citizen-data exposure, ransomware, service outage and third-party compromise.</w:t>
      </w:r>
    </w:p>
    <w:p>
      <w:pPr>
        <w:pStyle w:val="ListBullet"/>
        <w:spacing w:after="40"/>
      </w:pPr>
      <w:r>
        <w:t>Prioritize patching by severity, exploitability, exposure and business criticality; document exceptions with owners and expiry dates.</w:t>
      </w:r>
    </w:p>
    <w:p>
      <w:pPr>
        <w:pStyle w:val="ListBullet"/>
        <w:spacing w:after="40"/>
      </w:pPr>
      <w:r>
        <w:t>Run a tabletop exercise and track corrective actions with owners, deadlines and closure evidence.</w:t>
      </w:r>
    </w:p>
    <w:p>
      <w:pPr>
        <w:pStyle w:val="Heading2"/>
      </w:pPr>
      <w:r>
        <w:t>5.4 30-Day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5"/>
              </w:rPr>
              <w:t>Window</w:t>
            </w:r>
          </w:p>
        </w:tc>
        <w:tc>
          <w:tcPr>
            <w:tcW w:type="dxa" w:w="3408"/>
            <w:shd w:fill="12466A"/>
          </w:tcPr>
          <w:p>
            <w:r>
              <w:rPr>
                <w:b/>
                <w:color w:val="FFFFFF"/>
                <w:sz w:val="15"/>
              </w:rPr>
              <w:t>Actions</w:t>
            </w:r>
          </w:p>
        </w:tc>
        <w:tc>
          <w:tcPr>
            <w:tcW w:type="dxa" w:w="3408"/>
            <w:shd w:fill="12466A"/>
          </w:tcPr>
          <w:p>
            <w:r>
              <w:rPr>
                <w:b/>
                <w:color w:val="FFFFFF"/>
                <w:sz w:val="15"/>
              </w:rPr>
              <w:t>Deliverables / evidence</w:t>
            </w:r>
          </w:p>
        </w:tc>
      </w:tr>
      <w:tr>
        <w:tc>
          <w:tcPr>
            <w:tcW w:type="dxa" w:w="3408"/>
          </w:tcPr>
          <w:p>
            <w:pPr>
              <w:spacing w:after="0"/>
            </w:pPr>
            <w:r>
              <w:rPr>
                <w:sz w:val="15"/>
              </w:rPr>
              <w:t>Days 1–7</w:t>
            </w:r>
          </w:p>
        </w:tc>
        <w:tc>
          <w:tcPr>
            <w:tcW w:type="dxa" w:w="3408"/>
          </w:tcPr>
          <w:p>
            <w:pPr>
              <w:spacing w:after="0"/>
            </w:pPr>
            <w:r>
              <w:rPr>
                <w:sz w:val="15"/>
              </w:rPr>
              <w:t>Confirm assets/data flows; review authorization; check privileged accounts and storage configuration.</w:t>
            </w:r>
          </w:p>
        </w:tc>
        <w:tc>
          <w:tcPr>
            <w:tcW w:type="dxa" w:w="3408"/>
          </w:tcPr>
          <w:p>
            <w:pPr>
              <w:spacing w:after="0"/>
            </w:pPr>
            <w:r>
              <w:rPr>
                <w:sz w:val="15"/>
              </w:rPr>
              <w:t>Approved scope, data-flow diagram, initial risk register, urgent issues logged.</w:t>
            </w:r>
          </w:p>
        </w:tc>
      </w:tr>
      <w:tr>
        <w:tc>
          <w:tcPr>
            <w:tcW w:type="dxa" w:w="3408"/>
            <w:shd w:fill="EEF4F8"/>
          </w:tcPr>
          <w:p>
            <w:pPr>
              <w:spacing w:after="0"/>
            </w:pPr>
            <w:r>
              <w:rPr>
                <w:sz w:val="15"/>
              </w:rPr>
              <w:t>Days 8–14</w:t>
            </w:r>
          </w:p>
        </w:tc>
        <w:tc>
          <w:tcPr>
            <w:tcW w:type="dxa" w:w="3408"/>
            <w:shd w:fill="EEF4F8"/>
          </w:tcPr>
          <w:p>
            <w:pPr>
              <w:spacing w:after="0"/>
            </w:pPr>
            <w:r>
              <w:rPr>
                <w:sz w:val="15"/>
              </w:rPr>
              <w:t>Review authentication/recovery, input handling and critical security logs.</w:t>
            </w:r>
          </w:p>
        </w:tc>
        <w:tc>
          <w:tcPr>
            <w:tcW w:type="dxa" w:w="3408"/>
            <w:shd w:fill="EEF4F8"/>
          </w:tcPr>
          <w:p>
            <w:pPr>
              <w:spacing w:after="0"/>
            </w:pPr>
            <w:r>
              <w:rPr>
                <w:sz w:val="15"/>
              </w:rPr>
              <w:t>Control checklist, code/config review notes, tested MFA and alert scenarios.</w:t>
            </w:r>
          </w:p>
        </w:tc>
      </w:tr>
      <w:tr>
        <w:tc>
          <w:tcPr>
            <w:tcW w:type="dxa" w:w="3408"/>
          </w:tcPr>
          <w:p>
            <w:pPr>
              <w:spacing w:after="0"/>
            </w:pPr>
            <w:r>
              <w:rPr>
                <w:sz w:val="15"/>
              </w:rPr>
              <w:t>Days 15–21</w:t>
            </w:r>
          </w:p>
        </w:tc>
        <w:tc>
          <w:tcPr>
            <w:tcW w:type="dxa" w:w="3408"/>
          </w:tcPr>
          <w:p>
            <w:pPr>
              <w:spacing w:after="0"/>
            </w:pPr>
            <w:r>
              <w:rPr>
                <w:sz w:val="15"/>
              </w:rPr>
              <w:t>Authorized staging checks for access control, uploads and API quotas; inventory dependencies.</w:t>
            </w:r>
          </w:p>
        </w:tc>
        <w:tc>
          <w:tcPr>
            <w:tcW w:type="dxa" w:w="3408"/>
          </w:tcPr>
          <w:p>
            <w:pPr>
              <w:spacing w:after="0"/>
            </w:pPr>
            <w:r>
              <w:rPr>
                <w:sz w:val="15"/>
              </w:rPr>
              <w:t>Test evidence, dependency/SBOM inventory, remediation tickets.</w:t>
            </w:r>
          </w:p>
        </w:tc>
      </w:tr>
      <w:tr>
        <w:tc>
          <w:tcPr>
            <w:tcW w:type="dxa" w:w="3408"/>
            <w:shd w:fill="EEF4F8"/>
          </w:tcPr>
          <w:p>
            <w:pPr>
              <w:spacing w:after="0"/>
            </w:pPr>
            <w:r>
              <w:rPr>
                <w:sz w:val="15"/>
              </w:rPr>
              <w:t>Days 22–30</w:t>
            </w:r>
          </w:p>
        </w:tc>
        <w:tc>
          <w:tcPr>
            <w:tcW w:type="dxa" w:w="3408"/>
            <w:shd w:fill="EEF4F8"/>
          </w:tcPr>
          <w:p>
            <w:pPr>
              <w:spacing w:after="0"/>
            </w:pPr>
            <w:r>
              <w:rPr>
                <w:sz w:val="15"/>
              </w:rPr>
              <w:t>Test isolated restore, run incident tabletop and reassess risks after verified fixes.</w:t>
            </w:r>
          </w:p>
        </w:tc>
        <w:tc>
          <w:tcPr>
            <w:tcW w:type="dxa" w:w="3408"/>
            <w:shd w:fill="EEF4F8"/>
          </w:tcPr>
          <w:p>
            <w:pPr>
              <w:spacing w:after="0"/>
            </w:pPr>
            <w:r>
              <w:rPr>
                <w:sz w:val="15"/>
              </w:rPr>
              <w:t>Restore report, exercise notes, updated residual register and sign-off.</w:t>
            </w:r>
          </w:p>
        </w:tc>
      </w:tr>
    </w:tbl>
    <w:p/>
    <w:p>
      <w:pPr>
        <w:pStyle w:val="Heading1"/>
      </w:pPr>
      <w:r>
        <w:t>6. Validation Plan and Success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466A"/>
          </w:tcPr>
          <w:p>
            <w:r>
              <w:rPr>
                <w:b/>
                <w:color w:val="FFFFFF"/>
                <w:sz w:val="15"/>
              </w:rPr>
              <w:t>Area</w:t>
            </w:r>
          </w:p>
        </w:tc>
        <w:tc>
          <w:tcPr>
            <w:tcW w:type="dxa" w:w="3408"/>
            <w:shd w:fill="12466A"/>
          </w:tcPr>
          <w:p>
            <w:r>
              <w:rPr>
                <w:b/>
                <w:color w:val="FFFFFF"/>
                <w:sz w:val="15"/>
              </w:rPr>
              <w:t>Metric / proposed planning target</w:t>
            </w:r>
          </w:p>
        </w:tc>
        <w:tc>
          <w:tcPr>
            <w:tcW w:type="dxa" w:w="3408"/>
            <w:shd w:fill="12466A"/>
          </w:tcPr>
          <w:p>
            <w:r>
              <w:rPr>
                <w:b/>
                <w:color w:val="FFFFFF"/>
                <w:sz w:val="15"/>
              </w:rPr>
              <w:t>Evidence</w:t>
            </w:r>
          </w:p>
        </w:tc>
      </w:tr>
      <w:tr>
        <w:tc>
          <w:tcPr>
            <w:tcW w:type="dxa" w:w="3408"/>
          </w:tcPr>
          <w:p>
            <w:pPr>
              <w:spacing w:after="0"/>
            </w:pPr>
            <w:r>
              <w:rPr>
                <w:sz w:val="15"/>
              </w:rPr>
              <w:t>Access control</w:t>
            </w:r>
          </w:p>
        </w:tc>
        <w:tc>
          <w:tcPr>
            <w:tcW w:type="dxa" w:w="3408"/>
          </w:tcPr>
          <w:p>
            <w:pPr>
              <w:spacing w:after="0"/>
            </w:pPr>
            <w:r>
              <w:rPr>
                <w:sz w:val="15"/>
              </w:rPr>
              <w:t>100% of defined authorization tests pass before release</w:t>
            </w:r>
          </w:p>
        </w:tc>
        <w:tc>
          <w:tcPr>
            <w:tcW w:type="dxa" w:w="3408"/>
          </w:tcPr>
          <w:p>
            <w:pPr>
              <w:spacing w:after="0"/>
            </w:pPr>
            <w:r>
              <w:rPr>
                <w:sz w:val="15"/>
              </w:rPr>
              <w:t>Automated test output and reviewer sign-off</w:t>
            </w:r>
          </w:p>
        </w:tc>
      </w:tr>
      <w:tr>
        <w:tc>
          <w:tcPr>
            <w:tcW w:type="dxa" w:w="3408"/>
            <w:shd w:fill="EEF4F8"/>
          </w:tcPr>
          <w:p>
            <w:pPr>
              <w:spacing w:after="0"/>
            </w:pPr>
            <w:r>
              <w:rPr>
                <w:sz w:val="15"/>
              </w:rPr>
              <w:t>Privileged access</w:t>
            </w:r>
          </w:p>
        </w:tc>
        <w:tc>
          <w:tcPr>
            <w:tcW w:type="dxa" w:w="3408"/>
            <w:shd w:fill="EEF4F8"/>
          </w:tcPr>
          <w:p>
            <w:pPr>
              <w:spacing w:after="0"/>
            </w:pPr>
            <w:r>
              <w:rPr>
                <w:sz w:val="15"/>
              </w:rPr>
              <w:t>100% privileged accounts enrolled in MFA</w:t>
            </w:r>
          </w:p>
        </w:tc>
        <w:tc>
          <w:tcPr>
            <w:tcW w:type="dxa" w:w="3408"/>
            <w:shd w:fill="EEF4F8"/>
          </w:tcPr>
          <w:p>
            <w:pPr>
              <w:spacing w:after="0"/>
            </w:pPr>
            <w:r>
              <w:rPr>
                <w:sz w:val="15"/>
              </w:rPr>
              <w:t>Identity-provider report</w:t>
            </w:r>
          </w:p>
        </w:tc>
      </w:tr>
      <w:tr>
        <w:tc>
          <w:tcPr>
            <w:tcW w:type="dxa" w:w="3408"/>
          </w:tcPr>
          <w:p>
            <w:pPr>
              <w:spacing w:after="0"/>
            </w:pPr>
            <w:r>
              <w:rPr>
                <w:sz w:val="15"/>
              </w:rPr>
              <w:t>Logging</w:t>
            </w:r>
          </w:p>
        </w:tc>
        <w:tc>
          <w:tcPr>
            <w:tcW w:type="dxa" w:w="3408"/>
          </w:tcPr>
          <w:p>
            <w:pPr>
              <w:spacing w:after="0"/>
            </w:pPr>
            <w:r>
              <w:rPr>
                <w:sz w:val="15"/>
              </w:rPr>
              <w:t>All defined critical event types logged; test alert reaches owner</w:t>
            </w:r>
          </w:p>
        </w:tc>
        <w:tc>
          <w:tcPr>
            <w:tcW w:type="dxa" w:w="3408"/>
          </w:tcPr>
          <w:p>
            <w:pPr>
              <w:spacing w:after="0"/>
            </w:pPr>
            <w:r>
              <w:rPr>
                <w:sz w:val="15"/>
              </w:rPr>
              <w:t>Event catalogue and alert simulation</w:t>
            </w:r>
          </w:p>
        </w:tc>
      </w:tr>
      <w:tr>
        <w:tc>
          <w:tcPr>
            <w:tcW w:type="dxa" w:w="3408"/>
            <w:shd w:fill="EEF4F8"/>
          </w:tcPr>
          <w:p>
            <w:pPr>
              <w:spacing w:after="0"/>
            </w:pPr>
            <w:r>
              <w:rPr>
                <w:sz w:val="15"/>
              </w:rPr>
              <w:t>Critical findings</w:t>
            </w:r>
          </w:p>
        </w:tc>
        <w:tc>
          <w:tcPr>
            <w:tcW w:type="dxa" w:w="3408"/>
            <w:shd w:fill="EEF4F8"/>
          </w:tcPr>
          <w:p>
            <w:pPr>
              <w:spacing w:after="0"/>
            </w:pPr>
            <w:r>
              <w:rPr>
                <w:sz w:val="15"/>
              </w:rPr>
              <w:t>Every critical finding has an owner and approved deadline</w:t>
            </w:r>
          </w:p>
        </w:tc>
        <w:tc>
          <w:tcPr>
            <w:tcW w:type="dxa" w:w="3408"/>
            <w:shd w:fill="EEF4F8"/>
          </w:tcPr>
          <w:p>
            <w:pPr>
              <w:spacing w:after="0"/>
            </w:pPr>
            <w:r>
              <w:rPr>
                <w:sz w:val="15"/>
              </w:rPr>
              <w:t>Ticket register / scan output</w:t>
            </w:r>
          </w:p>
        </w:tc>
      </w:tr>
      <w:tr>
        <w:tc>
          <w:tcPr>
            <w:tcW w:type="dxa" w:w="3408"/>
          </w:tcPr>
          <w:p>
            <w:pPr>
              <w:spacing w:after="0"/>
            </w:pPr>
            <w:r>
              <w:rPr>
                <w:sz w:val="15"/>
              </w:rPr>
              <w:t>Backups</w:t>
            </w:r>
          </w:p>
        </w:tc>
        <w:tc>
          <w:tcPr>
            <w:tcW w:type="dxa" w:w="3408"/>
          </w:tcPr>
          <w:p>
            <w:pPr>
              <w:spacing w:after="0"/>
            </w:pPr>
            <w:r>
              <w:rPr>
                <w:sz w:val="15"/>
              </w:rPr>
              <w:t>Successful isolated restore test within approved RTO/RPO</w:t>
            </w:r>
          </w:p>
        </w:tc>
        <w:tc>
          <w:tcPr>
            <w:tcW w:type="dxa" w:w="3408"/>
          </w:tcPr>
          <w:p>
            <w:pPr>
              <w:spacing w:after="0"/>
            </w:pPr>
            <w:r>
              <w:rPr>
                <w:sz w:val="15"/>
              </w:rPr>
              <w:t>Restore report with measured time</w:t>
            </w:r>
          </w:p>
        </w:tc>
      </w:tr>
      <w:tr>
        <w:tc>
          <w:tcPr>
            <w:tcW w:type="dxa" w:w="3408"/>
            <w:shd w:fill="EEF4F8"/>
          </w:tcPr>
          <w:p>
            <w:pPr>
              <w:spacing w:after="0"/>
            </w:pPr>
            <w:r>
              <w:rPr>
                <w:sz w:val="15"/>
              </w:rPr>
              <w:t>Incident readiness</w:t>
            </w:r>
          </w:p>
        </w:tc>
        <w:tc>
          <w:tcPr>
            <w:tcW w:type="dxa" w:w="3408"/>
            <w:shd w:fill="EEF4F8"/>
          </w:tcPr>
          <w:p>
            <w:pPr>
              <w:spacing w:after="0"/>
            </w:pPr>
            <w:r>
              <w:rPr>
                <w:sz w:val="15"/>
              </w:rPr>
              <w:t>One tabletop exercise; high-priority actions assigned</w:t>
            </w:r>
          </w:p>
        </w:tc>
        <w:tc>
          <w:tcPr>
            <w:tcW w:type="dxa" w:w="3408"/>
            <w:shd w:fill="EEF4F8"/>
          </w:tcPr>
          <w:p>
            <w:pPr>
              <w:spacing w:after="0"/>
            </w:pPr>
            <w:r>
              <w:rPr>
                <w:sz w:val="15"/>
              </w:rPr>
              <w:t>Exercise notes and action tracker</w:t>
            </w:r>
          </w:p>
        </w:tc>
      </w:tr>
    </w:tbl>
    <w:p/>
    <w:p>
      <w:pPr>
        <w:spacing w:after="80"/>
      </w:pPr>
      <w:r>
        <w:t>These are proposed targets for the hypothetical service, not measured results or industry benchmarks. The owner should approve targets based on criticality, resources and applicable requirements.</w:t>
      </w:r>
    </w:p>
    <w:p>
      <w:pPr>
        <w:pStyle w:val="Heading1"/>
      </w:pPr>
      <w:r>
        <w:t>7. Governance and Indian Context</w:t>
      </w:r>
    </w:p>
    <w:p>
      <w:pPr>
        <w:spacing w:after="80"/>
      </w:pPr>
      <w:r>
        <w:t>CERT-In publishes directions under section 70B of the Information Technology Act, 2000, with guidance and an illustrative list of incident categories. Public materials include unauthorized access, website intrusion, malicious-code incidents, denial-of-service, e-governance application attacks, data breaches and data leaks. An actual operator should confirm which reporting, log-retention, evidence-preservation and response obligations apply, using current official directions and appropriate legal guidance.</w:t>
      </w:r>
    </w:p>
    <w:p>
      <w:pPr>
        <w:spacing w:after="80"/>
      </w:pPr>
      <w:r>
        <w:t>Suggested governance: service owner accountable for risk acceptance; security lead responsible for assessment and remediation tracking; application/platform owners responsible for controls; privacy/legal contact for data handling and notification decisions; and incident-response lead for triage, evidence preservation and coordination. Document exceptions and review the register after significant releases and incidents.</w:t>
      </w:r>
    </w:p>
    <w:p>
      <w:pPr>
        <w:pStyle w:val="Heading1"/>
      </w:pPr>
      <w:r>
        <w:t>8. Conclusion</w:t>
      </w:r>
    </w:p>
    <w:p>
      <w:pPr>
        <w:spacing w:after="80"/>
      </w:pPr>
      <w:r>
        <w:t>The hypothetical assessment identifies broken access control, account takeover, injection, misconfiguration, ransomware, weak logging, third-party exposure, unsafe uploads, dependency risk and API abuse as scenarios that warrant validation. The prioritized risk register links each risk to a score, rationale, owner, controls and timeline. The next step is not to assume these weaknesses exist, but to validate them through authorized code, configuration and staging reviews, then update scores only when evidence supports the change.</w:t>
      </w:r>
    </w:p>
    <w:p>
      <w:pPr>
        <w:spacing w:after="80"/>
      </w:pPr>
      <w:r>
        <w:t>A risk-based approach helps protect confidentiality, integrity and availability while preserving trust in public services. Recommendations should be tailored to the real architecture, data sensitivity, service criticality and applicable Indian requirements.</w:t>
      </w:r>
    </w:p>
    <w:p>
      <w:pPr>
        <w:pStyle w:val="Heading1"/>
      </w:pPr>
      <w:r>
        <w:t>References</w:t>
      </w:r>
    </w:p>
    <w:p>
      <w:pPr>
        <w:pStyle w:val="ListNumber"/>
        <w:spacing w:after="60"/>
      </w:pPr>
      <w:r>
        <w:t>NIST SP 800-30 Rev. 1, Guide for Conducting Risk Assessments (2012).</w:t>
        <w:br/>
      </w:r>
      <w:r>
        <w:rPr>
          <w:color w:val="0066A0"/>
          <w:sz w:val="16"/>
          <w:u w:val="single"/>
        </w:rPr>
        <w:t>https://csrc.nist.gov/pubs/sp/800/30/r1/final</w:t>
      </w:r>
    </w:p>
    <w:p>
      <w:pPr>
        <w:pStyle w:val="ListNumber"/>
        <w:spacing w:after="60"/>
      </w:pPr>
      <w:r>
        <w:t>OWASP Foundation, OWASP Top 10:2025.</w:t>
        <w:br/>
      </w:r>
      <w:r>
        <w:rPr>
          <w:color w:val="0066A0"/>
          <w:sz w:val="16"/>
          <w:u w:val="single"/>
        </w:rPr>
        <w:t>https://top10.owasp.org/2025/</w:t>
      </w:r>
    </w:p>
    <w:p>
      <w:pPr>
        <w:pStyle w:val="ListNumber"/>
        <w:spacing w:after="60"/>
      </w:pPr>
      <w:r>
        <w:t>CERT-In, Directions under Section 70B of the Information Technology Act, 2000 and related FAQs.</w:t>
        <w:br/>
      </w:r>
      <w:r>
        <w:rPr>
          <w:color w:val="0066A0"/>
          <w:sz w:val="16"/>
          <w:u w:val="single"/>
        </w:rPr>
        <w:t>https://www.cert-in.org.in/Directions70B.jsp</w:t>
      </w:r>
    </w:p>
    <w:p>
      <w:pPr>
        <w:pStyle w:val="ListNumber"/>
        <w:spacing w:after="60"/>
      </w:pPr>
      <w:r>
        <w:t>Press Information Bureau, Government of India, CERT-In issues directions relating to information security practices, prevention, response and reporting (28 April 2022).</w:t>
        <w:br/>
      </w:r>
      <w:r>
        <w:rPr>
          <w:color w:val="0066A0"/>
          <w:sz w:val="16"/>
          <w:u w:val="single"/>
        </w:rPr>
        <w:t>https://www.pib.gov.in/Pressreleaseshare.aspx?PRID=1820904&amp;lang=2&amp;reg=48</w:t>
      </w:r>
    </w:p>
    <w:p>
      <w:pPr>
        <w:pStyle w:val="ListNumber"/>
        <w:spacing w:after="60"/>
      </w:pPr>
      <w:r>
        <w:t>CERT-In official PDF of Directions dated 28 April 2022.</w:t>
        <w:br/>
      </w:r>
      <w:r>
        <w:rPr>
          <w:color w:val="0066A0"/>
          <w:sz w:val="16"/>
          <w:u w:val="single"/>
        </w:rPr>
        <w:t>https://cert-in.org.in/PDF/CERT-In_Directions_70B_28.04.2022.pdf</w:t>
      </w:r>
    </w:p>
    <w:p>
      <w:pPr>
        <w:pStyle w:val="Heading1"/>
      </w:pPr>
      <w:r>
        <w:t>Appendix A — Assessment Integrity Note</w:t>
      </w:r>
    </w:p>
    <w:p>
      <w:pPr>
        <w:spacing w:after="80"/>
      </w:pPr>
      <w:r>
        <w:t>This report is an educational, desk-based assessment of a hypothetical service. No real government portal was scanned, probed or tested. Risk scores, examples and targets are illustrative and must be confirmed or replaced with authorized assessment evidence. Review and understand the analysis before submitting; adjust it to reflect work actually completed.</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C"/>
        <w:sz w:val="16"/>
      </w:rPr>
      <w:t>Week 2 | Vulnerability Assessment and Threat Modeling | Hypothetical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4B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4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2F5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