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Relatório de Segurança – Tópico 3.2</w:t>
      </w:r>
    </w:p>
    <w:p>
      <w:pPr>
        <w:pStyle w:val="Heading2"/>
      </w:pPr>
      <w:r>
        <w:t>Objetivo</w:t>
      </w:r>
    </w:p>
    <w:p>
      <w:r>
        <w:t>Realizar auditoria algorítmica para verificar a imparcialidade do modelo de decisão automatizada, utilizando métricas como Disparate Impact (impacto desigual entre grupos demográficos).</w:t>
      </w:r>
    </w:p>
    <w:p>
      <w:pPr>
        <w:pStyle w:val="Heading2"/>
      </w:pPr>
      <w:r>
        <w:t>Ações Realizadas</w:t>
      </w:r>
    </w:p>
    <w:p>
      <w:r>
        <w:br/>
        <w:t>- Simulado um conjunto de dados contendo gênero e decisão de aprovação.</w:t>
        <w:br/>
        <w:t>- Agrupados os dados por gênero para obter a taxa média de aprovação por grupo.</w:t>
        <w:br/>
        <w:t>- Calculado o Disparate Impact (razão entre taxas de aprovação F/M).</w:t>
        <w:br/>
        <w:t>- Comparado o resultado com o intervalo aceito de imparcialidade (0.8 a 1.25).</w:t>
        <w:br/>
      </w:r>
    </w:p>
    <w:p>
      <w:pPr>
        <w:pStyle w:val="Heading2"/>
      </w:pPr>
      <w:r>
        <w:t>Evidência</w:t>
      </w:r>
    </w:p>
    <w:p>
      <w:r>
        <w:t>Execução da auditoria algorítmica com cálculo de Disparate Impact:</w:t>
      </w:r>
    </w:p>
    <w:p>
      <w:r>
        <w:drawing>
          <wp:inline xmlns:a="http://schemas.openxmlformats.org/drawingml/2006/main" xmlns:pic="http://schemas.openxmlformats.org/drawingml/2006/picture">
            <wp:extent cx="5029200" cy="143457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91b96ed7-1923-4e93-9c35-de73503ce9b4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43457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Conclusão</w:t>
      </w:r>
    </w:p>
    <w:p>
      <w:r>
        <w:br/>
        <w:t xml:space="preserve">O resultado da auditoria demonstrou a presença de viés significativo, com Disparate Impact igual a 0.00, fora do intervalo considerado justo. </w:t>
        <w:br/>
        <w:t>Recomenda-se que esse tipo de auditoria seja realizado de forma recorrente durante o desenvolvimento e operação de sistemas automatizados, para garantir conformidade ética e legal.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