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420"/>
        <w:gridCol w:w="2100"/>
        <w:gridCol w:w="2595"/>
        <w:tblGridChange w:id="0">
          <w:tblGrid>
            <w:gridCol w:w="2610"/>
            <w:gridCol w:w="3420"/>
            <w:gridCol w:w="2100"/>
            <w:gridCol w:w="2595"/>
          </w:tblGrid>
        </w:tblGridChange>
      </w:tblGrid>
      <w:tr>
        <w:trPr>
          <w:cantSplit w:val="0"/>
          <w:trHeight w:val="233.95507812499994" w:hRule="atLeast"/>
          <w:tblHeader w:val="0"/>
        </w:trPr>
        <w:tc>
          <w:tcPr>
            <w:gridSpan w:val="4"/>
            <w:shd w:fill="7092a7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PROJECT INFORMATION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Report Description:</w:t>
            </w:r>
          </w:p>
        </w:tc>
        <w:tc>
          <w:tcPr>
            <w:gridSpan w:val="3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0"/>
                <w:szCs w:val="20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Professor: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0"/>
                <w:szCs w:val="20"/>
                <w:rtl w:val="0"/>
              </w:rPr>
              <w:t xml:space="preserve">Prof. 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00ee"/>
                  <w:sz w:val="20"/>
                  <w:szCs w:val="20"/>
                  <w:u w:val="single"/>
                  <w:rtl w:val="0"/>
                </w:rPr>
                <w:t xml:space="preserve">Gady Agam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Tools used/work done:</w:t>
            </w:r>
          </w:p>
        </w:tc>
        <w:tc>
          <w:tcPr>
            <w:vMerge w:val="restart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Report prepared by: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0e0e0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00ee"/>
                  <w:sz w:val="20"/>
                  <w:szCs w:val="20"/>
                  <w:u w:val="single"/>
                  <w:rtl w:val="0"/>
                </w:rPr>
                <w:t xml:space="preserve">Noviya Balasubramanian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e0e0e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HAWK ID: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0"/>
                <w:szCs w:val="20"/>
                <w:rtl w:val="0"/>
              </w:rPr>
              <w:t xml:space="preserve">A20541236</w:t>
            </w:r>
          </w:p>
        </w:tc>
        <w:tc>
          <w:tcPr>
            <w:vMerge w:val="continue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Report no: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cc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Report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0"/>
                <w:szCs w:val="20"/>
                <w:rtl w:val="0"/>
              </w:rPr>
              <w:t xml:space="preserve">9/27/2024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Topic: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Classification of Cognitive States Using EEG and Physiological Signals: Impasse, Aha!, Uncertainty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Timeline: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First 6 Weeks: Literature Review, Data Access, Preprocessing, Problem Statement Definition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7 (Oct 4): Data Preprocessing Completion, MARA Exploration in MATLAB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8 (Oct 11): Feature Extraction and Classification, Initial Training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9 (Oct 18): Classifier Selection and Initial Training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10 (Oct 25): Classifier Optimization and Validation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11 (Nov 1): Multimodal Analysis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12 (Nov 8): Fusion or Comparison Analysis Scope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13 (Nov 15): Final Testing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14 (Nov 22): Model Evaluation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15 (Nov 29): Report Preparation (Buffer)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Week 16 (Dec 6): Report Submission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[1] Kyriaki, Konstantina, Dimitrios Koukopoulos, and Christos A. Fidas. "A Comprehensive Survey of EEG Preprocessing Methods for Cognitive Load Assessment." IEEE Access (2024).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MARA is an automated and efficient classifier that utilizes a binary linear classifier to determine whether an IC is an artifact or a neuronal signal, thereby enabling researchers to retain or reject it. MARA has demonstrated a strong performance online and in various experimental contexts. It handles effectively different types of artifacts [63], particularly myogenic artifacts [3].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After feature selection, classification was performed using the K-Nearest Neighbors (KNN) and Support Vector Machine (SVM) algorithms. A remarkable classification accuracy of 98.79% was cited, significantly higher than the classification based on features from the time, frequency, or time-frequency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weeks work - Labeling the components, analyzing with MARA 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706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MARA - </w:t>
      </w: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highlight w:val="white"/>
          <w:rtl w:val="0"/>
        </w:rPr>
        <w:t xml:space="preserve">Multiple Artifact Rejection Algorithm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(Please zoom in this image)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6872288" cy="11917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119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4572471" cy="4814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471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MARA rejected almost all the electrodes. But it was rejected based on the following criteria.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A high FitError and a high 8-13Hz feature indicate that the component contains an ↵ peak and thus neuronal activity. A high value indicates a spectrum with high values in the 20-50 Hz range, which is a sign that the component contains muscle activity. A high Local Skewness value indicates outliers in the component’s time series. A high Range in Pattern and Current Density Norm indicates a scalp map that is unusual for a neuronal component.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 by tweaking the criteria based on our need, we can automate the preprocessing process. 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color w:val="999999"/>
        <w:rtl w:val="0"/>
      </w:rPr>
      <w:t xml:space="preserve">CS597_report_5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agam@iit.edu" TargetMode="External"/><Relationship Id="rId7" Type="http://schemas.openxmlformats.org/officeDocument/2006/relationships/hyperlink" Target="mailto:nbalasubramanian@hawk.iit.edu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