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6E3B5" w14:textId="21EC617F" w:rsidR="00B44CB8" w:rsidRDefault="00B44CB8" w:rsidP="00B44CB8">
      <w:pPr>
        <w:spacing w:before="64" w:line="412" w:lineRule="exact"/>
        <w:ind w:right="348"/>
        <w:rPr>
          <w:rFonts w:ascii="Times New Roman" w:eastAsia="Times New Roman" w:hAnsi="Times New Roman" w:cs="Times New Roman"/>
          <w:sz w:val="36"/>
          <w:szCs w:val="36"/>
        </w:rPr>
      </w:pPr>
      <w:r>
        <w:rPr>
          <w:rFonts w:ascii="Times New Roman" w:eastAsia="Times New Roman" w:hAnsi="Times New Roman" w:cs="Times New Roman"/>
          <w:b/>
          <w:bCs/>
          <w:sz w:val="36"/>
          <w:szCs w:val="36"/>
        </w:rPr>
        <w:t xml:space="preserve">Correction: </w:t>
      </w:r>
      <w:r w:rsidR="00827CC3">
        <w:rPr>
          <w:rFonts w:ascii="Times New Roman" w:eastAsia="Times New Roman" w:hAnsi="Times New Roman" w:cs="Times New Roman"/>
          <w:b/>
          <w:bCs/>
          <w:sz w:val="36"/>
          <w:szCs w:val="36"/>
        </w:rPr>
        <w:t>Best Practices for Wake Model Optimization Algorithm Selection in Wind Farm Layout Optimization</w:t>
      </w:r>
    </w:p>
    <w:p w14:paraId="02F8EAFC" w14:textId="35676437" w:rsidR="00DC0965" w:rsidRDefault="00DC0965">
      <w:pPr>
        <w:spacing w:before="5" w:line="110" w:lineRule="exact"/>
        <w:rPr>
          <w:sz w:val="11"/>
          <w:szCs w:val="11"/>
        </w:rPr>
      </w:pPr>
    </w:p>
    <w:p w14:paraId="225B6DEF" w14:textId="1D02D507" w:rsidR="00DC0965" w:rsidRPr="0032573C" w:rsidRDefault="0043315C" w:rsidP="00777207">
      <w:pPr>
        <w:pStyle w:val="BodyText"/>
        <w:ind w:left="0"/>
        <w:rPr>
          <w:vertAlign w:val="superscript"/>
        </w:rPr>
      </w:pPr>
      <w:r w:rsidRPr="00777207">
        <w:rPr>
          <w:b/>
        </w:rPr>
        <w:t>A</w:t>
      </w:r>
      <w:r w:rsidRPr="00777207">
        <w:rPr>
          <w:b/>
          <w:spacing w:val="-1"/>
        </w:rPr>
        <w:t>u</w:t>
      </w:r>
      <w:r w:rsidRPr="00777207">
        <w:rPr>
          <w:b/>
          <w:spacing w:val="2"/>
        </w:rPr>
        <w:t>t</w:t>
      </w:r>
      <w:r w:rsidRPr="00777207">
        <w:rPr>
          <w:b/>
          <w:spacing w:val="-2"/>
        </w:rPr>
        <w:t>h</w:t>
      </w:r>
      <w:r w:rsidRPr="00777207">
        <w:rPr>
          <w:b/>
          <w:spacing w:val="1"/>
        </w:rPr>
        <w:t>o</w:t>
      </w:r>
      <w:r w:rsidRPr="00777207">
        <w:rPr>
          <w:b/>
        </w:rPr>
        <w:t>r(</w:t>
      </w:r>
      <w:r w:rsidRPr="00777207">
        <w:rPr>
          <w:b/>
          <w:spacing w:val="-1"/>
        </w:rPr>
        <w:t>s</w:t>
      </w:r>
      <w:r w:rsidRPr="00777207">
        <w:rPr>
          <w:b/>
        </w:rPr>
        <w:t>)</w:t>
      </w:r>
      <w:r w:rsidRPr="00777207">
        <w:rPr>
          <w:b/>
          <w:spacing w:val="-6"/>
        </w:rPr>
        <w:t xml:space="preserve"> </w:t>
      </w:r>
      <w:r w:rsidRPr="00777207">
        <w:rPr>
          <w:b/>
        </w:rPr>
        <w:t>N</w:t>
      </w:r>
      <w:r w:rsidRPr="00777207">
        <w:rPr>
          <w:b/>
          <w:spacing w:val="2"/>
        </w:rPr>
        <w:t>a</w:t>
      </w:r>
      <w:r w:rsidRPr="00777207">
        <w:rPr>
          <w:b/>
          <w:spacing w:val="-5"/>
        </w:rPr>
        <w:t>m</w:t>
      </w:r>
      <w:r w:rsidRPr="00777207">
        <w:rPr>
          <w:b/>
        </w:rPr>
        <w:t>e</w:t>
      </w:r>
      <w:r w:rsidR="00777207" w:rsidRPr="00777207">
        <w:rPr>
          <w:b/>
          <w:spacing w:val="2"/>
        </w:rPr>
        <w:t>:</w:t>
      </w:r>
      <w:r w:rsidR="00777207">
        <w:rPr>
          <w:spacing w:val="2"/>
        </w:rPr>
        <w:t xml:space="preserve"> </w:t>
      </w:r>
      <w:r w:rsidR="006672A0">
        <w:rPr>
          <w:spacing w:val="2"/>
        </w:rPr>
        <w:t>Nicholas F. Baker</w:t>
      </w:r>
      <w:r w:rsidR="0032573C">
        <w:rPr>
          <w:spacing w:val="2"/>
          <w:vertAlign w:val="superscript"/>
        </w:rPr>
        <w:t>1</w:t>
      </w:r>
      <w:r w:rsidR="006672A0">
        <w:rPr>
          <w:spacing w:val="2"/>
        </w:rPr>
        <w:t>, Andrew P. J. Stanley</w:t>
      </w:r>
      <w:r w:rsidR="0032573C">
        <w:rPr>
          <w:spacing w:val="2"/>
          <w:vertAlign w:val="superscript"/>
        </w:rPr>
        <w:t>1</w:t>
      </w:r>
      <w:r w:rsidR="006672A0">
        <w:rPr>
          <w:spacing w:val="2"/>
        </w:rPr>
        <w:t>, Jared J. Thomas</w:t>
      </w:r>
      <w:r w:rsidR="0032573C">
        <w:rPr>
          <w:spacing w:val="2"/>
          <w:vertAlign w:val="superscript"/>
        </w:rPr>
        <w:t>1</w:t>
      </w:r>
      <w:r w:rsidR="006672A0">
        <w:rPr>
          <w:spacing w:val="2"/>
        </w:rPr>
        <w:t>, Andrew Ning</w:t>
      </w:r>
      <w:r w:rsidR="0032573C">
        <w:rPr>
          <w:spacing w:val="2"/>
          <w:vertAlign w:val="superscript"/>
        </w:rPr>
        <w:t>1</w:t>
      </w:r>
      <w:r w:rsidR="006672A0">
        <w:rPr>
          <w:spacing w:val="2"/>
        </w:rPr>
        <w:t>, and Katherine Dykes</w:t>
      </w:r>
      <w:r w:rsidR="0032573C">
        <w:rPr>
          <w:spacing w:val="2"/>
          <w:vertAlign w:val="superscript"/>
        </w:rPr>
        <w:t>2</w:t>
      </w:r>
    </w:p>
    <w:p w14:paraId="28953FFF" w14:textId="0EC51DD1" w:rsidR="00B44CB8" w:rsidRDefault="0043315C" w:rsidP="00777207">
      <w:pPr>
        <w:pStyle w:val="BodyText"/>
        <w:ind w:left="0"/>
        <w:rPr>
          <w:w w:val="99"/>
        </w:rPr>
      </w:pPr>
      <w:r w:rsidRPr="00777207">
        <w:rPr>
          <w:b/>
        </w:rPr>
        <w:t>A</w:t>
      </w:r>
      <w:r w:rsidRPr="00777207">
        <w:rPr>
          <w:b/>
          <w:spacing w:val="1"/>
        </w:rPr>
        <w:t>u</w:t>
      </w:r>
      <w:r w:rsidRPr="00777207">
        <w:rPr>
          <w:b/>
        </w:rPr>
        <w:t>th</w:t>
      </w:r>
      <w:r w:rsidRPr="00777207">
        <w:rPr>
          <w:b/>
          <w:spacing w:val="1"/>
        </w:rPr>
        <w:t>o</w:t>
      </w:r>
      <w:r w:rsidRPr="00777207">
        <w:rPr>
          <w:b/>
        </w:rPr>
        <w:t>r</w:t>
      </w:r>
      <w:r w:rsidRPr="00777207">
        <w:rPr>
          <w:b/>
          <w:spacing w:val="-2"/>
        </w:rPr>
        <w:t>(</w:t>
      </w:r>
      <w:r w:rsidRPr="00777207">
        <w:rPr>
          <w:b/>
        </w:rPr>
        <w:t>s)</w:t>
      </w:r>
      <w:r w:rsidRPr="00777207">
        <w:rPr>
          <w:b/>
          <w:spacing w:val="-10"/>
        </w:rPr>
        <w:t xml:space="preserve"> </w:t>
      </w:r>
      <w:r w:rsidRPr="00777207">
        <w:rPr>
          <w:b/>
        </w:rPr>
        <w:t>Af</w:t>
      </w:r>
      <w:r w:rsidRPr="00777207">
        <w:rPr>
          <w:b/>
          <w:spacing w:val="1"/>
        </w:rPr>
        <w:t>f</w:t>
      </w:r>
      <w:r w:rsidRPr="00777207">
        <w:rPr>
          <w:b/>
        </w:rPr>
        <w:t>iliation</w:t>
      </w:r>
      <w:r w:rsidR="00777207" w:rsidRPr="00777207">
        <w:rPr>
          <w:b/>
          <w:spacing w:val="-7"/>
        </w:rPr>
        <w:t>s:</w:t>
      </w:r>
      <w:r w:rsidR="00777207">
        <w:rPr>
          <w:spacing w:val="-7"/>
        </w:rPr>
        <w:t xml:space="preserve"> </w:t>
      </w:r>
      <w:r w:rsidR="0032573C">
        <w:rPr>
          <w:spacing w:val="-7"/>
        </w:rPr>
        <w:t xml:space="preserve">1. </w:t>
      </w:r>
      <w:r w:rsidR="006672A0">
        <w:t xml:space="preserve">Brigham Young </w:t>
      </w:r>
      <w:r w:rsidR="007F1932">
        <w:t xml:space="preserve">University. </w:t>
      </w:r>
      <w:bookmarkStart w:id="0" w:name="_GoBack"/>
      <w:bookmarkEnd w:id="0"/>
      <w:r w:rsidR="0032573C">
        <w:t xml:space="preserve">2. </w:t>
      </w:r>
      <w:r w:rsidR="006672A0">
        <w:t>National Renewable Energy Laboratory</w:t>
      </w:r>
    </w:p>
    <w:p w14:paraId="00C4DFC6" w14:textId="77777777" w:rsidR="00B44CB8" w:rsidRDefault="00B44CB8" w:rsidP="00577A70">
      <w:pPr>
        <w:pStyle w:val="BodyText"/>
        <w:ind w:left="0"/>
      </w:pPr>
    </w:p>
    <w:p w14:paraId="1BC96302" w14:textId="77777777" w:rsidR="00DC0965" w:rsidRDefault="0043315C" w:rsidP="00777207">
      <w:pPr>
        <w:pStyle w:val="Heading1"/>
        <w:spacing w:before="9"/>
        <w:ind w:left="0"/>
        <w:rPr>
          <w:b w:val="0"/>
          <w:bCs w:val="0"/>
        </w:rPr>
      </w:pPr>
      <w:r>
        <w:t>C</w:t>
      </w:r>
      <w:r>
        <w:rPr>
          <w:spacing w:val="1"/>
        </w:rPr>
        <w:t>o</w:t>
      </w:r>
      <w:r>
        <w:t>rrection</w:t>
      </w:r>
      <w:r>
        <w:rPr>
          <w:spacing w:val="-15"/>
        </w:rPr>
        <w:t xml:space="preserve"> </w:t>
      </w:r>
      <w:r>
        <w:t>N</w:t>
      </w:r>
      <w:r>
        <w:rPr>
          <w:spacing w:val="1"/>
        </w:rPr>
        <w:t>o</w:t>
      </w:r>
      <w:r>
        <w:t>tice</w:t>
      </w:r>
    </w:p>
    <w:p w14:paraId="17E8006C" w14:textId="0EEBB7A2" w:rsidR="0043315C" w:rsidRDefault="004153FF" w:rsidP="00777207">
      <w:pPr>
        <w:pStyle w:val="BodyText"/>
        <w:ind w:left="0"/>
        <w:rPr>
          <w:spacing w:val="3"/>
        </w:rPr>
      </w:pPr>
      <w:r>
        <w:rPr>
          <w:spacing w:val="3"/>
        </w:rPr>
        <w:t>(1/2)</w:t>
      </w:r>
      <w:r w:rsidR="00C44013">
        <w:rPr>
          <w:spacing w:val="3"/>
        </w:rPr>
        <w:t xml:space="preserve"> Table 3 regarding the 36 turbine case omitted the data from </w:t>
      </w:r>
      <w:r w:rsidR="00C44013" w:rsidRPr="00C44013">
        <w:rPr>
          <w:i/>
          <w:spacing w:val="3"/>
        </w:rPr>
        <w:t>sub6</w:t>
      </w:r>
      <w:r w:rsidR="00C44013">
        <w:rPr>
          <w:spacing w:val="3"/>
        </w:rPr>
        <w:t xml:space="preserve"> in the results. For comparative AEP return amongst the other participants </w:t>
      </w:r>
      <w:r w:rsidR="00C44013" w:rsidRPr="00C44013">
        <w:rPr>
          <w:i/>
          <w:spacing w:val="3"/>
        </w:rPr>
        <w:t>sub6</w:t>
      </w:r>
      <w:r w:rsidR="00C44013">
        <w:rPr>
          <w:spacing w:val="3"/>
        </w:rPr>
        <w:t xml:space="preserve"> was ranked number 10, and the full table as it should have appeared is </w:t>
      </w:r>
      <w:r w:rsidR="00EA29DC">
        <w:rPr>
          <w:spacing w:val="3"/>
        </w:rPr>
        <w:t>given</w:t>
      </w:r>
      <w:r w:rsidR="00C44013">
        <w:rPr>
          <w:spacing w:val="3"/>
        </w:rPr>
        <w:t xml:space="preserve"> here:</w:t>
      </w:r>
    </w:p>
    <w:p w14:paraId="2AAABC8B" w14:textId="77777777" w:rsidR="004153FF" w:rsidRDefault="004153FF" w:rsidP="00777207">
      <w:pPr>
        <w:pStyle w:val="BodyText"/>
        <w:ind w:left="0"/>
        <w:rPr>
          <w:spacing w:val="3"/>
        </w:rPr>
      </w:pPr>
    </w:p>
    <w:p w14:paraId="62B808FD" w14:textId="4615327E" w:rsidR="00C44013" w:rsidRDefault="004153FF" w:rsidP="00C44013">
      <w:pPr>
        <w:pStyle w:val="BodyText"/>
        <w:spacing w:before="73"/>
        <w:ind w:left="0" w:right="118"/>
        <w:rPr>
          <w:spacing w:val="3"/>
        </w:rPr>
      </w:pPr>
      <w:r>
        <w:rPr>
          <w:noProof/>
          <w:spacing w:val="3"/>
        </w:rPr>
        <w:drawing>
          <wp:inline distT="0" distB="0" distL="0" distR="0" wp14:anchorId="363EF2CD" wp14:editId="69A8835A">
            <wp:extent cx="6045200" cy="2780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2 at 1.19.5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45200" cy="2780665"/>
                    </a:xfrm>
                    <a:prstGeom prst="rect">
                      <a:avLst/>
                    </a:prstGeom>
                  </pic:spPr>
                </pic:pic>
              </a:graphicData>
            </a:graphic>
          </wp:inline>
        </w:drawing>
      </w:r>
    </w:p>
    <w:p w14:paraId="7F237E0D" w14:textId="77777777" w:rsidR="00C44013" w:rsidRDefault="00C44013" w:rsidP="00C44013">
      <w:pPr>
        <w:pStyle w:val="BodyText"/>
        <w:spacing w:before="73"/>
        <w:ind w:left="0" w:right="118"/>
        <w:rPr>
          <w:spacing w:val="3"/>
        </w:rPr>
      </w:pPr>
    </w:p>
    <w:p w14:paraId="0FA7BE79" w14:textId="03F08391" w:rsidR="00C44013" w:rsidRDefault="00C44013" w:rsidP="00C44013">
      <w:pPr>
        <w:pStyle w:val="BodyText"/>
        <w:spacing w:before="73"/>
        <w:ind w:left="0" w:right="118"/>
        <w:rPr>
          <w:spacing w:val="3"/>
        </w:rPr>
      </w:pPr>
      <w:r>
        <w:rPr>
          <w:spacing w:val="3"/>
        </w:rPr>
        <w:t>(2</w:t>
      </w:r>
      <w:r w:rsidR="004153FF">
        <w:rPr>
          <w:spacing w:val="3"/>
        </w:rPr>
        <w:t>/2</w:t>
      </w:r>
      <w:r>
        <w:rPr>
          <w:spacing w:val="3"/>
        </w:rPr>
        <w:t xml:space="preserve">) Tables </w:t>
      </w:r>
      <w:r w:rsidR="00EA29DC">
        <w:rPr>
          <w:spacing w:val="3"/>
        </w:rPr>
        <w:t>6-10 mislabel</w:t>
      </w:r>
      <w:r>
        <w:rPr>
          <w:spacing w:val="3"/>
        </w:rPr>
        <w:t xml:space="preserve">ed the wake model and algorithms used by </w:t>
      </w:r>
      <w:r w:rsidRPr="00C44013">
        <w:rPr>
          <w:i/>
          <w:spacing w:val="3"/>
        </w:rPr>
        <w:t>sub4</w:t>
      </w:r>
      <w:r>
        <w:rPr>
          <w:spacing w:val="3"/>
        </w:rPr>
        <w:t xml:space="preserve"> and </w:t>
      </w:r>
      <w:r w:rsidRPr="00C44013">
        <w:rPr>
          <w:i/>
          <w:spacing w:val="3"/>
        </w:rPr>
        <w:t>sub5</w:t>
      </w:r>
      <w:r>
        <w:rPr>
          <w:spacing w:val="3"/>
        </w:rPr>
        <w:t xml:space="preserve">. The Bastankhah wake model using the </w:t>
      </w:r>
      <w:r w:rsidR="00EA29DC">
        <w:rPr>
          <w:spacing w:val="3"/>
        </w:rPr>
        <w:t xml:space="preserve">SNOPT+WEC optimization algorithm was used by sub4, the Simplified Bastankhah wake model using the fmincon optimization algorithm was used by </w:t>
      </w:r>
      <w:r w:rsidR="00EA29DC" w:rsidRPr="00EA29DC">
        <w:rPr>
          <w:i/>
          <w:spacing w:val="3"/>
        </w:rPr>
        <w:t>sub5</w:t>
      </w:r>
      <w:r w:rsidR="00EA29DC">
        <w:rPr>
          <w:spacing w:val="3"/>
        </w:rPr>
        <w:t>. The inverse was listed in the tables. Tables 6-10 correctly tied Rank, AEP data, and % Difference to the submission numbers on the same horizontal line, only the wake model and optimization algorithm names were mislabeled. Furthermore all descriptions in the paper’s corresponding paragraphs refer correctly to what wake model and optimization algorithm the two submissions used, the only error was in the table “Wake Model” and “Algorithm” columns. The corrected tables as they should have appeared are given here:</w:t>
      </w:r>
    </w:p>
    <w:p w14:paraId="6825ABBC" w14:textId="3B19B118" w:rsidR="006736B8" w:rsidRDefault="006736B8" w:rsidP="006736B8">
      <w:pPr>
        <w:pStyle w:val="BodyText"/>
        <w:spacing w:before="73"/>
        <w:ind w:left="0" w:right="118"/>
      </w:pPr>
      <w:r>
        <w:rPr>
          <w:noProof/>
        </w:rPr>
        <w:lastRenderedPageBreak/>
        <w:drawing>
          <wp:inline distT="0" distB="0" distL="0" distR="0" wp14:anchorId="63ABAA93" wp14:editId="7B12AC1F">
            <wp:extent cx="6045200" cy="818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2 at 1.20.17 PM.png"/>
                    <pic:cNvPicPr/>
                  </pic:nvPicPr>
                  <pic:blipFill>
                    <a:blip r:embed="rId5">
                      <a:extLst>
                        <a:ext uri="{28A0092B-C50C-407E-A947-70E740481C1C}">
                          <a14:useLocalDpi xmlns:a14="http://schemas.microsoft.com/office/drawing/2010/main" val="0"/>
                        </a:ext>
                      </a:extLst>
                    </a:blip>
                    <a:stretch>
                      <a:fillRect/>
                    </a:stretch>
                  </pic:blipFill>
                  <pic:spPr>
                    <a:xfrm>
                      <a:off x="0" y="0"/>
                      <a:ext cx="6045200" cy="8188325"/>
                    </a:xfrm>
                    <a:prstGeom prst="rect">
                      <a:avLst/>
                    </a:prstGeom>
                  </pic:spPr>
                </pic:pic>
              </a:graphicData>
            </a:graphic>
          </wp:inline>
        </w:drawing>
      </w:r>
    </w:p>
    <w:sectPr w:rsidR="006736B8">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65"/>
    <w:rsid w:val="00011891"/>
    <w:rsid w:val="000A5FEA"/>
    <w:rsid w:val="001010B7"/>
    <w:rsid w:val="001530F7"/>
    <w:rsid w:val="001D37E1"/>
    <w:rsid w:val="0032573C"/>
    <w:rsid w:val="004153FF"/>
    <w:rsid w:val="0043315C"/>
    <w:rsid w:val="0048544B"/>
    <w:rsid w:val="00526670"/>
    <w:rsid w:val="005328EA"/>
    <w:rsid w:val="00574CD8"/>
    <w:rsid w:val="00577A70"/>
    <w:rsid w:val="005D6464"/>
    <w:rsid w:val="00652FE0"/>
    <w:rsid w:val="006672A0"/>
    <w:rsid w:val="006736B8"/>
    <w:rsid w:val="00701E1D"/>
    <w:rsid w:val="00777207"/>
    <w:rsid w:val="007B0658"/>
    <w:rsid w:val="007F1932"/>
    <w:rsid w:val="00827CC3"/>
    <w:rsid w:val="0086232D"/>
    <w:rsid w:val="00A86A22"/>
    <w:rsid w:val="00B44CB8"/>
    <w:rsid w:val="00C44013"/>
    <w:rsid w:val="00CB5FF9"/>
    <w:rsid w:val="00DC0965"/>
    <w:rsid w:val="00EA29DC"/>
    <w:rsid w:val="00F655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2216"/>
  <w15:docId w15:val="{8422B875-1410-4BBA-B826-7E40918A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26670"/>
    <w:rPr>
      <w:color w:val="0000FF" w:themeColor="hyperlink"/>
      <w:u w:val="single"/>
    </w:rPr>
  </w:style>
  <w:style w:type="character" w:styleId="FollowedHyperlink">
    <w:name w:val="FollowedHyperlink"/>
    <w:basedOn w:val="DefaultParagraphFont"/>
    <w:uiPriority w:val="99"/>
    <w:semiHidden/>
    <w:unhideWhenUsed/>
    <w:rsid w:val="005266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241666">
      <w:bodyDiv w:val="1"/>
      <w:marLeft w:val="0"/>
      <w:marRight w:val="0"/>
      <w:marTop w:val="0"/>
      <w:marBottom w:val="0"/>
      <w:divBdr>
        <w:top w:val="none" w:sz="0" w:space="0" w:color="auto"/>
        <w:left w:val="none" w:sz="0" w:space="0" w:color="auto"/>
        <w:bottom w:val="none" w:sz="0" w:space="0" w:color="auto"/>
        <w:right w:val="none" w:sz="0" w:space="0" w:color="auto"/>
      </w:divBdr>
      <w:divsChild>
        <w:div w:id="1667974418">
          <w:marLeft w:val="0"/>
          <w:marRight w:val="0"/>
          <w:marTop w:val="0"/>
          <w:marBottom w:val="0"/>
          <w:divBdr>
            <w:top w:val="none" w:sz="0" w:space="0" w:color="auto"/>
            <w:left w:val="none" w:sz="0" w:space="0" w:color="auto"/>
            <w:bottom w:val="none" w:sz="0" w:space="0" w:color="auto"/>
            <w:right w:val="none" w:sz="0" w:space="0" w:color="auto"/>
          </w:divBdr>
        </w:div>
        <w:div w:id="1581791815">
          <w:marLeft w:val="0"/>
          <w:marRight w:val="0"/>
          <w:marTop w:val="0"/>
          <w:marBottom w:val="0"/>
          <w:divBdr>
            <w:top w:val="none" w:sz="0" w:space="0" w:color="auto"/>
            <w:left w:val="none" w:sz="0" w:space="0" w:color="auto"/>
            <w:bottom w:val="none" w:sz="0" w:space="0" w:color="auto"/>
            <w:right w:val="none" w:sz="0" w:space="0" w:color="auto"/>
          </w:divBdr>
        </w:div>
        <w:div w:id="1419864252">
          <w:marLeft w:val="0"/>
          <w:marRight w:val="0"/>
          <w:marTop w:val="0"/>
          <w:marBottom w:val="0"/>
          <w:divBdr>
            <w:top w:val="none" w:sz="0" w:space="0" w:color="auto"/>
            <w:left w:val="none" w:sz="0" w:space="0" w:color="auto"/>
            <w:bottom w:val="none" w:sz="0" w:space="0" w:color="auto"/>
            <w:right w:val="none" w:sz="0" w:space="0" w:color="auto"/>
          </w:divBdr>
        </w:div>
      </w:divsChild>
    </w:div>
    <w:div w:id="709302114">
      <w:bodyDiv w:val="1"/>
      <w:marLeft w:val="0"/>
      <w:marRight w:val="0"/>
      <w:marTop w:val="0"/>
      <w:marBottom w:val="0"/>
      <w:divBdr>
        <w:top w:val="none" w:sz="0" w:space="0" w:color="auto"/>
        <w:left w:val="none" w:sz="0" w:space="0" w:color="auto"/>
        <w:bottom w:val="none" w:sz="0" w:space="0" w:color="auto"/>
        <w:right w:val="none" w:sz="0" w:space="0" w:color="auto"/>
      </w:divBdr>
      <w:divsChild>
        <w:div w:id="565074074">
          <w:marLeft w:val="0"/>
          <w:marRight w:val="0"/>
          <w:marTop w:val="0"/>
          <w:marBottom w:val="0"/>
          <w:divBdr>
            <w:top w:val="none" w:sz="0" w:space="0" w:color="auto"/>
            <w:left w:val="none" w:sz="0" w:space="0" w:color="auto"/>
            <w:bottom w:val="none" w:sz="0" w:space="0" w:color="auto"/>
            <w:right w:val="none" w:sz="0" w:space="0" w:color="auto"/>
          </w:divBdr>
          <w:divsChild>
            <w:div w:id="13028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1713">
      <w:bodyDiv w:val="1"/>
      <w:marLeft w:val="0"/>
      <w:marRight w:val="0"/>
      <w:marTop w:val="0"/>
      <w:marBottom w:val="0"/>
      <w:divBdr>
        <w:top w:val="none" w:sz="0" w:space="0" w:color="auto"/>
        <w:left w:val="none" w:sz="0" w:space="0" w:color="auto"/>
        <w:bottom w:val="none" w:sz="0" w:space="0" w:color="auto"/>
        <w:right w:val="none" w:sz="0" w:space="0" w:color="auto"/>
      </w:divBdr>
      <w:divsChild>
        <w:div w:id="1028143302">
          <w:marLeft w:val="0"/>
          <w:marRight w:val="0"/>
          <w:marTop w:val="0"/>
          <w:marBottom w:val="0"/>
          <w:divBdr>
            <w:top w:val="none" w:sz="0" w:space="0" w:color="auto"/>
            <w:left w:val="none" w:sz="0" w:space="0" w:color="auto"/>
            <w:bottom w:val="none" w:sz="0" w:space="0" w:color="auto"/>
            <w:right w:val="none" w:sz="0" w:space="0" w:color="auto"/>
          </w:divBdr>
        </w:div>
        <w:div w:id="679236970">
          <w:marLeft w:val="0"/>
          <w:marRight w:val="0"/>
          <w:marTop w:val="0"/>
          <w:marBottom w:val="0"/>
          <w:divBdr>
            <w:top w:val="none" w:sz="0" w:space="0" w:color="auto"/>
            <w:left w:val="none" w:sz="0" w:space="0" w:color="auto"/>
            <w:bottom w:val="none" w:sz="0" w:space="0" w:color="auto"/>
            <w:right w:val="none" w:sz="0" w:space="0" w:color="auto"/>
          </w:divBdr>
        </w:div>
        <w:div w:id="1793816914">
          <w:marLeft w:val="0"/>
          <w:marRight w:val="0"/>
          <w:marTop w:val="0"/>
          <w:marBottom w:val="0"/>
          <w:divBdr>
            <w:top w:val="none" w:sz="0" w:space="0" w:color="auto"/>
            <w:left w:val="none" w:sz="0" w:space="0" w:color="auto"/>
            <w:bottom w:val="none" w:sz="0" w:space="0" w:color="auto"/>
            <w:right w:val="none" w:sz="0" w:space="0" w:color="auto"/>
          </w:divBdr>
        </w:div>
        <w:div w:id="1525630622">
          <w:marLeft w:val="0"/>
          <w:marRight w:val="0"/>
          <w:marTop w:val="0"/>
          <w:marBottom w:val="0"/>
          <w:divBdr>
            <w:top w:val="none" w:sz="0" w:space="0" w:color="auto"/>
            <w:left w:val="none" w:sz="0" w:space="0" w:color="auto"/>
            <w:bottom w:val="none" w:sz="0" w:space="0" w:color="auto"/>
            <w:right w:val="none" w:sz="0" w:space="0" w:color="auto"/>
          </w:divBdr>
        </w:div>
      </w:divsChild>
    </w:div>
    <w:div w:id="1355962423">
      <w:bodyDiv w:val="1"/>
      <w:marLeft w:val="0"/>
      <w:marRight w:val="0"/>
      <w:marTop w:val="0"/>
      <w:marBottom w:val="0"/>
      <w:divBdr>
        <w:top w:val="none" w:sz="0" w:space="0" w:color="auto"/>
        <w:left w:val="none" w:sz="0" w:space="0" w:color="auto"/>
        <w:bottom w:val="none" w:sz="0" w:space="0" w:color="auto"/>
        <w:right w:val="none" w:sz="0" w:space="0" w:color="auto"/>
      </w:divBdr>
      <w:divsChild>
        <w:div w:id="1082411596">
          <w:marLeft w:val="0"/>
          <w:marRight w:val="0"/>
          <w:marTop w:val="0"/>
          <w:marBottom w:val="0"/>
          <w:divBdr>
            <w:top w:val="none" w:sz="0" w:space="0" w:color="auto"/>
            <w:left w:val="none" w:sz="0" w:space="0" w:color="auto"/>
            <w:bottom w:val="none" w:sz="0" w:space="0" w:color="auto"/>
            <w:right w:val="none" w:sz="0" w:space="0" w:color="auto"/>
          </w:divBdr>
          <w:divsChild>
            <w:div w:id="916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255">
      <w:bodyDiv w:val="1"/>
      <w:marLeft w:val="0"/>
      <w:marRight w:val="0"/>
      <w:marTop w:val="0"/>
      <w:marBottom w:val="0"/>
      <w:divBdr>
        <w:top w:val="none" w:sz="0" w:space="0" w:color="auto"/>
        <w:left w:val="none" w:sz="0" w:space="0" w:color="auto"/>
        <w:bottom w:val="none" w:sz="0" w:space="0" w:color="auto"/>
        <w:right w:val="none" w:sz="0" w:space="0" w:color="auto"/>
      </w:divBdr>
    </w:div>
    <w:div w:id="1698776145">
      <w:bodyDiv w:val="1"/>
      <w:marLeft w:val="0"/>
      <w:marRight w:val="0"/>
      <w:marTop w:val="0"/>
      <w:marBottom w:val="0"/>
      <w:divBdr>
        <w:top w:val="none" w:sz="0" w:space="0" w:color="auto"/>
        <w:left w:val="none" w:sz="0" w:space="0" w:color="auto"/>
        <w:bottom w:val="none" w:sz="0" w:space="0" w:color="auto"/>
        <w:right w:val="none" w:sz="0" w:space="0" w:color="auto"/>
      </w:divBdr>
      <w:divsChild>
        <w:div w:id="1420448020">
          <w:marLeft w:val="0"/>
          <w:marRight w:val="0"/>
          <w:marTop w:val="0"/>
          <w:marBottom w:val="0"/>
          <w:divBdr>
            <w:top w:val="none" w:sz="0" w:space="0" w:color="auto"/>
            <w:left w:val="none" w:sz="0" w:space="0" w:color="auto"/>
            <w:bottom w:val="none" w:sz="0" w:space="0" w:color="auto"/>
            <w:right w:val="none" w:sz="0" w:space="0" w:color="auto"/>
          </w:divBdr>
        </w:div>
        <w:div w:id="17596721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1152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Loayza</dc:creator>
  <cp:lastModifiedBy>Nick Baker</cp:lastModifiedBy>
  <cp:revision>4</cp:revision>
  <dcterms:created xsi:type="dcterms:W3CDTF">2019-01-22T20:23:00Z</dcterms:created>
  <dcterms:modified xsi:type="dcterms:W3CDTF">2019-01-22T21:31:00Z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2017-01-18T00:00:00Z</vt:filetime>
  </property>
  <property fmtid="{D5CDD505-2E9C-101B-9397-08002B2CF9AE}" pid="3" name="LastSaved">
    <vt:filetime>2017-03-30T00:00:00Z</vt:filetime>
  </property>
</Properties>
</file>