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2026-10-18</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978-3-88375-396-6</w:t>
        </w:r>
      </w:hyperlink>
      <w:r>
        <w:t xml:space="preserve">.</w:t>
      </w:r>
    </w:p>
    <w:bookmarkEnd w:id="12"/>
    <w:bookmarkStart w:id="18" w:name="introduction"/>
    <w:p>
      <w:pPr>
        <w:pStyle w:val="Heading1"/>
      </w:pPr>
      <w:r>
        <w:t xml:space="preserve">Introduction</w:t>
      </w:r>
    </w:p>
    <w:p>
      <w:pPr>
        <w:pStyle w:val="FirstParagraph"/>
      </w:pPr>
      <w:r>
        <w:t xml:space="preserve">See the</w:t>
      </w:r>
      <w:r>
        <w:t xml:space="preserve"> </w:t>
      </w:r>
      <w:hyperlink r:id="rId13">
        <w:r>
          <w:rPr>
            <w:rStyle w:val="Hyperlink"/>
          </w:rPr>
          <w:t xml:space="preserve">Curator’s Guide</w:t>
        </w:r>
      </w:hyperlink>
      <w:r>
        <w:t xml:space="preserve"> </w:t>
      </w:r>
      <w:r>
        <w:t xml:space="preserve">for more information on how to document exhibitions.</w:t>
      </w:r>
    </w:p>
    <w:bookmarkStart w:id="17" w:name="workflows"/>
    <w:p>
      <w:pPr>
        <w:pStyle w:val="Heading2"/>
      </w:pPr>
      <w:r>
        <w:t xml:space="preserve">Workflows</w:t>
      </w:r>
    </w:p>
    <w:p>
      <w:pPr>
        <w:pStyle w:val="FirstParagraph"/>
      </w:pPr>
      <w:r>
        <w:t xml:space="preserve">Workflows can be from active curating project or retrospective documentation of past exhibitions.</w:t>
      </w:r>
    </w:p>
    <w:bookmarkStart w:id="14" w:name="active-projects-workflow"/>
    <w:p>
      <w:pPr>
        <w:pStyle w:val="Heading3"/>
      </w:pPr>
      <w:r>
        <w:t xml:space="preserve">Active projects workflow</w:t>
      </w:r>
    </w:p>
    <w:p>
      <w:pPr>
        <w:pStyle w:val="FirstParagraph"/>
      </w:pPr>
      <w:r>
        <w:t xml:space="preserve">Enter data manually into Wikidata, see: Curators’ Guide</w:t>
      </w:r>
    </w:p>
    <w:bookmarkEnd w:id="14"/>
    <w:bookmarkStart w:id="16" w:name="retrospective-workflow"/>
    <w:p>
      <w:pPr>
        <w:pStyle w:val="Heading3"/>
      </w:pPr>
      <w:r>
        <w:t xml:space="preserve">Retrospective workflow</w:t>
      </w:r>
    </w:p>
    <w:bookmarkStart w:id="15" w:name="ocr-workflow"/>
    <w:p>
      <w:pPr>
        <w:pStyle w:val="Heading4"/>
      </w:pPr>
      <w:r>
        <w:t xml:space="preserve">OCR Workflow</w:t>
      </w:r>
    </w:p>
    <w:p>
      <w:pPr>
        <w:pStyle w:val="SourceCode"/>
      </w:pPr>
      <w:r>
        <w:rPr>
          <w:rStyle w:val="VerbatimChar"/>
        </w:rPr>
        <w:t xml:space="preserve">Book &gt; OCR &gt; Dataset &gt; Wikidata &gt; Publication &gt; Deposit (Mint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5"/>
    <w:bookmarkEnd w:id="16"/>
    <w:bookmarkEnd w:id="17"/>
    <w:bookmarkEnd w:id="18"/>
    <w:bookmarkStart w:id="27" w:name="example-notebooks"/>
    <w:p>
      <w:pPr>
        <w:pStyle w:val="Heading1"/>
      </w:pPr>
      <w:r>
        <w:t xml:space="preserve">Example Notebooks</w:t>
      </w:r>
    </w:p>
    <w:p>
      <w:pPr>
        <w:pStyle w:val="FirstParagraph"/>
      </w:pPr>
      <w:r>
        <w:t xml:space="preserve">The computational publishing notebook set:</w:t>
      </w:r>
    </w:p>
    <w:p>
      <w:pPr>
        <w:pStyle w:val="Compact"/>
        <w:numPr>
          <w:ilvl w:val="0"/>
          <w:numId w:val="1001"/>
        </w:numPr>
      </w:pPr>
      <w:hyperlink r:id="rId19">
        <w:r>
          <w:rPr>
            <w:rStyle w:val="Hyperlink"/>
          </w:rPr>
          <w:t xml:space="preserve">Catalogue OCR</w:t>
        </w:r>
      </w:hyperlink>
    </w:p>
    <w:p>
      <w:pPr>
        <w:pStyle w:val="Compact"/>
        <w:numPr>
          <w:ilvl w:val="0"/>
          <w:numId w:val="1001"/>
        </w:numPr>
      </w:pPr>
      <w:hyperlink r:id="rId20">
        <w:r>
          <w:rPr>
            <w:rStyle w:val="Hyperlink"/>
          </w:rPr>
          <w:t xml:space="preserve">Exhibition data</w:t>
        </w:r>
      </w:hyperlink>
    </w:p>
    <w:p>
      <w:pPr>
        <w:pStyle w:val="Compact"/>
        <w:numPr>
          <w:ilvl w:val="0"/>
          <w:numId w:val="1001"/>
        </w:numPr>
      </w:pPr>
      <w:hyperlink r:id="rId21">
        <w:r>
          <w:rPr>
            <w:rStyle w:val="Hyperlink"/>
          </w:rPr>
          <w:t xml:space="preserve">Artwork data</w:t>
        </w:r>
      </w:hyperlink>
    </w:p>
    <w:p>
      <w:pPr>
        <w:pStyle w:val="Compact"/>
        <w:numPr>
          <w:ilvl w:val="0"/>
          <w:numId w:val="1001"/>
        </w:numPr>
      </w:pPr>
      <w:hyperlink r:id="rId22">
        <w:r>
          <w:rPr>
            <w:rStyle w:val="Hyperlink"/>
          </w:rPr>
          <w:t xml:space="preserve">Catalogue generation</w:t>
        </w:r>
      </w:hyperlink>
    </w:p>
    <w:bookmarkStart w:id="26"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3">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4">
        <w:r>
          <w:rPr>
            <w:rStyle w:val="Hyperlink"/>
          </w:rPr>
          <w:t xml:space="preserve">BIM-126-02 Data Science</w:t>
        </w:r>
      </w:hyperlink>
      <w:r>
        <w:t xml:space="preserve"> </w:t>
      </w:r>
      <w:r>
        <w:t xml:space="preserve">(SoSe 2026). See Wikiversity link for teaching materials.</w:t>
      </w:r>
      <w:r>
        <w:t xml:space="preserve"> </w:t>
      </w:r>
      <w:hyperlink r:id="rId25">
        <w:r>
          <w:rPr>
            <w:rStyle w:val="Hyperlink"/>
          </w:rPr>
          <w:t xml:space="preserve">https://en.wikiversity.org/wiki/BIM-126-02-Data-Science-Linked-Open-Exhibition</w:t>
        </w:r>
      </w:hyperlink>
      <w:r>
        <w:t xml:space="preserve"> </w:t>
      </w:r>
      <w:r>
        <w:t xml:space="preserve">(EN/DE).</w:t>
      </w:r>
    </w:p>
    <w:bookmarkEnd w:id="26"/>
    <w:bookmarkEnd w:id="27"/>
    <w:bookmarkStart w:id="28"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8"/>
    <w:bookmarkStart w:id="29"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9"/>
    <w:bookmarkStart w:id="33"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r>
        <w:t xml:space="preserve"> </w:t>
      </w:r>
      <w:r>
        <w:t xml:space="preserve">(UNESCO 2021)</w:t>
      </w:r>
      <w:r>
        <w:t xml:space="preserve">.</w:t>
      </w:r>
    </w:p>
    <w:p>
      <w:pPr>
        <w:pStyle w:val="BodyText"/>
      </w:pPr>
      <w:r>
        <w:rPr>
          <w:b/>
          <w:bCs/>
        </w:rPr>
        <w:t xml:space="preserve">Source catalogue.</w:t>
      </w:r>
      <w:r>
        <w:t xml:space="preserve"> </w:t>
      </w:r>
      <w:r>
        <w:t xml:space="preserve">The exhibition data is extracted from the printed catalogue</w:t>
      </w:r>
      <w:r>
        <w:t xml:space="preserve"> </w:t>
      </w:r>
      <w:r>
        <w:rPr>
          <w:i/>
          <w:iCs/>
        </w:rPr>
        <w:t xml:space="preserve">Baldessari: while something is happening here, something else is happening there: works 1988–1999</w:t>
      </w:r>
      <w:r>
        <w:t xml:space="preserve"> </w:t>
      </w:r>
      <w:r>
        <w:t xml:space="preserve">(Köln: Verlag der Buchhandlung Walther König, 1999), ISBN</w:t>
      </w:r>
      <w:r>
        <w:t xml:space="preserve"> </w:t>
      </w:r>
      <w:hyperlink r:id="rId11">
        <w:r>
          <w:rPr>
            <w:rStyle w:val="Hyperlink"/>
          </w:rPr>
          <w:t xml:space="preserve">978-3-88375-396-6</w:t>
        </w:r>
      </w:hyperlink>
      <w:r>
        <w:t xml:space="preserve">, DNB record</w:t>
      </w:r>
      <w:r>
        <w:t xml:space="preserve"> </w:t>
      </w:r>
      <w:hyperlink r:id="rId10">
        <w:r>
          <w:rPr>
            <w:rStyle w:val="Hyperlink"/>
          </w:rPr>
          <w:t xml:space="preserve">https://d-nb.info/957409494</w:t>
        </w:r>
      </w:hyperlink>
      <w:r>
        <w:t xml:space="preserve">. Texts by Meg Cranston, Diedrich Diederichsen and Thomas Weski; published for the exhibition at the Sprengel Museum Hannover (26 September 1999 – 2 January 2000) and the Staatliche Kunstsammlungen Dresden, Gemäldegalerie Neue Meister (16 January – 2 April 2000). The catalogue, including its texts, photographs and reproductions of the artworks, remains protected by copyright held by the publisher, authors, artist and other rights holders. It is not republished here: only factual catalogue data (such as titles, dates, materials, dimensions and catalogue numbers) is extracted and released in the dataset, and no catalogue texts or images are reproduced. The bibliographic record is provided by the Deutsche Nationalbibliothek under</w:t>
      </w:r>
      <w:r>
        <w:t xml:space="preserve"> </w:t>
      </w:r>
      <w:hyperlink r:id="rId30">
        <w:r>
          <w:rPr>
            <w:rStyle w:val="Hyperlink"/>
          </w:rPr>
          <w:t xml:space="preserve">CC0 1.0</w:t>
        </w:r>
      </w:hyperlink>
      <w:r>
        <w:t xml:space="preserve">.</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31">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30">
        <w:r>
          <w:rPr>
            <w:rStyle w:val="Hyperlink"/>
          </w:rPr>
          <w:t xml:space="preserve">CC0 1.0 Universal</w:t>
        </w:r>
      </w:hyperlink>
      <w:r>
        <w:t xml:space="preserve"> </w:t>
      </w:r>
      <w:r>
        <w:t xml:space="preserve">and the repository copy is retained in</w:t>
      </w:r>
      <w:r>
        <w:t xml:space="preserve"> </w:t>
      </w:r>
      <w:hyperlink r:id="rId32">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3"/>
    <w:bookmarkStart w:id="35" w:name="ai-llm-use"/>
    <w:p>
      <w:pPr>
        <w:pStyle w:val="Heading1"/>
      </w:pPr>
      <w:r>
        <w:t xml:space="preserve">AI LLM use</w:t>
      </w:r>
    </w:p>
    <w:p>
      <w:pPr>
        <w:pStyle w:val="FirstParagraph"/>
      </w:pPr>
      <w:r>
        <w:t xml:space="preserve">This project may have utilized AI language models (LLMs) for tasks such as text generation, summarization, or data extraction. Any use of AI LLMs is supplementary and does not replace human authorship or verification of the content.</w:t>
      </w:r>
    </w:p>
    <w:p>
      <w:pPr>
        <w:pStyle w:val="BodyText"/>
      </w:pPr>
      <w:r>
        <w:t xml:space="preserve">GitHub Copilot in Visual Studio Code, using Anthropic Claude models (Claude Haiku 4.5 and Claude Sonnet 5.5), assisted with the data model documentation, Quarto and Python configuration, notebook set-up and drafting of text. The OCR notebook (</w:t>
      </w:r>
      <w:hyperlink r:id="rId19">
        <w:r>
          <w:rPr>
            <w:rStyle w:val="Hyperlink"/>
          </w:rPr>
          <w:t xml:space="preserve">03-catalogue-ocr</w:t>
        </w:r>
      </w:hyperlink>
      <w:r>
        <w:t xml:space="preserve">) is based on AI LLM use for text extraction. All outputs were reviewed by the authors. See the</w:t>
      </w:r>
      <w:r>
        <w:t xml:space="preserve"> </w:t>
      </w:r>
      <w:hyperlink r:id="rId34">
        <w:r>
          <w:rPr>
            <w:rStyle w:val="Hyperlink"/>
          </w:rPr>
          <w:t xml:space="preserve">TIB AI policy</w:t>
        </w:r>
      </w:hyperlink>
      <w:r>
        <w:t xml:space="preserve">.</w:t>
      </w:r>
    </w:p>
    <w:p>
      <w:pPr>
        <w:pStyle w:val="BodyText"/>
      </w:pPr>
      <w:r>
        <w:t xml:space="preserve">The project is aiming to move to open-source and open weight LLM models.</w:t>
      </w:r>
    </w:p>
    <w:bookmarkEnd w:id="35"/>
    <w:bookmarkStart w:id="40" w:name="acknowledgements"/>
    <w:p>
      <w:pPr>
        <w:pStyle w:val="Heading1"/>
      </w:pPr>
      <w:r>
        <w:t xml:space="preserve">Acknowledgements</w:t>
      </w:r>
    </w:p>
    <w:p>
      <w:pPr>
        <w:pStyle w:val="FirstParagraph"/>
      </w:pPr>
      <w:hyperlink r:id="rId23">
        <w:r>
          <w:rPr>
            <w:rStyle w:val="Hyperlink"/>
          </w:rPr>
          <w:t xml:space="preserve">Linked Open Exhibitions</w:t>
        </w:r>
      </w:hyperlink>
    </w:p>
    <w:p>
      <w:pPr>
        <w:pStyle w:val="BodyText"/>
      </w:pPr>
      <w:r>
        <w:t xml:space="preserve">A project made with the students of the Bachelor of Arts</w:t>
      </w:r>
      <w:r>
        <w:t xml:space="preserve"> </w:t>
      </w:r>
      <w:hyperlink r:id="rId36">
        <w:r>
          <w:rPr>
            <w:rStyle w:val="Hyperlink"/>
          </w:rPr>
          <w:t xml:space="preserve">Information Management (BIM)</w:t>
        </w:r>
      </w:hyperlink>
      <w:r>
        <w:t xml:space="preserve"> </w:t>
      </w:r>
      <w:r>
        <w:t xml:space="preserve">of Hannover University of the Applied Science and Arts in partnership with</w:t>
      </w:r>
      <w:r>
        <w:t xml:space="preserve"> </w:t>
      </w:r>
      <w:hyperlink r:id="rId37">
        <w:r>
          <w:rPr>
            <w:rStyle w:val="Hyperlink"/>
          </w:rPr>
          <w:t xml:space="preserve">Computational Publishing Service</w:t>
        </w:r>
      </w:hyperlink>
      <w:r>
        <w:t xml:space="preserve"> </w:t>
      </w:r>
      <w:r>
        <w:t xml:space="preserve">from the Open Science Lab,</w:t>
      </w:r>
      <w:r>
        <w:t xml:space="preserve"> </w:t>
      </w:r>
      <w:hyperlink r:id="rId38">
        <w:r>
          <w:rPr>
            <w:rStyle w:val="Hyperlink"/>
          </w:rPr>
          <w:t xml:space="preserve">TIB</w:t>
        </w:r>
      </w:hyperlink>
      <w:r>
        <w:t xml:space="preserve"> </w:t>
      </w:r>
      <w:r>
        <w:t xml:space="preserve">– Leibniz Information Centre for Science and Technology and University Library, and with</w:t>
      </w:r>
      <w:r>
        <w:t xml:space="preserve"> </w:t>
      </w:r>
      <w:hyperlink r:id="rId39">
        <w:r>
          <w:rPr>
            <w:rStyle w:val="Hyperlink"/>
          </w:rPr>
          <w:t xml:space="preserve">NFDI4Culture</w:t>
        </w:r>
      </w:hyperlink>
      <w:r>
        <w:t xml:space="preserve"> </w:t>
      </w:r>
      <w:r>
        <w:t xml:space="preserve">– Consortium for Research Data on Material and Immaterial Cultural Heritage, as part of National Research Data Infrastructure (NFDI)</w:t>
      </w:r>
    </w:p>
    <w:p>
      <w:pPr>
        <w:pStyle w:val="BodyText"/>
      </w:pPr>
      <w:r>
        <w:t xml:space="preserve"> </w:t>
      </w:r>
      <w:r>
        <w:t xml:space="preserve"> </w:t>
      </w:r>
    </w:p>
    <w:bookmarkEnd w:id="40"/>
    <w:bookmarkStart w:id="47" w:name="references"/>
    <w:p>
      <w:pPr>
        <w:pStyle w:val="Heading1"/>
      </w:pPr>
      <w:r>
        <w:t xml:space="preserve">References</w:t>
      </w:r>
    </w:p>
    <w:p>
      <w:pPr>
        <w:pStyle w:val="FirstParagraph"/>
      </w:pPr>
      <w:r>
        <w:t xml:space="preserve">For the project bibliography, see</w:t>
      </w:r>
      <w:r>
        <w:t xml:space="preserve"> </w:t>
      </w:r>
      <w:hyperlink r:id="rId41">
        <w:r>
          <w:rPr>
            <w:rStyle w:val="Hyperlink"/>
          </w:rPr>
          <w:t xml:space="preserve">References</w:t>
        </w:r>
      </w:hyperlink>
      <w:r>
        <w:t xml:space="preserve">.</w:t>
      </w:r>
    </w:p>
    <w:bookmarkStart w:id="46" w:name="refs"/>
    <w:bookmarkStart w:id="43" w:name="ref-unesco2021openscience"/>
    <w:p>
      <w:pPr>
        <w:pStyle w:val="Bibliography"/>
      </w:pPr>
      <w:r>
        <w:t xml:space="preserve">UNESCO. 2021.</w:t>
      </w:r>
      <w:r>
        <w:t xml:space="preserve"> </w:t>
      </w:r>
      <w:r>
        <w:rPr>
          <w:i/>
          <w:iCs/>
        </w:rPr>
        <w:t xml:space="preserve">UNESCO Recommendation on Open Science</w:t>
      </w:r>
      <w:r>
        <w:t xml:space="preserve">. UNESCO.</w:t>
      </w:r>
      <w:r>
        <w:t xml:space="preserve"> </w:t>
      </w:r>
      <w:hyperlink r:id="rId42">
        <w:r>
          <w:rPr>
            <w:rStyle w:val="Hyperlink"/>
          </w:rPr>
          <w:t xml:space="preserve">https://doi.org/10.54677/MNMH8546</w:t>
        </w:r>
      </w:hyperlink>
      <w:r>
        <w:t xml:space="preserve">.</w:t>
      </w:r>
    </w:p>
    <w:bookmarkEnd w:id="43"/>
    <w:bookmarkStart w:id="4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r>
        <w:t xml:space="preserve"> </w:t>
      </w:r>
      <w:hyperlink r:id="rId44">
        <w:r>
          <w:rPr>
            <w:rStyle w:val="Hyperlink"/>
          </w:rPr>
          <w:t xml:space="preserve">https://doi.org/10.1038/sdata.2016.18</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20" Target="notebooks/01-exhibition.ipynb" TargetMode="External" /><Relationship Type="http://schemas.openxmlformats.org/officeDocument/2006/relationships/hyperlink" Id="rId21" Target="notebooks/02-artworks.ipynb" TargetMode="External" /><Relationship Type="http://schemas.openxmlformats.org/officeDocument/2006/relationships/hyperlink" Id="rId19" Target="notebooks/03-catalogue-ocr.ipynb" TargetMode="External" /><Relationship Type="http://schemas.openxmlformats.org/officeDocument/2006/relationships/hyperlink" Id="rId4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20" Target="notebooks/01-exhibition.ipynb" TargetMode="External" /><Relationship Type="http://schemas.openxmlformats.org/officeDocument/2006/relationships/hyperlink" Id="rId21" Target="notebooks/02-artworks.ipynb" TargetMode="External" /><Relationship Type="http://schemas.openxmlformats.org/officeDocument/2006/relationships/hyperlink" Id="rId19" Target="notebooks/03-catalogue-ocr.ipynb" TargetMode="External" /><Relationship Type="http://schemas.openxmlformats.org/officeDocument/2006/relationships/hyperlink" Id="rId4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2026-10-18T16:17:12Z</dcterms:created>
  <dcterms:modified xsi:type="dcterms:W3CDTF">2026-10-18T16:17:12Z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2026-10-18</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