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John Baldessari — Exhibition Catalogue</w:t>
      </w:r>
    </w:p>
    <w:p>
      <w:pPr>
        <w:pStyle w:val="Author"/>
      </w:pPr>
      <w:r>
        <w:t xml:space="preserve">Simon Worthington</w:t>
      </w:r>
    </w:p>
    <w:p>
      <w:pPr>
        <w:pStyle w:val="Author"/>
      </w:pPr>
      <w:r>
        <w:t xml:space="preserve">Chloë Farr</w:t>
      </w:r>
    </w:p>
    <w:p>
      <w:pPr>
        <w:pStyle w:val="Date"/>
      </w:pPr>
      <w:r>
        <w:t xml:space="preserve">2026-10-17</w:t>
      </w:r>
    </w:p>
    <w:p>
      <w:pPr>
        <w:pStyle w:val="AbstractTitle"/>
      </w:pPr>
      <w:r>
        <w:t xml:space="preserve">Abstract</w:t>
      </w:r>
    </w:p>
    <w:p>
      <w:pPr>
        <w:pStyle w:val="Abstract"/>
      </w:pPr>
      <w:r>
        <w:t xml:space="preserve">Catalogue of works by the artists John Baldessari shown in an art exhibition at the Sprengel Museum Hannover 26.9.1999 - 2.1.2000. Sourced from OCR-processed exhibition catalogue held by HsH Library. DNB record https://d-nb.info/957409494 | ISBN 3-88375-396-3.</w:t>
      </w:r>
    </w:p>
    <w:bookmarkStart w:id="10" w:name="the-original-exhibition"/>
    <w:p>
      <w:pPr>
        <w:pStyle w:val="Heading1"/>
      </w:pPr>
      <w:r>
        <w:t xml:space="preserve">The original exhibition</w:t>
      </w:r>
    </w:p>
    <w:p>
      <w:pPr>
        <w:pStyle w:val="FirstParagraph"/>
      </w:pPr>
      <w:r>
        <w:t xml:space="preserve">Exhibition information (DNB publication record) is included for reference. https://d-nb.info/957409494</w:t>
      </w:r>
    </w:p>
    <w:p>
      <w:pPr>
        <w:pStyle w:val="BodyText"/>
      </w:pPr>
      <w:r>
        <w:t xml:space="preserve">Exhibition title:</w:t>
      </w:r>
      <w:r>
        <w:t xml:space="preserve"> </w:t>
      </w:r>
      <w:r>
        <w:t xml:space="preserve">‘while something is happening here, something else is happening there ; works 1988 - 1999’</w:t>
      </w:r>
      <w:r>
        <w:t xml:space="preserve"> </w:t>
      </w:r>
      <w:r>
        <w:t xml:space="preserve">; Spectrum - Internationaler Preis für Fotografie der Stiftung Niedersachsen ; [Sprengel-Museum Hannover, 26.9.1999 - 2.1.2000 und Staatliche Kunstsammlungen Dresden, Gemäldegalerie Neue Meister, 15.1. - 2.4.2000].</w:t>
      </w:r>
    </w:p>
    <w:bookmarkStart w:id="9" w:name="the-prototype"/>
    <w:p>
      <w:pPr>
        <w:pStyle w:val="Heading2"/>
      </w:pPr>
      <w:r>
        <w:t xml:space="preserve">The prototype</w:t>
      </w:r>
    </w:p>
    <w:p>
      <w:pPr>
        <w:pStyle w:val="FirstParagraph"/>
      </w:pPr>
      <w:r>
        <w:t xml:space="preserve">The OCR is a R&amp;D LLM processed experiment by Chloë Farr in cooperation with Computational Publishing Service NFDI4Culture @ TIB Open Science Lab with HsH.</w:t>
      </w:r>
    </w:p>
    <w:p>
      <w:pPr>
        <w:pStyle w:val="BodyText"/>
      </w:pPr>
      <w:r>
        <w:t xml:space="preserve">This prototype made by Simon Worthington as part of the Linked Open Exhibition an experimental prototype pipeline for publishing art exhibition data as Linked Open Data (LOD). It was created with students of the Bachelor of Arts Information Management at Hochschule Hannover in the course BIM-126-02 Data Science (SoSe 2026).</w:t>
      </w:r>
    </w:p>
    <w:bookmarkEnd w:id="9"/>
    <w:bookmarkEnd w:id="10"/>
    <w:bookmarkStart w:id="11" w:name="introduction"/>
    <w:p>
      <w:pPr>
        <w:pStyle w:val="Heading1"/>
      </w:pPr>
      <w:r>
        <w:t xml:space="preserve">Introduction</w:t>
      </w:r>
    </w:p>
    <w:p>
      <w:pPr>
        <w:pStyle w:val="FirstParagraph"/>
      </w:pPr>
      <w:r>
        <w:t xml:space="preserve">This project is configured for:</w:t>
      </w:r>
    </w:p>
    <w:p>
      <w:pPr>
        <w:pStyle w:val="Compact"/>
        <w:numPr>
          <w:ilvl w:val="0"/>
          <w:numId w:val="1001"/>
        </w:numPr>
      </w:pPr>
      <w:r>
        <w:t xml:space="preserve">Quarto manuscript authoring with</w:t>
      </w:r>
      <w:r>
        <w:t xml:space="preserve"> </w:t>
      </w:r>
      <w:r>
        <w:rPr>
          <w:rStyle w:val="VerbatimChar"/>
        </w:rPr>
        <w:t xml:space="preserve">.qmd</w:t>
      </w:r>
      <w:r>
        <w:t xml:space="preserve"> </w:t>
      </w:r>
      <w:r>
        <w:t xml:space="preserve">files.</w:t>
      </w:r>
    </w:p>
    <w:p>
      <w:pPr>
        <w:pStyle w:val="Compact"/>
        <w:numPr>
          <w:ilvl w:val="0"/>
          <w:numId w:val="1001"/>
        </w:numPr>
      </w:pPr>
      <w:r>
        <w:t xml:space="preserve">Jupyter notebooks included as project computations.</w:t>
      </w:r>
    </w:p>
    <w:p>
      <w:pPr>
        <w:pStyle w:val="Compact"/>
        <w:numPr>
          <w:ilvl w:val="0"/>
          <w:numId w:val="1001"/>
        </w:numPr>
      </w:pPr>
      <w:r>
        <w:t xml:space="preserve">Publishing to GitHub Pages.</w:t>
      </w:r>
    </w:p>
    <w:p>
      <w:pPr>
        <w:pStyle w:val="Compact"/>
        <w:numPr>
          <w:ilvl w:val="0"/>
          <w:numId w:val="1001"/>
        </w:numPr>
      </w:pPr>
      <w:r>
        <w:t xml:space="preserve">Reproducible notebook execution on MyBinder.</w:t>
      </w:r>
    </w:p>
    <w:bookmarkEnd w:id="11"/>
    <w:bookmarkStart w:id="14" w:name="example-figure"/>
    <w:p>
      <w:pPr>
        <w:pStyle w:val="Heading1"/>
      </w:pPr>
      <w:r>
        <w:t xml:space="preserve">Example Figure</w:t>
      </w:r>
    </w:p>
    <w:p>
      <w:pPr>
        <w:pStyle w:val="FirstParagraph"/>
      </w:pPr>
      <w:r>
        <w:t xml:space="preserve">The computational workflow is documented in the notebook set:</w:t>
      </w:r>
    </w:p>
    <w:p>
      <w:pPr>
        <w:pStyle w:val="Compact"/>
        <w:numPr>
          <w:ilvl w:val="0"/>
          <w:numId w:val="1002"/>
        </w:numPr>
      </w:pPr>
      <w:hyperlink r:id="rId12">
        <w:r>
          <w:rPr>
            <w:rStyle w:val="Hyperlink"/>
          </w:rPr>
          <w:t xml:space="preserve">Exhibition Data</w:t>
        </w:r>
      </w:hyperlink>
    </w:p>
    <w:p>
      <w:pPr>
        <w:pStyle w:val="Compact"/>
        <w:numPr>
          <w:ilvl w:val="0"/>
          <w:numId w:val="1002"/>
        </w:numPr>
      </w:pPr>
      <w:hyperlink r:id="rId13">
        <w:r>
          <w:rPr>
            <w:rStyle w:val="Hyperlink"/>
          </w:rPr>
          <w:t xml:space="preserve">Artworks</w:t>
        </w:r>
      </w:hyperlink>
    </w:p>
    <w:p>
      <w:pPr>
        <w:pStyle w:val="FirstParagraph"/>
      </w:pPr>
      <w:r>
        <w:t xml:space="preserve">These notebooks are discoverable from the manuscript website and can be</w:t>
      </w:r>
      <w:r>
        <w:t xml:space="preserve"> </w:t>
      </w:r>
      <w:r>
        <w:t xml:space="preserve">downloaded by readers.</w:t>
      </w:r>
    </w:p>
    <w:bookmarkEnd w:id="14"/>
    <w:bookmarkStart w:id="15" w:name="data-stewardship"/>
    <w:p>
      <w:pPr>
        <w:pStyle w:val="Heading1"/>
      </w:pPr>
      <w:r>
        <w:t xml:space="preserve">Data Stewardship</w:t>
      </w:r>
    </w:p>
    <w:p>
      <w:pPr>
        <w:pStyle w:val="FirstParagraph"/>
      </w:pPr>
      <w:r>
        <w:t xml:space="preserve">This starter project follows reproducibility-oriented practices aligned with FAIR</w:t>
      </w:r>
      <w:r>
        <w:t xml:space="preserve"> </w:t>
      </w:r>
      <w:r>
        <w:t xml:space="preserve">principles</w:t>
      </w:r>
      <w:r>
        <w:t xml:space="preserve"> </w:t>
      </w:r>
      <w:r>
        <w:t xml:space="preserve">(</w:t>
      </w:r>
      <w:r>
        <w:t xml:space="preserve">Wilkinson et al.</w:t>
      </w:r>
      <w:r>
        <w:t xml:space="preserve"> </w:t>
      </w:r>
      <w:r>
        <w:t xml:space="preserve">2016)</w:t>
      </w:r>
      <w:r>
        <w:t xml:space="preserve">.</w:t>
      </w:r>
    </w:p>
    <w:bookmarkEnd w:id="15"/>
    <w:bookmarkStart w:id="16" w:name="reproducibility-notes"/>
    <w:p>
      <w:pPr>
        <w:pStyle w:val="Heading1"/>
      </w:pPr>
      <w:r>
        <w:t xml:space="preserve">Reproducibility Notes</w:t>
      </w:r>
    </w:p>
    <w:p>
      <w:pPr>
        <w:pStyle w:val="FirstParagraph"/>
      </w:pPr>
      <w:r>
        <w:t xml:space="preserve">Package dependencies are pinned in</w:t>
      </w:r>
      <w:r>
        <w:t xml:space="preserve"> </w:t>
      </w:r>
      <w:r>
        <w:rPr>
          <w:rStyle w:val="VerbatimChar"/>
        </w:rPr>
        <w:t xml:space="preserve">requirements.txt</w:t>
      </w:r>
      <w:r>
        <w:t xml:space="preserve"> </w:t>
      </w:r>
      <w:r>
        <w:t xml:space="preserve">and Python runtime is pinned in</w:t>
      </w:r>
      <w:r>
        <w:t xml:space="preserve"> </w:t>
      </w:r>
      <w:r>
        <w:rPr>
          <w:rStyle w:val="VerbatimChar"/>
        </w:rPr>
        <w:t xml:space="preserve">runtime.txt</w:t>
      </w:r>
      <w:r>
        <w:t xml:space="preserve">.</w:t>
      </w:r>
    </w:p>
    <w:bookmarkEnd w:id="16"/>
    <w:bookmarkStart w:id="20" w:name="licensing"/>
    <w:p>
      <w:pPr>
        <w:pStyle w:val="Heading1"/>
      </w:pPr>
      <w:r>
        <w:t xml:space="preserve">Licensing</w:t>
      </w:r>
    </w:p>
    <w:p>
      <w:pPr>
        <w:pStyle w:val="FirstParagraph"/>
      </w:pPr>
      <w:r>
        <w:t xml:space="preserve">The project combines several licensing arrangements.</w:t>
      </w:r>
    </w:p>
    <w:p>
      <w:pPr>
        <w:pStyle w:val="Compact"/>
        <w:numPr>
          <w:ilvl w:val="0"/>
          <w:numId w:val="1003"/>
        </w:numPr>
      </w:pPr>
      <w:r>
        <w:t xml:space="preserve">The software, notebooks, and Quarto source are covered by the repository’s existing</w:t>
      </w:r>
      <w:r>
        <w:t xml:space="preserve"> </w:t>
      </w:r>
      <w:hyperlink r:id="rId17">
        <w:r>
          <w:rPr>
            <w:rStyle w:val="Hyperlink"/>
          </w:rPr>
          <w:t xml:space="preserve">GNU GPL v3</w:t>
        </w:r>
      </w:hyperlink>
      <w:r>
        <w:t xml:space="preserve"> </w:t>
      </w:r>
      <w:r>
        <w:t xml:space="preserve">terms.</w:t>
      </w:r>
    </w:p>
    <w:p>
      <w:pPr>
        <w:pStyle w:val="Compact"/>
        <w:numPr>
          <w:ilvl w:val="0"/>
          <w:numId w:val="1003"/>
        </w:numPr>
      </w:pPr>
      <w:r>
        <w:t xml:space="preserve">The catalogue and dataset files in the project are released under</w:t>
      </w:r>
      <w:r>
        <w:t xml:space="preserve"> </w:t>
      </w:r>
      <w:hyperlink r:id="rId18">
        <w:r>
          <w:rPr>
            <w:rStyle w:val="Hyperlink"/>
          </w:rPr>
          <w:t xml:space="preserve">CC0 1.0 Universal</w:t>
        </w:r>
      </w:hyperlink>
      <w:r>
        <w:t xml:space="preserve"> </w:t>
      </w:r>
      <w:r>
        <w:t xml:space="preserve">and the repository copy is retained in</w:t>
      </w:r>
      <w:r>
        <w:t xml:space="preserve"> </w:t>
      </w:r>
      <w:hyperlink r:id="rId19">
        <w:r>
          <w:rPr>
            <w:rStyle w:val="Hyperlink"/>
          </w:rPr>
          <w:t xml:space="preserve">LICENSE-data</w:t>
        </w:r>
      </w:hyperlink>
      <w:r>
        <w:t xml:space="preserve">, so the underlying OCR-derived data may be reused without restriction for research, teaching, and public scholarship.</w:t>
      </w:r>
    </w:p>
    <w:p>
      <w:pPr>
        <w:pStyle w:val="Compact"/>
        <w:numPr>
          <w:ilvl w:val="0"/>
          <w:numId w:val="1003"/>
        </w:numPr>
      </w:pPr>
      <w:r>
        <w:t xml:space="preserve">For research use, this project also recognises that text and data mining (TDM) may be permitted under the UK and German legal frameworks for scientific research, including UK copyright exceptions and the German research exception in § 60d UrhG. These provisions are jurisdiction-specific and do not replace a review of any third-party rights or source-specific conditions.</w:t>
      </w:r>
    </w:p>
    <w:bookmarkEnd w:id="20"/>
    <w:bookmarkStart w:id="23" w:name="references"/>
    <w:p>
      <w:pPr>
        <w:pStyle w:val="Heading1"/>
      </w:pPr>
      <w:r>
        <w:t xml:space="preserve">References</w:t>
      </w:r>
    </w:p>
    <w:bookmarkStart w:id="22" w:name="refs"/>
    <w:bookmarkStart w:id="21" w:name="ref-wilkinson2016fair"/>
    <w:p>
      <w:pPr>
        <w:pStyle w:val="Bibliography"/>
      </w:pPr>
      <w:r>
        <w:t xml:space="preserve">Wilkinson, Mark D, Michel Dumontier, IJsbrand Jan Aalbersberg, et al.</w:t>
      </w:r>
      <w:r>
        <w:t xml:space="preserve"> 2016.</w:t>
      </w:r>
      <w:r>
        <w:t xml:space="preserve"> </w:t>
      </w:r>
      <w:r>
        <w:t xml:space="preserve">“The FAIR Guiding Principles for Scientific Data Management and Stewardship.”</w:t>
      </w:r>
      <w:r>
        <w:t xml:space="preserve"> </w:t>
      </w:r>
      <w:r>
        <w:rPr>
          <w:i/>
          <w:iCs/>
        </w:rPr>
        <w:t xml:space="preserve">Scientific Data</w:t>
      </w:r>
      <w:r>
        <w:t xml:space="preserve"> </w:t>
      </w:r>
      <w:r>
        <w:t xml:space="preserve">3: 160018.</w:t>
      </w:r>
    </w:p>
    <w:bookmarkEnd w:id="21"/>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7" Target="LICENSE" TargetMode="External" /><Relationship Type="http://schemas.openxmlformats.org/officeDocument/2006/relationships/hyperlink" Id="rId19" Target="LICENSE-data" TargetMode="External" /><Relationship Type="http://schemas.openxmlformats.org/officeDocument/2006/relationships/hyperlink" Id="rId18" Target="https://creativecommons.org/publicdomain/zero/1.0/" TargetMode="External" /><Relationship Type="http://schemas.openxmlformats.org/officeDocument/2006/relationships/hyperlink" Id="rId12" Target="notebooks/01-exhibition.ipynb" TargetMode="External" /><Relationship Type="http://schemas.openxmlformats.org/officeDocument/2006/relationships/hyperlink" Id="rId13" Target="notebooks/02-artworks.ipynb" TargetMode="External" /></Relationships>
</file>

<file path=word/_rels/footnotes.xml.rels><?xml version="1.0" encoding="UTF-8"?><Relationships xmlns="http://schemas.openxmlformats.org/package/2006/relationships"><Relationship Type="http://schemas.openxmlformats.org/officeDocument/2006/relationships/hyperlink" Id="rId17" Target="LICENSE" TargetMode="External" /><Relationship Type="http://schemas.openxmlformats.org/officeDocument/2006/relationships/hyperlink" Id="rId19" Target="LICENSE-data" TargetMode="External" /><Relationship Type="http://schemas.openxmlformats.org/officeDocument/2006/relationships/hyperlink" Id="rId18" Target="https://creativecommons.org/publicdomain/zero/1.0/" TargetMode="External" /><Relationship Type="http://schemas.openxmlformats.org/officeDocument/2006/relationships/hyperlink" Id="rId12" Target="notebooks/01-exhibition.ipynb" TargetMode="External" /><Relationship Type="http://schemas.openxmlformats.org/officeDocument/2006/relationships/hyperlink" Id="rId13" Target="notebooks/02-artworks.ipyn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John Baldessari — Exhibition Catalogue</dc:title>
  <dc:creator>Simon Worthington; Chloë Farr</dc:creator>
  <cp:keywords>art, exhibition, catalogue</cp:keywords>
  <dcterms:created xsi:type="dcterms:W3CDTF">2026-10-17T09:35:23Z</dcterms:created>
  <dcterms:modified xsi:type="dcterms:W3CDTF">2026-10-17T09:35:23Z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Catalogue of works by the artists John Baldessari shown in an art exhibition at the Sprengel Museum Hannover 26.9.1999 - 2.1.2000. Sourced from OCR-processed exhibition catalogue held by HsH Library. DNB record https://d-nb.info/957409494 | ISBN 3-88375-396-3.</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date">
    <vt:lpwstr>2026-10-17</vt:lpwstr>
  </property>
  <property fmtid="{D5CDD505-2E9C-101B-9397-08002B2CF9AE}" pid="11" name="google-scholar">
    <vt:lpwstr>True</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lightbox">
    <vt:lpwstr>auto</vt:lpwstr>
  </property>
  <property fmtid="{D5CDD505-2E9C-101B-9397-08002B2CF9AE}" pid="17" name="manuscript">
    <vt:lpwstr/>
  </property>
  <property fmtid="{D5CDD505-2E9C-101B-9397-08002B2CF9AE}" pid="18" name="notebook-preview-options">
    <vt:lpwstr/>
  </property>
  <property fmtid="{D5CDD505-2E9C-101B-9397-08002B2CF9AE}" pid="19" name="quarto-internal">
    <vt:lpwstr/>
  </property>
  <property fmtid="{D5CDD505-2E9C-101B-9397-08002B2CF9AE}" pid="20" name="remove-hidden">
    <vt:lpwstr>all</vt:lpwstr>
  </property>
  <property fmtid="{D5CDD505-2E9C-101B-9397-08002B2CF9AE}" pid="21" name="template-partials">
    <vt:lpwstr/>
  </property>
  <property fmtid="{D5CDD505-2E9C-101B-9397-08002B2CF9AE}" pid="22" name="theme">
    <vt:lpwstr>cosmo</vt:lpwstr>
  </property>
  <property fmtid="{D5CDD505-2E9C-101B-9397-08002B2CF9AE}" pid="23" name="title-block-style">
    <vt:lpwstr>manuscript</vt:lpwstr>
  </property>
  <property fmtid="{D5CDD505-2E9C-101B-9397-08002B2CF9AE}" pid="24" name="toc-title">
    <vt:lpwstr>Table of contents</vt:lpwstr>
  </property>
  <property fmtid="{D5CDD505-2E9C-101B-9397-08002B2CF9AE}" pid="25" name="unroll-markdown-cells">
    <vt:lpwstr>True</vt:lpwstr>
  </property>
</Properties>
</file>