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 (Prototype)</w:t>
      </w:r>
    </w:p>
    <w:p>
      <w:pPr>
        <w:pStyle w:val="Author"/>
      </w:pPr>
      <w:r>
        <w:t xml:space="preserve">Simon Worthington</w:t>
      </w:r>
    </w:p>
    <w:p>
      <w:pPr>
        <w:pStyle w:val="Author"/>
      </w:pPr>
      <w:r>
        <w:t xml:space="preserve">Chloë Farr</w:t>
      </w:r>
    </w:p>
    <w:p>
      <w:pPr>
        <w:pStyle w:val="Date"/>
      </w:pPr>
      <w:r>
        <w:t xml:space="preserve">2026-10-17</w:t>
      </w:r>
    </w:p>
    <w:p>
      <w:pPr>
        <w:pStyle w:val="AbstractTitle"/>
      </w:pPr>
      <w:r>
        <w:t xml:space="preserve">Abstract</w:t>
      </w:r>
    </w:p>
    <w:p>
      <w:pPr>
        <w:pStyle w:val="Abstract"/>
      </w:pPr>
      <w:r>
        <w:t xml:space="preserve">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w:t>
      </w:r>
    </w:p>
    <w:bookmarkStart w:id="12" w:name="about-the-original-exhibition"/>
    <w:p>
      <w:pPr>
        <w:pStyle w:val="Heading1"/>
      </w:pPr>
      <w:r>
        <w:t xml:space="preserve">About the original exhibition</w:t>
      </w:r>
    </w:p>
    <w:p>
      <w:pPr>
        <w:pStyle w:val="FirstParagraph"/>
      </w:pPr>
      <w:r>
        <w:t xml:space="preserve">Exhibition title:</w:t>
      </w:r>
      <w:r>
        <w:t xml:space="preserve"> </w:t>
      </w:r>
      <w:r>
        <w:t xml:space="preserve">‘while something is happening here, something else is happening there ; works 1988 - 1999’</w:t>
      </w:r>
      <w:r>
        <w:t xml:space="preserve"> </w:t>
      </w:r>
      <w:r>
        <w:t xml:space="preserve">; Spectrum - Internationaler Preis für Fotografie der Stiftung Niedersachsen</w:t>
      </w:r>
    </w:p>
    <w:p>
      <w:pPr>
        <w:pStyle w:val="BodyText"/>
      </w:pPr>
      <w:r>
        <w:t xml:space="preserve">Location:</w:t>
      </w:r>
    </w:p>
    <w:p>
      <w:pPr>
        <w:pStyle w:val="BodyText"/>
      </w:pPr>
      <w:r>
        <w:t xml:space="preserve">Sprengel-Museum Hannover, 26.9.1999 - 2.1.2000.</w:t>
      </w:r>
    </w:p>
    <w:p>
      <w:pPr>
        <w:pStyle w:val="BodyText"/>
      </w:pPr>
      <w:r>
        <w:t xml:space="preserve">Staatliche Kunstsammlungen Dresden, Gemäldegalerie Neue Meister, 15.1. - 2.4.2000.</w:t>
      </w:r>
    </w:p>
    <w:p>
      <w:pPr>
        <w:pStyle w:val="BodyText"/>
      </w:pPr>
      <w:r>
        <w:t xml:space="preserve">Sprengel Museum website:</w:t>
      </w:r>
      <w:r>
        <w:t xml:space="preserve"> </w:t>
      </w:r>
      <w:hyperlink r:id="rId9">
        <w:r>
          <w:rPr>
            <w:rStyle w:val="Hyperlink"/>
          </w:rPr>
          <w:t xml:space="preserve">https://www.sprengel-museum.de/ausstellungen/archiv</w:t>
        </w:r>
      </w:hyperlink>
    </w:p>
    <w:p>
      <w:pPr>
        <w:pStyle w:val="BodyText"/>
      </w:pPr>
      <w:r>
        <w:t xml:space="preserve">The sum of what is currently publicly available about the artworks in the exhibition.</w:t>
      </w:r>
    </w:p>
    <w:p>
      <w:pPr>
        <w:pStyle w:val="BodyText"/>
      </w:pPr>
      <w:r>
        <w:t xml:space="preserve">Sourced from OCR-processed exhibition catalogue held by HsH Library.</w:t>
      </w:r>
    </w:p>
    <w:p>
      <w:pPr>
        <w:pStyle w:val="BodyText"/>
      </w:pPr>
      <w:r>
        <w:t xml:space="preserve">Exhibition information (DNB publication record) is included for reference.</w:t>
      </w:r>
      <w:r>
        <w:t xml:space="preserve"> </w:t>
      </w:r>
      <w:hyperlink r:id="rId10">
        <w:r>
          <w:rPr>
            <w:rStyle w:val="Hyperlink"/>
          </w:rPr>
          <w:t xml:space="preserve">https://d-nb.info/957409494</w:t>
        </w:r>
      </w:hyperlink>
      <w:r>
        <w:t xml:space="preserve"> </w:t>
      </w:r>
      <w:r>
        <w:t xml:space="preserve">ISBN</w:t>
      </w:r>
      <w:r>
        <w:t xml:space="preserve"> </w:t>
      </w:r>
      <w:hyperlink r:id="rId11">
        <w:r>
          <w:rPr>
            <w:rStyle w:val="Hyperlink"/>
          </w:rPr>
          <w:t xml:space="preserve">3-88375-396-3</w:t>
        </w:r>
      </w:hyperlink>
      <w:r>
        <w:t xml:space="preserve">.</w:t>
      </w:r>
    </w:p>
    <w:bookmarkEnd w:id="12"/>
    <w:bookmarkStart w:id="17" w:name="introduction"/>
    <w:p>
      <w:pPr>
        <w:pStyle w:val="Heading1"/>
      </w:pPr>
      <w:r>
        <w:t xml:space="preserve">Introduction</w:t>
      </w:r>
    </w:p>
    <w:bookmarkStart w:id="16" w:name="workflows"/>
    <w:p>
      <w:pPr>
        <w:pStyle w:val="Heading2"/>
      </w:pPr>
      <w:r>
        <w:t xml:space="preserve">Workflows</w:t>
      </w:r>
    </w:p>
    <w:p>
      <w:pPr>
        <w:pStyle w:val="FirstParagraph"/>
      </w:pPr>
      <w:r>
        <w:t xml:space="preserve">Workflows can be from active curating project or retrospective documentation of past exhibitions.</w:t>
      </w:r>
    </w:p>
    <w:bookmarkStart w:id="13" w:name="active-projects-workflow"/>
    <w:p>
      <w:pPr>
        <w:pStyle w:val="Heading3"/>
      </w:pPr>
      <w:r>
        <w:t xml:space="preserve">Active projects workflow</w:t>
      </w:r>
    </w:p>
    <w:p>
      <w:pPr>
        <w:pStyle w:val="FirstParagraph"/>
      </w:pPr>
      <w:r>
        <w:t xml:space="preserve">Enter data manually into Wikidata, see: Curators’ Guide</w:t>
      </w:r>
    </w:p>
    <w:bookmarkEnd w:id="13"/>
    <w:bookmarkStart w:id="15" w:name="retrospective-workflow"/>
    <w:p>
      <w:pPr>
        <w:pStyle w:val="Heading3"/>
      </w:pPr>
      <w:r>
        <w:t xml:space="preserve">Retrospective workflow</w:t>
      </w:r>
    </w:p>
    <w:bookmarkStart w:id="14" w:name="ocr-workflow"/>
    <w:p>
      <w:pPr>
        <w:pStyle w:val="Heading4"/>
      </w:pPr>
      <w:r>
        <w:t xml:space="preserve">OCR Workflow</w:t>
      </w:r>
    </w:p>
    <w:p>
      <w:pPr>
        <w:pStyle w:val="SourceCode"/>
      </w:pPr>
      <w:r>
        <w:rPr>
          <w:rStyle w:val="VerbatimChar"/>
        </w:rPr>
        <w:t xml:space="preserve">Book &gt; OCR &gt; Dataset &gt; Wikidata &gt; Publication &gt; Data deposit (PIDs)   </w:t>
      </w:r>
    </w:p>
    <w:p>
      <w:pPr>
        <w:pStyle w:val="FirstParagraph"/>
      </w:pPr>
      <w:r>
        <w:t xml:space="preserve">This is the minimal Linked Open Exhibition process: a source book is converted through OCR into a FAIR dataset, then structured data is published to Wikidata and rendered as a Quarto publication.</w:t>
      </w:r>
    </w:p>
    <w:bookmarkEnd w:id="14"/>
    <w:bookmarkEnd w:id="15"/>
    <w:bookmarkEnd w:id="16"/>
    <w:bookmarkEnd w:id="17"/>
    <w:bookmarkStart w:id="24" w:name="example-notebooks"/>
    <w:p>
      <w:pPr>
        <w:pStyle w:val="Heading1"/>
      </w:pPr>
      <w:r>
        <w:t xml:space="preserve">Example Notebooks</w:t>
      </w:r>
    </w:p>
    <w:p>
      <w:pPr>
        <w:pStyle w:val="FirstParagraph"/>
      </w:pPr>
      <w:r>
        <w:t xml:space="preserve">The computational workflow is documented in the notebook set:</w:t>
      </w:r>
    </w:p>
    <w:p>
      <w:pPr>
        <w:pStyle w:val="Compact"/>
        <w:numPr>
          <w:ilvl w:val="0"/>
          <w:numId w:val="1001"/>
        </w:numPr>
      </w:pPr>
      <w:hyperlink r:id="rId18">
        <w:r>
          <w:rPr>
            <w:rStyle w:val="Hyperlink"/>
          </w:rPr>
          <w:t xml:space="preserve">Exhibition data</w:t>
        </w:r>
      </w:hyperlink>
    </w:p>
    <w:p>
      <w:pPr>
        <w:pStyle w:val="Compact"/>
        <w:numPr>
          <w:ilvl w:val="0"/>
          <w:numId w:val="1001"/>
        </w:numPr>
      </w:pPr>
      <w:hyperlink r:id="rId19">
        <w:r>
          <w:rPr>
            <w:rStyle w:val="Hyperlink"/>
          </w:rPr>
          <w:t xml:space="preserve">Artwork data</w:t>
        </w:r>
      </w:hyperlink>
    </w:p>
    <w:bookmarkStart w:id="23" w:name="the-prototype"/>
    <w:p>
      <w:pPr>
        <w:pStyle w:val="Heading2"/>
      </w:pPr>
      <w:r>
        <w:t xml:space="preserve">The prototype</w:t>
      </w:r>
    </w:p>
    <w:p>
      <w:pPr>
        <w:pStyle w:val="FirstParagraph"/>
      </w:pPr>
      <w:r>
        <w:t xml:space="preserve">The OCR is a R&amp;D LLM processed experiment by Chloë Farr in cooperation with Computational Publishing Service NFDI4Culture @ TIB Open Science Lab with HsH.</w:t>
      </w:r>
    </w:p>
    <w:p>
      <w:pPr>
        <w:pStyle w:val="BodyText"/>
      </w:pPr>
      <w:r>
        <w:t xml:space="preserve">This prototype made by Simon Worthington as part of</w:t>
      </w:r>
      <w:r>
        <w:t xml:space="preserve"> </w:t>
      </w:r>
      <w:hyperlink r:id="rId20">
        <w:r>
          <w:rPr>
            <w:rStyle w:val="Hyperlink"/>
          </w:rPr>
          <w:t xml:space="preserve">Linked Open Exhibition</w:t>
        </w:r>
      </w:hyperlink>
      <w:r>
        <w:t xml:space="preserve">, an experimental prototype pipeline for publishing art exhibition data as Linked Open Data (LOD). It was created with students of the Bachelor of Arts Information Management at Hochschule Hannover in the course</w:t>
      </w:r>
      <w:r>
        <w:t xml:space="preserve"> </w:t>
      </w:r>
      <w:hyperlink r:id="rId21">
        <w:r>
          <w:rPr>
            <w:rStyle w:val="Hyperlink"/>
          </w:rPr>
          <w:t xml:space="preserve">BIM-126-02 Data Science</w:t>
        </w:r>
      </w:hyperlink>
      <w:r>
        <w:t xml:space="preserve"> </w:t>
      </w:r>
      <w:r>
        <w:t xml:space="preserve">(SoSe 2026). See Wikiversity link for teaching materials.</w:t>
      </w:r>
      <w:r>
        <w:t xml:space="preserve"> </w:t>
      </w:r>
      <w:hyperlink r:id="rId22">
        <w:r>
          <w:rPr>
            <w:rStyle w:val="Hyperlink"/>
          </w:rPr>
          <w:t xml:space="preserve">https://en.wikiversity.org/wiki/BIM-126-02-Data-Science-Linked-Open-Exhibition</w:t>
        </w:r>
      </w:hyperlink>
      <w:r>
        <w:t xml:space="preserve"> </w:t>
      </w:r>
      <w:r>
        <w:t xml:space="preserve">(EN/DE).</w:t>
      </w:r>
    </w:p>
    <w:bookmarkEnd w:id="23"/>
    <w:bookmarkEnd w:id="24"/>
    <w:bookmarkStart w:id="25"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25"/>
    <w:bookmarkStart w:id="26"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26"/>
    <w:bookmarkStart w:id="30" w:name="copyright-and-licensing"/>
    <w:p>
      <w:pPr>
        <w:pStyle w:val="Heading1"/>
      </w:pPr>
      <w:r>
        <w:t xml:space="preserve">Copyright and Licensing</w:t>
      </w:r>
    </w:p>
    <w:p>
      <w:pPr>
        <w:pStyle w:val="FirstParagraph"/>
      </w:pPr>
      <w:r>
        <w:t xml:space="preserve">All materials here are open-licenced unless otherwise stated and follow FAIR Data principles and follow UNESCO Open Science recommendations.</w:t>
      </w:r>
    </w:p>
    <w:p>
      <w:pPr>
        <w:pStyle w:val="BodyText"/>
      </w:pPr>
      <w:r>
        <w:t xml:space="preserve">The project combines several licensing arrangements.</w:t>
      </w:r>
    </w:p>
    <w:p>
      <w:pPr>
        <w:pStyle w:val="Compact"/>
        <w:numPr>
          <w:ilvl w:val="0"/>
          <w:numId w:val="1002"/>
        </w:numPr>
      </w:pPr>
      <w:r>
        <w:t xml:space="preserve">The software, notebooks, and Quarto source are covered by the repository’s existing</w:t>
      </w:r>
      <w:r>
        <w:t xml:space="preserve"> </w:t>
      </w:r>
      <w:hyperlink r:id="rId27">
        <w:r>
          <w:rPr>
            <w:rStyle w:val="Hyperlink"/>
          </w:rPr>
          <w:t xml:space="preserve">GNU GPL v3</w:t>
        </w:r>
      </w:hyperlink>
      <w:r>
        <w:t xml:space="preserve"> </w:t>
      </w:r>
      <w:r>
        <w:t xml:space="preserve">terms.</w:t>
      </w:r>
    </w:p>
    <w:p>
      <w:pPr>
        <w:pStyle w:val="Compact"/>
        <w:numPr>
          <w:ilvl w:val="0"/>
          <w:numId w:val="1002"/>
        </w:numPr>
      </w:pPr>
      <w:r>
        <w:t xml:space="preserve">The catalogue and dataset files in the project are released under</w:t>
      </w:r>
      <w:r>
        <w:t xml:space="preserve"> </w:t>
      </w:r>
      <w:hyperlink r:id="rId28">
        <w:r>
          <w:rPr>
            <w:rStyle w:val="Hyperlink"/>
          </w:rPr>
          <w:t xml:space="preserve">CC0 1.0 Universal</w:t>
        </w:r>
      </w:hyperlink>
      <w:r>
        <w:t xml:space="preserve"> </w:t>
      </w:r>
      <w:r>
        <w:t xml:space="preserve">and the repository copy is retained in</w:t>
      </w:r>
      <w:r>
        <w:t xml:space="preserve"> </w:t>
      </w:r>
      <w:hyperlink r:id="rId29">
        <w:r>
          <w:rPr>
            <w:rStyle w:val="Hyperlink"/>
          </w:rPr>
          <w:t xml:space="preserve">LICENSE-data</w:t>
        </w:r>
      </w:hyperlink>
      <w:r>
        <w:t xml:space="preserve">, so the underlying OCR-derived data may be reused without restriction for research, teaching, and public scholarship.</w:t>
      </w:r>
    </w:p>
    <w:p>
      <w:pPr>
        <w:pStyle w:val="Compact"/>
        <w:numPr>
          <w:ilvl w:val="0"/>
          <w:numId w:val="1002"/>
        </w:numPr>
      </w:pPr>
      <w:r>
        <w:t xml:space="preserve">For research use, this project also recognises that text and data mining (TDM) may be permitted under the UK and German legal frameworks for scientific research, including UK copyright exceptions and the German research exception in § 60d UrhG. These provisions are jurisdiction-specific and do not replace a review of any third-party rights or source-specific conditions.</w:t>
      </w:r>
    </w:p>
    <w:p>
      <w:pPr>
        <w:pStyle w:val="FirstParagraph"/>
      </w:pPr>
      <w:r>
        <w:t xml:space="preserve">This project is configured for:</w:t>
      </w:r>
    </w:p>
    <w:p>
      <w:pPr>
        <w:pStyle w:val="Compact"/>
        <w:numPr>
          <w:ilvl w:val="0"/>
          <w:numId w:val="1003"/>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3"/>
        </w:numPr>
      </w:pPr>
      <w:r>
        <w:t xml:space="preserve">Jupyter notebooks included as project computations.</w:t>
      </w:r>
    </w:p>
    <w:p>
      <w:pPr>
        <w:pStyle w:val="Compact"/>
        <w:numPr>
          <w:ilvl w:val="0"/>
          <w:numId w:val="1003"/>
        </w:numPr>
      </w:pPr>
      <w:r>
        <w:t xml:space="preserve">Publishing to GitHub Pages.</w:t>
      </w:r>
    </w:p>
    <w:p>
      <w:pPr>
        <w:pStyle w:val="Compact"/>
        <w:numPr>
          <w:ilvl w:val="0"/>
          <w:numId w:val="1003"/>
        </w:numPr>
      </w:pPr>
      <w:r>
        <w:t xml:space="preserve">Reproducible notebook execution on MyBinder.</w:t>
      </w:r>
    </w:p>
    <w:bookmarkEnd w:id="30"/>
    <w:bookmarkStart w:id="34" w:name="references"/>
    <w:p>
      <w:pPr>
        <w:pStyle w:val="Heading1"/>
      </w:pPr>
      <w:r>
        <w:t xml:space="preserve">References</w:t>
      </w:r>
    </w:p>
    <w:p>
      <w:pPr>
        <w:pStyle w:val="FirstParagraph"/>
      </w:pPr>
      <w:r>
        <w:t xml:space="preserve">For the project bibliography, see</w:t>
      </w:r>
      <w:r>
        <w:t xml:space="preserve"> </w:t>
      </w:r>
      <w:hyperlink r:id="rId31">
        <w:r>
          <w:rPr>
            <w:rStyle w:val="Hyperlink"/>
          </w:rPr>
          <w:t xml:space="preserve">References</w:t>
        </w:r>
      </w:hyperlink>
      <w:r>
        <w:t xml:space="preserve">.</w:t>
      </w:r>
    </w:p>
    <w:bookmarkStart w:id="33" w:name="refs"/>
    <w:bookmarkStart w:id="32"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LICENSE" TargetMode="External" /><Relationship Type="http://schemas.openxmlformats.org/officeDocument/2006/relationships/hyperlink" Id="rId29" Target="LICENSE-data" TargetMode="External" /><Relationship Type="http://schemas.openxmlformats.org/officeDocument/2006/relationships/hyperlink" Id="rId28"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22" Target="https://en.wikiversity.org/wiki/BIM-126-02-Data-Science-Linked-Open-Exhibition" TargetMode="External" /><Relationship Type="http://schemas.openxmlformats.org/officeDocument/2006/relationships/hyperlink" Id="rId20" Target="https://nfdi4culture.github.io/linked-open-exhibition/" TargetMode="External" /><Relationship Type="http://schemas.openxmlformats.org/officeDocument/2006/relationships/hyperlink" Id="rId21" Target="https://www.hs-hannover.de/studium/studienangebot/bachelor/information-management/"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18" Target="notebooks/01-exhibition.ipynb" TargetMode="External" /><Relationship Type="http://schemas.openxmlformats.org/officeDocument/2006/relationships/hyperlink" Id="rId19" Target="notebooks/02-artworks.ipynb" TargetMode="External" /><Relationship Type="http://schemas.openxmlformats.org/officeDocument/2006/relationships/hyperlink" Id="rId31" Target="references.qmd" TargetMode="External" /></Relationships>
</file>

<file path=word/_rels/footnotes.xml.rels><?xml version="1.0" encoding="UTF-8"?><Relationships xmlns="http://schemas.openxmlformats.org/package/2006/relationships"><Relationship Type="http://schemas.openxmlformats.org/officeDocument/2006/relationships/hyperlink" Id="rId27" Target="LICENSE" TargetMode="External" /><Relationship Type="http://schemas.openxmlformats.org/officeDocument/2006/relationships/hyperlink" Id="rId29" Target="LICENSE-data" TargetMode="External" /><Relationship Type="http://schemas.openxmlformats.org/officeDocument/2006/relationships/hyperlink" Id="rId28"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22" Target="https://en.wikiversity.org/wiki/BIM-126-02-Data-Science-Linked-Open-Exhibition" TargetMode="External" /><Relationship Type="http://schemas.openxmlformats.org/officeDocument/2006/relationships/hyperlink" Id="rId20" Target="https://nfdi4culture.github.io/linked-open-exhibition/" TargetMode="External" /><Relationship Type="http://schemas.openxmlformats.org/officeDocument/2006/relationships/hyperlink" Id="rId21" Target="https://www.hs-hannover.de/studium/studienangebot/bachelor/information-management/"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18" Target="notebooks/01-exhibition.ipynb" TargetMode="External" /><Relationship Type="http://schemas.openxmlformats.org/officeDocument/2006/relationships/hyperlink" Id="rId19" Target="notebooks/02-artworks.ipynb" TargetMode="External" /><Relationship Type="http://schemas.openxmlformats.org/officeDocument/2006/relationships/hyperlink" Id="rId31" Target="referen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 (Prototype)</dc:title>
  <dc:creator>Simon Worthington; Chloë Farr</dc:creator>
  <cp:keywords>art, exhibition, catalogue, prototype, R&amp;D, NFDI4Culture</cp:keywords>
  <dcterms:created xsi:type="dcterms:W3CDTF">2026-10-17T19:21:55Z</dcterms:created>
  <dcterms:modified xsi:type="dcterms:W3CDTF">2026-10-17T19:21:55Z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2026-10-17</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