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E7123" w:rsidRDefault="00000000">
      <w:pPr>
        <w:jc w:val="center"/>
      </w:pPr>
      <w:r>
        <w:rPr>
          <w:rFonts w:eastAsia="Andale Sans UI"/>
          <w:kern w:val="2"/>
          <w:sz w:val="28"/>
          <w:szCs w:val="24"/>
          <w:lang w:bidi="en-US"/>
        </w:rPr>
        <w:t>Министерство науки и высшего образования Российской Федерации</w:t>
      </w:r>
    </w:p>
    <w:p w:rsidR="00CE7123" w:rsidRDefault="00000000">
      <w:pPr>
        <w:jc w:val="center"/>
      </w:pPr>
      <w:r>
        <w:rPr>
          <w:rFonts w:eastAsia="Andale Sans UI"/>
          <w:kern w:val="2"/>
          <w:sz w:val="28"/>
          <w:szCs w:val="24"/>
          <w:lang w:bidi="en-US"/>
        </w:rPr>
        <w:t>Федеральное государственное бюджетное образовательное учреждение</w:t>
      </w:r>
    </w:p>
    <w:p w:rsidR="00CE7123" w:rsidRDefault="00000000">
      <w:pPr>
        <w:jc w:val="center"/>
      </w:pPr>
      <w:r>
        <w:rPr>
          <w:rFonts w:eastAsia="Andale Sans UI"/>
          <w:kern w:val="2"/>
          <w:sz w:val="28"/>
          <w:szCs w:val="24"/>
          <w:lang w:bidi="en-US"/>
        </w:rPr>
        <w:t>высшего образования</w:t>
      </w:r>
    </w:p>
    <w:p w:rsidR="00CE7123" w:rsidRDefault="00000000">
      <w:pPr>
        <w:jc w:val="center"/>
      </w:pPr>
      <w:r>
        <w:rPr>
          <w:rFonts w:eastAsia="Andale Sans UI"/>
          <w:kern w:val="2"/>
          <w:sz w:val="28"/>
          <w:szCs w:val="24"/>
          <w:lang w:bidi="en-US"/>
        </w:rPr>
        <w:t>«Рязанский государственный радиотехнический университет</w:t>
      </w:r>
    </w:p>
    <w:p w:rsidR="00CE7123" w:rsidRDefault="00000000">
      <w:pPr>
        <w:jc w:val="center"/>
      </w:pPr>
      <w:r>
        <w:rPr>
          <w:rFonts w:eastAsia="Andale Sans UI"/>
          <w:kern w:val="2"/>
          <w:sz w:val="28"/>
          <w:szCs w:val="24"/>
          <w:lang w:bidi="en-US"/>
        </w:rPr>
        <w:t>имени В.Ф. Уткина»</w:t>
      </w:r>
    </w:p>
    <w:p w:rsidR="00CE7123" w:rsidRDefault="00CE7123">
      <w:pPr>
        <w:jc w:val="center"/>
        <w:rPr>
          <w:rFonts w:ascii="Liberation Serif" w:eastAsia="Andale Sans UI" w:hAnsi="Liberation Serif"/>
          <w:kern w:val="2"/>
          <w:sz w:val="28"/>
          <w:szCs w:val="24"/>
          <w:lang w:bidi="en-US"/>
        </w:rPr>
      </w:pPr>
    </w:p>
    <w:p w:rsidR="00CE7123" w:rsidRDefault="00CE7123">
      <w:pPr>
        <w:jc w:val="center"/>
        <w:rPr>
          <w:rFonts w:ascii="Liberation Serif" w:eastAsia="Andale Sans UI" w:hAnsi="Liberation Serif"/>
          <w:kern w:val="2"/>
          <w:sz w:val="28"/>
          <w:szCs w:val="24"/>
          <w:lang w:bidi="en-US"/>
        </w:rPr>
      </w:pPr>
    </w:p>
    <w:p w:rsidR="00CE7123" w:rsidRDefault="00000000">
      <w:pPr>
        <w:jc w:val="center"/>
      </w:pPr>
      <w:r>
        <w:rPr>
          <w:rFonts w:eastAsia="Andale Sans UI"/>
          <w:kern w:val="2"/>
          <w:sz w:val="28"/>
          <w:szCs w:val="24"/>
          <w:lang w:bidi="en-US"/>
        </w:rPr>
        <w:t>Кафедра «Электронные вычислительные машины»</w:t>
      </w:r>
    </w:p>
    <w:p w:rsidR="00CE7123" w:rsidRDefault="00CE7123">
      <w:pPr>
        <w:jc w:val="center"/>
        <w:rPr>
          <w:rFonts w:ascii="Liberation Serif" w:eastAsia="Andale Sans UI" w:hAnsi="Liberation Serif"/>
          <w:kern w:val="2"/>
          <w:sz w:val="24"/>
          <w:szCs w:val="24"/>
          <w:lang w:bidi="en-US"/>
        </w:rPr>
      </w:pPr>
    </w:p>
    <w:p w:rsidR="00CE7123" w:rsidRDefault="00CE7123">
      <w:pPr>
        <w:jc w:val="center"/>
        <w:rPr>
          <w:rFonts w:ascii="Liberation Serif" w:eastAsia="Andale Sans UI" w:hAnsi="Liberation Serif"/>
          <w:kern w:val="2"/>
          <w:sz w:val="24"/>
          <w:szCs w:val="24"/>
          <w:lang w:bidi="en-US"/>
        </w:rPr>
      </w:pPr>
    </w:p>
    <w:p w:rsidR="00CE7123" w:rsidRDefault="00CE7123">
      <w:pPr>
        <w:jc w:val="center"/>
        <w:rPr>
          <w:rFonts w:ascii="Liberation Serif" w:eastAsia="Andale Sans UI" w:hAnsi="Liberation Serif"/>
          <w:kern w:val="2"/>
          <w:sz w:val="24"/>
          <w:szCs w:val="24"/>
          <w:lang w:bidi="en-US"/>
        </w:rPr>
      </w:pPr>
    </w:p>
    <w:p w:rsidR="00CE7123" w:rsidRDefault="00CE7123">
      <w:pPr>
        <w:jc w:val="center"/>
        <w:rPr>
          <w:rFonts w:ascii="Liberation Serif" w:eastAsia="Andale Sans UI" w:hAnsi="Liberation Serif"/>
          <w:kern w:val="2"/>
          <w:sz w:val="24"/>
          <w:szCs w:val="24"/>
          <w:lang w:bidi="en-US"/>
        </w:rPr>
      </w:pPr>
    </w:p>
    <w:p w:rsidR="00CE7123" w:rsidRDefault="00CE7123">
      <w:pPr>
        <w:jc w:val="center"/>
        <w:rPr>
          <w:rFonts w:ascii="Liberation Serif" w:eastAsia="Andale Sans UI" w:hAnsi="Liberation Serif"/>
          <w:kern w:val="2"/>
          <w:sz w:val="24"/>
          <w:szCs w:val="24"/>
          <w:lang w:bidi="en-US"/>
        </w:rPr>
      </w:pPr>
    </w:p>
    <w:p w:rsidR="00CE7123" w:rsidRDefault="00CE7123">
      <w:pPr>
        <w:jc w:val="center"/>
        <w:rPr>
          <w:rFonts w:ascii="Liberation Serif" w:eastAsia="Andale Sans UI" w:hAnsi="Liberation Serif"/>
          <w:kern w:val="2"/>
          <w:sz w:val="24"/>
          <w:szCs w:val="24"/>
          <w:lang w:bidi="en-US"/>
        </w:rPr>
      </w:pPr>
    </w:p>
    <w:p w:rsidR="00CE7123" w:rsidRDefault="00CE7123">
      <w:pPr>
        <w:jc w:val="center"/>
        <w:rPr>
          <w:rFonts w:ascii="Liberation Serif" w:eastAsia="Andale Sans UI" w:hAnsi="Liberation Serif"/>
          <w:kern w:val="2"/>
          <w:sz w:val="24"/>
          <w:szCs w:val="24"/>
          <w:lang w:bidi="en-US"/>
        </w:rPr>
      </w:pPr>
    </w:p>
    <w:p w:rsidR="00CE7123" w:rsidRDefault="00CE7123">
      <w:pPr>
        <w:jc w:val="center"/>
        <w:rPr>
          <w:rFonts w:ascii="Liberation Serif" w:eastAsia="Andale Sans UI" w:hAnsi="Liberation Serif"/>
          <w:kern w:val="2"/>
          <w:sz w:val="24"/>
          <w:szCs w:val="24"/>
          <w:lang w:bidi="en-US"/>
        </w:rPr>
      </w:pPr>
    </w:p>
    <w:p w:rsidR="00CE7123" w:rsidRPr="0067704C" w:rsidRDefault="00000000">
      <w:pPr>
        <w:jc w:val="center"/>
      </w:pPr>
      <w:r>
        <w:rPr>
          <w:b/>
          <w:sz w:val="28"/>
        </w:rPr>
        <w:t>Отчет о практической работе № 2</w:t>
      </w:r>
    </w:p>
    <w:p w:rsidR="00CE7123" w:rsidRDefault="00000000" w:rsidP="0067704C">
      <w:pPr>
        <w:pStyle w:val="2"/>
        <w:spacing w:line="240" w:lineRule="auto"/>
        <w:ind w:firstLineChars="1021" w:firstLine="2859"/>
      </w:pPr>
      <w:r>
        <w:rPr>
          <w:rFonts w:ascii="Times New Roman" w:eastAsia="Times New Roman" w:hAnsi="Times New Roman"/>
          <w:b w:val="0"/>
          <w:sz w:val="28"/>
        </w:rPr>
        <w:t>Концепция бизнес-требований</w:t>
      </w:r>
    </w:p>
    <w:p w:rsidR="00CE7123" w:rsidRDefault="00000000">
      <w:pPr>
        <w:jc w:val="center"/>
      </w:pPr>
      <w:r>
        <w:rPr>
          <w:rFonts w:eastAsia="Andale Sans UI"/>
          <w:b/>
          <w:bCs/>
          <w:kern w:val="2"/>
          <w:sz w:val="28"/>
          <w:szCs w:val="24"/>
          <w:lang w:bidi="en-US"/>
        </w:rPr>
        <w:t>по дисциплине</w:t>
      </w:r>
    </w:p>
    <w:p w:rsidR="00CE7123" w:rsidRDefault="00000000">
      <w:pPr>
        <w:jc w:val="center"/>
      </w:pPr>
      <w:r>
        <w:rPr>
          <w:rFonts w:eastAsia="Andale Sans UI"/>
          <w:kern w:val="2"/>
          <w:sz w:val="28"/>
          <w:szCs w:val="24"/>
          <w:lang w:bidi="en-US"/>
        </w:rPr>
        <w:t>«Бизнес-анализ»</w:t>
      </w:r>
    </w:p>
    <w:p w:rsidR="00CE7123" w:rsidRDefault="00CE7123">
      <w:pPr>
        <w:jc w:val="center"/>
        <w:rPr>
          <w:rFonts w:ascii="Liberation Serif" w:eastAsia="Andale Sans UI" w:hAnsi="Liberation Serif"/>
          <w:kern w:val="2"/>
          <w:sz w:val="24"/>
          <w:szCs w:val="24"/>
          <w:lang w:bidi="en-US"/>
        </w:rPr>
      </w:pPr>
    </w:p>
    <w:p w:rsidR="00CE7123" w:rsidRDefault="00CE7123">
      <w:pPr>
        <w:jc w:val="center"/>
        <w:rPr>
          <w:rFonts w:ascii="Liberation Serif" w:eastAsia="Andale Sans UI" w:hAnsi="Liberation Serif"/>
          <w:kern w:val="2"/>
          <w:sz w:val="24"/>
          <w:szCs w:val="24"/>
          <w:lang w:bidi="en-US"/>
        </w:rPr>
      </w:pPr>
    </w:p>
    <w:p w:rsidR="00CE7123" w:rsidRDefault="00CE7123">
      <w:pPr>
        <w:jc w:val="center"/>
        <w:rPr>
          <w:rFonts w:ascii="Liberation Serif" w:eastAsia="Andale Sans UI" w:hAnsi="Liberation Serif"/>
          <w:kern w:val="2"/>
          <w:sz w:val="24"/>
          <w:szCs w:val="24"/>
          <w:lang w:bidi="en-US"/>
        </w:rPr>
      </w:pPr>
    </w:p>
    <w:p w:rsidR="00CE7123" w:rsidRDefault="00CE7123">
      <w:pPr>
        <w:jc w:val="center"/>
        <w:rPr>
          <w:rFonts w:ascii="Liberation Serif" w:eastAsia="Andale Sans UI" w:hAnsi="Liberation Serif"/>
          <w:kern w:val="2"/>
          <w:sz w:val="24"/>
          <w:szCs w:val="24"/>
          <w:lang w:bidi="en-US"/>
        </w:rPr>
      </w:pPr>
    </w:p>
    <w:p w:rsidR="00CE7123" w:rsidRDefault="00CE7123">
      <w:pPr>
        <w:jc w:val="center"/>
        <w:rPr>
          <w:rFonts w:ascii="Liberation Serif" w:eastAsia="Andale Sans UI" w:hAnsi="Liberation Serif"/>
          <w:kern w:val="2"/>
          <w:sz w:val="24"/>
          <w:szCs w:val="24"/>
          <w:lang w:bidi="en-US"/>
        </w:rPr>
      </w:pPr>
    </w:p>
    <w:p w:rsidR="00CE7123" w:rsidRDefault="00CE7123">
      <w:pPr>
        <w:jc w:val="center"/>
        <w:rPr>
          <w:rFonts w:ascii="Liberation Serif" w:eastAsia="Andale Sans UI" w:hAnsi="Liberation Serif"/>
          <w:kern w:val="2"/>
          <w:sz w:val="24"/>
          <w:szCs w:val="24"/>
          <w:lang w:bidi="en-US"/>
        </w:rPr>
      </w:pPr>
    </w:p>
    <w:p w:rsidR="00CE7123" w:rsidRDefault="00CE7123">
      <w:pPr>
        <w:jc w:val="center"/>
        <w:rPr>
          <w:rFonts w:ascii="Liberation Serif" w:eastAsia="Andale Sans UI" w:hAnsi="Liberation Serif"/>
          <w:kern w:val="2"/>
          <w:sz w:val="24"/>
          <w:szCs w:val="24"/>
          <w:lang w:bidi="en-US"/>
        </w:rPr>
      </w:pPr>
    </w:p>
    <w:p w:rsidR="00CE7123" w:rsidRDefault="00CE7123">
      <w:pPr>
        <w:jc w:val="center"/>
        <w:rPr>
          <w:rFonts w:ascii="Liberation Serif" w:eastAsia="Andale Sans UI" w:hAnsi="Liberation Serif"/>
          <w:kern w:val="2"/>
          <w:sz w:val="24"/>
          <w:szCs w:val="24"/>
          <w:lang w:bidi="en-US"/>
        </w:rPr>
      </w:pPr>
    </w:p>
    <w:p w:rsidR="00CE7123" w:rsidRDefault="00CE7123">
      <w:pPr>
        <w:jc w:val="center"/>
        <w:rPr>
          <w:rFonts w:ascii="Liberation Serif" w:eastAsia="Andale Sans UI" w:hAnsi="Liberation Serif"/>
          <w:kern w:val="2"/>
          <w:sz w:val="24"/>
          <w:szCs w:val="24"/>
          <w:lang w:bidi="en-US"/>
        </w:rPr>
      </w:pPr>
    </w:p>
    <w:p w:rsidR="00CE7123" w:rsidRDefault="00CE7123">
      <w:pPr>
        <w:jc w:val="center"/>
        <w:rPr>
          <w:rFonts w:ascii="Liberation Serif" w:eastAsia="Andale Sans UI" w:hAnsi="Liberation Serif"/>
          <w:kern w:val="2"/>
          <w:sz w:val="24"/>
          <w:szCs w:val="24"/>
          <w:lang w:bidi="en-US"/>
        </w:rPr>
      </w:pPr>
    </w:p>
    <w:p w:rsidR="00CE7123" w:rsidRDefault="00CE7123">
      <w:pPr>
        <w:jc w:val="center"/>
        <w:rPr>
          <w:rFonts w:ascii="Liberation Serif" w:eastAsia="Andale Sans UI" w:hAnsi="Liberation Serif"/>
          <w:kern w:val="2"/>
          <w:sz w:val="24"/>
          <w:szCs w:val="24"/>
          <w:lang w:bidi="en-US"/>
        </w:rPr>
      </w:pPr>
    </w:p>
    <w:p w:rsidR="00CE7123" w:rsidRDefault="00000000">
      <w:pPr>
        <w:jc w:val="right"/>
      </w:pPr>
      <w:r>
        <w:rPr>
          <w:rFonts w:eastAsia="Andale Sans UI"/>
          <w:b/>
          <w:bCs/>
          <w:kern w:val="2"/>
          <w:sz w:val="28"/>
          <w:szCs w:val="24"/>
          <w:lang w:bidi="en-US"/>
        </w:rPr>
        <w:t>Выполнили:</w:t>
      </w:r>
    </w:p>
    <w:p w:rsidR="00CE7123" w:rsidRDefault="00000000">
      <w:pPr>
        <w:jc w:val="right"/>
      </w:pPr>
      <w:r>
        <w:rPr>
          <w:rFonts w:eastAsia="Andale Sans UI"/>
          <w:kern w:val="2"/>
          <w:sz w:val="28"/>
          <w:szCs w:val="24"/>
          <w:lang w:bidi="en-US"/>
        </w:rPr>
        <w:t>ст. гр. 4724</w:t>
      </w:r>
    </w:p>
    <w:p w:rsidR="00CE7123" w:rsidRPr="0067704C" w:rsidRDefault="00000000">
      <w:pPr>
        <w:jc w:val="right"/>
      </w:pPr>
      <w:r>
        <w:rPr>
          <w:rFonts w:eastAsia="Andale Sans UI"/>
          <w:kern w:val="2"/>
          <w:sz w:val="28"/>
          <w:szCs w:val="24"/>
          <w:lang w:bidi="en-US"/>
        </w:rPr>
        <w:t>бригада № 1</w:t>
      </w:r>
      <w:r w:rsidRPr="0067704C">
        <w:rPr>
          <w:rFonts w:eastAsia="Andale Sans UI"/>
          <w:kern w:val="2"/>
          <w:sz w:val="28"/>
          <w:szCs w:val="24"/>
          <w:lang w:bidi="en-US"/>
        </w:rPr>
        <w:t>3</w:t>
      </w:r>
    </w:p>
    <w:p w:rsidR="00CE7123" w:rsidRDefault="00000000">
      <w:pPr>
        <w:jc w:val="right"/>
      </w:pPr>
      <w:r>
        <w:rPr>
          <w:rFonts w:eastAsia="Andale Sans UI"/>
          <w:kern w:val="2"/>
          <w:sz w:val="28"/>
          <w:szCs w:val="24"/>
          <w:lang w:bidi="en-US"/>
        </w:rPr>
        <w:t>Морозов А. П.</w:t>
      </w:r>
    </w:p>
    <w:p w:rsidR="00CE7123" w:rsidRPr="004B7EBE" w:rsidRDefault="00000000">
      <w:pPr>
        <w:jc w:val="right"/>
      </w:pPr>
      <w:r>
        <w:rPr>
          <w:rFonts w:eastAsia="Andale Sans UI"/>
          <w:kern w:val="2"/>
          <w:sz w:val="28"/>
          <w:szCs w:val="24"/>
          <w:lang w:bidi="en-US"/>
        </w:rPr>
        <w:t>Стерлигов В.П.</w:t>
      </w:r>
      <w:r w:rsidR="004B7EBE" w:rsidRPr="004B7EBE">
        <w:rPr>
          <w:rFonts w:eastAsia="Andale Sans UI"/>
          <w:kern w:val="2"/>
          <w:sz w:val="28"/>
          <w:szCs w:val="24"/>
          <w:lang w:bidi="en-US"/>
        </w:rPr>
        <w:br/>
      </w:r>
      <w:r w:rsidR="004B7EBE">
        <w:rPr>
          <w:rFonts w:eastAsia="Andale Sans UI"/>
          <w:kern w:val="2"/>
          <w:sz w:val="28"/>
          <w:szCs w:val="24"/>
          <w:lang w:bidi="en-US"/>
        </w:rPr>
        <w:t>Лазукин А</w:t>
      </w:r>
      <w:r w:rsidR="004B7EBE" w:rsidRPr="004B7EBE">
        <w:rPr>
          <w:rFonts w:eastAsia="Andale Sans UI"/>
          <w:kern w:val="2"/>
          <w:sz w:val="28"/>
          <w:szCs w:val="24"/>
          <w:lang w:bidi="en-US"/>
        </w:rPr>
        <w:t>.</w:t>
      </w:r>
    </w:p>
    <w:p w:rsidR="00CE7123" w:rsidRDefault="00000000">
      <w:pPr>
        <w:jc w:val="right"/>
      </w:pPr>
      <w:r>
        <w:rPr>
          <w:rFonts w:eastAsia="Andale Sans UI"/>
          <w:b/>
          <w:bCs/>
          <w:kern w:val="2"/>
          <w:sz w:val="28"/>
          <w:szCs w:val="24"/>
          <w:lang w:bidi="en-US"/>
        </w:rPr>
        <w:t>Проверил:</w:t>
      </w:r>
    </w:p>
    <w:p w:rsidR="00CE7123" w:rsidRDefault="00000000">
      <w:pPr>
        <w:jc w:val="right"/>
      </w:pPr>
      <w:r>
        <w:rPr>
          <w:rFonts w:eastAsia="Andale Sans UI"/>
          <w:kern w:val="2"/>
          <w:sz w:val="28"/>
          <w:szCs w:val="24"/>
          <w:lang w:bidi="en-US"/>
        </w:rPr>
        <w:t>асс</w:t>
      </w:r>
      <w:r w:rsidRPr="0067704C">
        <w:rPr>
          <w:rFonts w:eastAsia="Andale Sans UI"/>
          <w:kern w:val="2"/>
          <w:sz w:val="28"/>
          <w:szCs w:val="24"/>
          <w:lang w:bidi="en-US"/>
        </w:rPr>
        <w:t>.</w:t>
      </w:r>
      <w:r>
        <w:rPr>
          <w:rFonts w:eastAsia="Andale Sans UI"/>
          <w:kern w:val="2"/>
          <w:sz w:val="28"/>
          <w:szCs w:val="24"/>
          <w:lang w:bidi="en-US"/>
        </w:rPr>
        <w:t xml:space="preserve"> Зенкин М. Д.</w:t>
      </w:r>
    </w:p>
    <w:p w:rsidR="00CE7123" w:rsidRDefault="00CE7123">
      <w:pPr>
        <w:jc w:val="center"/>
        <w:rPr>
          <w:rFonts w:ascii="Liberation Serif" w:eastAsia="Andale Sans UI" w:hAnsi="Liberation Serif"/>
          <w:kern w:val="2"/>
          <w:sz w:val="24"/>
          <w:szCs w:val="24"/>
          <w:lang w:bidi="en-US"/>
        </w:rPr>
      </w:pPr>
    </w:p>
    <w:p w:rsidR="00CE7123" w:rsidRDefault="00000000">
      <w:pPr>
        <w:widowControl/>
      </w:pPr>
      <w:r>
        <w:br w:type="page"/>
      </w:r>
    </w:p>
    <w:p w:rsidR="004B7EBE" w:rsidRDefault="00000000">
      <w:pPr>
        <w:widowControl/>
        <w:spacing w:line="360" w:lineRule="auto"/>
        <w:ind w:firstLine="709"/>
        <w:jc w:val="both"/>
        <w:rPr>
          <w:sz w:val="28"/>
        </w:rPr>
      </w:pPr>
      <w:r w:rsidRPr="004B7EBE">
        <w:rPr>
          <w:b/>
          <w:bCs/>
          <w:sz w:val="28"/>
        </w:rPr>
        <w:lastRenderedPageBreak/>
        <w:t>Цель работы</w:t>
      </w:r>
      <w:r>
        <w:rPr>
          <w:sz w:val="28"/>
        </w:rPr>
        <w:t>:</w:t>
      </w:r>
    </w:p>
    <w:p w:rsidR="00CE7123" w:rsidRDefault="00000000">
      <w:pPr>
        <w:widowControl/>
        <w:spacing w:line="360" w:lineRule="auto"/>
        <w:ind w:firstLine="709"/>
        <w:jc w:val="both"/>
      </w:pPr>
      <w:r>
        <w:rPr>
          <w:sz w:val="28"/>
        </w:rPr>
        <w:t xml:space="preserve"> </w:t>
      </w:r>
      <w:r w:rsidR="004B7EBE">
        <w:rPr>
          <w:sz w:val="28"/>
        </w:rPr>
        <w:t>С</w:t>
      </w:r>
      <w:r>
        <w:rPr>
          <w:sz w:val="28"/>
        </w:rPr>
        <w:t>оставить концепцию бизнес-требований для выбранной предметной области. В качестве предметной области используется корпоративная B2B-платформа единого доступа к AI-моделям, рассмотренная в практической работе № 1. Концепция формируется для проекта создания информационной системы, которая объединяет процессы привлечения и подключения корпоративных клиентов, управления организациями и пользователями, предоставления единого API к моделям разных поставщиков, контроля использования и бюджетов, корпоративного биллинга, технической поддержки и сопровождения клиентов.</w:t>
      </w:r>
    </w:p>
    <w:p w:rsidR="00CE7123" w:rsidRDefault="00000000">
      <w:pPr>
        <w:keepNext/>
        <w:widowControl/>
        <w:spacing w:before="120" w:line="360" w:lineRule="auto"/>
      </w:pPr>
      <w:r>
        <w:rPr>
          <w:b/>
          <w:sz w:val="28"/>
        </w:rPr>
        <w:t>1 Исходные данные</w:t>
      </w:r>
    </w:p>
    <w:p w:rsidR="00CE7123" w:rsidRDefault="00000000">
      <w:pPr>
        <w:widowControl/>
        <w:spacing w:line="360" w:lineRule="auto"/>
        <w:ind w:firstLine="709"/>
        <w:jc w:val="both"/>
      </w:pPr>
      <w:r>
        <w:rPr>
          <w:sz w:val="28"/>
        </w:rPr>
        <w:t>Предметная область представляет собой B2B-платформу, предоставляющую юридическим лицам и корпоративным командам единый программный интерфейс для работы с AI-моделями разных разработчиков. В рамках предметной области взаимодействуют потенциальная компания-клиент, лицо, принимающее решение со стороны клиента, менеджер и руководитель отдела продаж, администратор компании, разработчик, финансовый сотрудник, менеджер сопровождения, техническая поддержка, администратор платформы, поставщики AI-моделей и платежные сервисы.</w:t>
      </w:r>
    </w:p>
    <w:p w:rsidR="00CE7123" w:rsidRDefault="00000000">
      <w:pPr>
        <w:widowControl/>
        <w:spacing w:line="360" w:lineRule="auto"/>
        <w:ind w:firstLine="709"/>
        <w:jc w:val="both"/>
      </w:pPr>
      <w:r>
        <w:rPr>
          <w:sz w:val="28"/>
        </w:rPr>
        <w:t>До внедрения единой платформы компании, которым требуется несколько AI-моделей, вынуждены подключать поставщиков по отдельности: создавать разные учетные записи и API-ключи, поддерживать отличающиеся форматы интеграции, самостоятельно контролировать лимиты, сопоставлять расходы и обрабатывать недоступность отдельных сервисов. При расширении набора используемых моделей возрастает количество интеграций, финансовых операций и точек отказа. Это затрудняет централизованный контроль затрат и повышает трудозатраты разработчиков и финансовых сотрудников.</w:t>
      </w:r>
    </w:p>
    <w:p w:rsidR="00CE7123" w:rsidRDefault="00000000">
      <w:pPr>
        <w:widowControl/>
        <w:spacing w:line="360" w:lineRule="auto"/>
        <w:ind w:firstLine="709"/>
        <w:jc w:val="both"/>
      </w:pPr>
      <w:r>
        <w:rPr>
          <w:sz w:val="28"/>
        </w:rPr>
        <w:lastRenderedPageBreak/>
        <w:t xml:space="preserve">Со стороны оператора B2B-платформы требуется обеспечить не только техническое выполнение AI-запросов, но и полный жизненный цикл корпоративного клиента. Отдел продаж должен вести </w:t>
      </w:r>
      <w:proofErr w:type="spellStart"/>
      <w:r>
        <w:rPr>
          <w:sz w:val="28"/>
        </w:rPr>
        <w:t>лиды</w:t>
      </w:r>
      <w:proofErr w:type="spellEnd"/>
      <w:r>
        <w:rPr>
          <w:sz w:val="28"/>
        </w:rPr>
        <w:t xml:space="preserve"> и сделки, фиксировать коммуникации с лицами, принимающими решения, проводить квалификацию и формировать коммерческие условия. После продажи необходимо организовать подключение организации, распределение ролей, создание проектов и API-ключей, контроль бюджетов, выставление счетов, поддержку и последующее сопровождение клиента. Без единого информационного контура данные о продажах, использовании сервиса, расчетах и обращениях могут храниться разрозненно, что снижает прозрачность управления клиентом.</w:t>
      </w:r>
    </w:p>
    <w:p w:rsidR="00CE7123" w:rsidRDefault="00000000">
      <w:pPr>
        <w:widowControl/>
        <w:spacing w:line="360" w:lineRule="auto"/>
        <w:ind w:firstLine="709"/>
        <w:jc w:val="both"/>
      </w:pPr>
      <w:r>
        <w:rPr>
          <w:sz w:val="28"/>
        </w:rPr>
        <w:t>В рамках проекта предполагается создать единую корпоративную платформу, которая объединит модуль продаж и ведения клиентской воронки, корпоративный личный кабинет, единый AI API, маршрутизацию запросов, учет использования, биллинг, аналитическую отчетность, мониторинг доступности поставщиков и поддержку. Для каждой организации должны учитываться сотрудники, роли, проекты, API-ключи, доступные модели, лимиты, фактическое использование, начисления, платежи, документы и обращения в поддержку.</w:t>
      </w:r>
    </w:p>
    <w:p w:rsidR="00CE7123" w:rsidRDefault="00000000">
      <w:pPr>
        <w:widowControl/>
        <w:spacing w:line="360" w:lineRule="auto"/>
        <w:ind w:firstLine="709"/>
        <w:jc w:val="both"/>
      </w:pPr>
      <w:r>
        <w:rPr>
          <w:sz w:val="28"/>
        </w:rPr>
        <w:t xml:space="preserve">Поскольку проект рассматривается как новая система, часть количественных показателей принимается как модельная исходная точка для учебного проектирования. До промышленного запуска количество активных корпоративных клиентов системы равно 0. Для ручного B2B-процесса принимается конверсия квалифицированного </w:t>
      </w:r>
      <w:proofErr w:type="spellStart"/>
      <w:r>
        <w:rPr>
          <w:sz w:val="28"/>
        </w:rPr>
        <w:t>лида</w:t>
      </w:r>
      <w:proofErr w:type="spellEnd"/>
      <w:r>
        <w:rPr>
          <w:sz w:val="28"/>
        </w:rPr>
        <w:t xml:space="preserve"> в подключенного клиента около 10 %. Среднее время от согласования подключения до первого успешного API-запроса при разрозненной настройке оценивается в два рабочих дня, переключение существующей интеграции на другого поставщика или модель </w:t>
      </w:r>
      <w:r w:rsidR="004B7EBE">
        <w:rPr>
          <w:sz w:val="28"/>
        </w:rPr>
        <w:t>-</w:t>
      </w:r>
      <w:r>
        <w:rPr>
          <w:sz w:val="28"/>
        </w:rPr>
        <w:t xml:space="preserve"> примерно в четыре часа, а подготовка и сверка </w:t>
      </w:r>
      <w:r>
        <w:rPr>
          <w:sz w:val="28"/>
        </w:rPr>
        <w:lastRenderedPageBreak/>
        <w:t xml:space="preserve">ежемесячной информации по расходам </w:t>
      </w:r>
      <w:r w:rsidR="004B7EBE">
        <w:rPr>
          <w:sz w:val="28"/>
        </w:rPr>
        <w:t>-</w:t>
      </w:r>
      <w:r>
        <w:rPr>
          <w:sz w:val="28"/>
        </w:rPr>
        <w:t xml:space="preserve"> примерно в четыре часа на одного корпоративного клиента.</w:t>
      </w:r>
    </w:p>
    <w:p w:rsidR="00CE7123" w:rsidRDefault="00000000">
      <w:pPr>
        <w:keepNext/>
        <w:widowControl/>
        <w:spacing w:before="120" w:line="360" w:lineRule="auto"/>
      </w:pPr>
      <w:r>
        <w:rPr>
          <w:b/>
          <w:sz w:val="28"/>
        </w:rPr>
        <w:t>2 Возможности бизнеса</w:t>
      </w:r>
    </w:p>
    <w:p w:rsidR="00CE7123" w:rsidRDefault="00000000">
      <w:pPr>
        <w:widowControl/>
        <w:spacing w:line="360" w:lineRule="auto"/>
        <w:ind w:firstLine="709"/>
        <w:jc w:val="both"/>
      </w:pPr>
      <w:r>
        <w:rPr>
          <w:sz w:val="28"/>
        </w:rPr>
        <w:t>Создание единой B2B-платформы позволит предоставить компаниям один канал подключения к нескольким AI-поставщикам и тем самым снизить количество самостоятельных интеграций. Разработчик клиента сможет использовать общий формат запросов и менять доступную модель без построения отдельной инфраструктуры для каждого поставщика. Это сокращает время подключения новых моделей и уменьшает зависимость корпоративного продукта от одного внешнего AI-сервиса.</w:t>
      </w:r>
    </w:p>
    <w:p w:rsidR="00CE7123" w:rsidRDefault="00000000">
      <w:pPr>
        <w:widowControl/>
        <w:spacing w:line="360" w:lineRule="auto"/>
        <w:ind w:firstLine="709"/>
        <w:jc w:val="both"/>
      </w:pPr>
      <w:r>
        <w:rPr>
          <w:sz w:val="28"/>
        </w:rPr>
        <w:t>Централизованная маршрутизация создаст возможность выбирать поставщика для конкретной модели по установленным правилам и использовать резервный маршрут при сбое основного поставщика, если для выбранной модели существует технически совместимая альтернатива. Платформа сможет фиксировать доступность внешних сервисов, ошибки и переключения, что повысит наблюдаемость и управляемость корпоративных AI-интеграций.</w:t>
      </w:r>
    </w:p>
    <w:p w:rsidR="00CE7123" w:rsidRDefault="00000000">
      <w:pPr>
        <w:widowControl/>
        <w:spacing w:line="360" w:lineRule="auto"/>
        <w:ind w:firstLine="709"/>
        <w:jc w:val="both"/>
      </w:pPr>
      <w:r>
        <w:rPr>
          <w:sz w:val="28"/>
        </w:rPr>
        <w:t>Единый учет запросов, токенов и стоимости позволит компании видеть расходы в разрезе организации, проекта и API-ключа. Администратор и финансовый сотрудник смогут задавать лимиты, получать уведомления о приближении к бюджету, контролировать начисления и получать сводные данные за расчетный период. Это создаст прозрачный финансовый контур использования AI и сократит объем ручной сверки данных из нескольких сервисов.</w:t>
      </w:r>
    </w:p>
    <w:p w:rsidR="00CE7123" w:rsidRDefault="00000000">
      <w:pPr>
        <w:widowControl/>
        <w:spacing w:line="360" w:lineRule="auto"/>
        <w:ind w:firstLine="709"/>
        <w:jc w:val="both"/>
      </w:pPr>
      <w:r>
        <w:rPr>
          <w:sz w:val="28"/>
        </w:rPr>
        <w:t xml:space="preserve">Встроенный процесс B2B-продаж позволит системно привлекать новых корпоративных клиентов. Менеджеры смогут фиксировать </w:t>
      </w:r>
      <w:proofErr w:type="spellStart"/>
      <w:r>
        <w:rPr>
          <w:sz w:val="28"/>
        </w:rPr>
        <w:t>лиды</w:t>
      </w:r>
      <w:proofErr w:type="spellEnd"/>
      <w:r>
        <w:rPr>
          <w:sz w:val="28"/>
        </w:rPr>
        <w:t xml:space="preserve">, источник обращения, контактное лицо, потребности, планируемый объем использования, стадию сделки и результаты коммуникаций. Руководитель отдела продаж получит возможность анализировать воронку, конверсию и </w:t>
      </w:r>
      <w:r>
        <w:rPr>
          <w:sz w:val="28"/>
        </w:rPr>
        <w:lastRenderedPageBreak/>
        <w:t>причины потери сделок, а после подключения передавать клиента менеджеру сопровождения без потери накопленного контекста.</w:t>
      </w:r>
    </w:p>
    <w:p w:rsidR="00CE7123" w:rsidRDefault="00000000">
      <w:pPr>
        <w:widowControl/>
        <w:spacing w:line="360" w:lineRule="auto"/>
        <w:ind w:firstLine="709"/>
        <w:jc w:val="both"/>
      </w:pPr>
      <w:r>
        <w:rPr>
          <w:sz w:val="28"/>
        </w:rPr>
        <w:t xml:space="preserve">Корпоративный личный кабинет и ролевая модель позволят одной организации централизованно управлять несколькими сотрудниками и проектами. Разработчикам будет доступна техническая часть интеграции, финансовым сотрудникам </w:t>
      </w:r>
      <w:r w:rsidR="004B7EBE">
        <w:rPr>
          <w:sz w:val="28"/>
        </w:rPr>
        <w:t>-</w:t>
      </w:r>
      <w:r>
        <w:rPr>
          <w:sz w:val="28"/>
        </w:rPr>
        <w:t xml:space="preserve"> расходы и расчеты, администраторам </w:t>
      </w:r>
      <w:r w:rsidR="004B7EBE">
        <w:rPr>
          <w:sz w:val="28"/>
        </w:rPr>
        <w:t>-</w:t>
      </w:r>
      <w:r>
        <w:rPr>
          <w:sz w:val="28"/>
        </w:rPr>
        <w:t xml:space="preserve"> роли, проекты, ключи и лимиты. Такое разграничение снижает риск избыточного доступа и делает платформу пригодной для командного B2B-использования.</w:t>
      </w:r>
    </w:p>
    <w:p w:rsidR="00CE7123" w:rsidRDefault="00000000">
      <w:pPr>
        <w:widowControl/>
        <w:spacing w:line="360" w:lineRule="auto"/>
        <w:ind w:firstLine="709"/>
        <w:jc w:val="both"/>
      </w:pPr>
      <w:r>
        <w:rPr>
          <w:sz w:val="28"/>
        </w:rPr>
        <w:t xml:space="preserve">Поддержка и сопровождение позволят разделить технические и организационные вопросы. Техническая поддержка будет обрабатывать ошибки интеграции, проблемы с API и инциденты доступности, а менеджер сопровождения </w:t>
      </w:r>
      <w:r w:rsidR="004B7EBE">
        <w:rPr>
          <w:sz w:val="28"/>
        </w:rPr>
        <w:t>-</w:t>
      </w:r>
      <w:r>
        <w:rPr>
          <w:sz w:val="28"/>
        </w:rPr>
        <w:t xml:space="preserve"> вопросы условий обслуживания, развития использования и взаимодействия с компанией. История обращений и ключевые показатели клиента должны быть доступны ответственным сотрудникам платформы в едином информационном контуре.</w:t>
      </w:r>
    </w:p>
    <w:p w:rsidR="00CE7123" w:rsidRPr="0067704C" w:rsidRDefault="00000000">
      <w:pPr>
        <w:keepNext/>
        <w:widowControl/>
        <w:spacing w:before="120" w:line="360" w:lineRule="auto"/>
        <w:rPr>
          <w:lang w:val="en-US"/>
        </w:rPr>
      </w:pPr>
      <w:r w:rsidRPr="0067704C">
        <w:rPr>
          <w:b/>
          <w:sz w:val="28"/>
          <w:lang w:val="en-US"/>
        </w:rPr>
        <w:t xml:space="preserve">3 </w:t>
      </w:r>
      <w:r>
        <w:rPr>
          <w:b/>
          <w:sz w:val="28"/>
        </w:rPr>
        <w:t>Бизнес</w:t>
      </w:r>
      <w:r w:rsidRPr="0067704C">
        <w:rPr>
          <w:b/>
          <w:sz w:val="28"/>
          <w:lang w:val="en-US"/>
        </w:rPr>
        <w:t>-</w:t>
      </w:r>
      <w:r>
        <w:rPr>
          <w:b/>
          <w:sz w:val="28"/>
        </w:rPr>
        <w:t>цели</w:t>
      </w:r>
      <w:r w:rsidRPr="0067704C">
        <w:rPr>
          <w:b/>
          <w:sz w:val="28"/>
          <w:lang w:val="en-US"/>
        </w:rPr>
        <w:t xml:space="preserve"> (business objective, BO)</w:t>
      </w:r>
    </w:p>
    <w:p w:rsidR="00CE7123" w:rsidRDefault="00000000">
      <w:pPr>
        <w:widowControl/>
        <w:spacing w:line="360" w:lineRule="auto"/>
        <w:ind w:firstLine="709"/>
        <w:jc w:val="both"/>
      </w:pPr>
      <w:r>
        <w:rPr>
          <w:sz w:val="28"/>
        </w:rPr>
        <w:t>BO-1. Достичь 50 активных корпоративных клиентов в течение 12 месяцев после промышленного запуска платформы. Масштаб: юридические лица, которые завершили подключение и совершали оплачиваемые API-запросы в течение последних 30 дней. Способ измерения: ежемесячный отчет по активным организациям. Показатель в текущем состоянии: 0 клиентов, так как платформа еще не введена в промышленную эксплуатацию. Планируемый показатель: 50 активных компаний. Обязательный показатель: не менее 30 активных компаний.</w:t>
      </w:r>
    </w:p>
    <w:p w:rsidR="00CE7123" w:rsidRDefault="00000000">
      <w:pPr>
        <w:widowControl/>
        <w:spacing w:line="360" w:lineRule="auto"/>
        <w:ind w:firstLine="709"/>
        <w:jc w:val="both"/>
      </w:pPr>
      <w:r>
        <w:rPr>
          <w:sz w:val="28"/>
        </w:rPr>
        <w:t xml:space="preserve">BO-2. Повысить конверсию квалифицированных B2B-лидов в подключенных корпоративных клиентов с модельных 10 % до 25 % в течение 12 месяцев после запуска. Масштаб: </w:t>
      </w:r>
      <w:proofErr w:type="spellStart"/>
      <w:r>
        <w:rPr>
          <w:sz w:val="28"/>
        </w:rPr>
        <w:t>лиды</w:t>
      </w:r>
      <w:proofErr w:type="spellEnd"/>
      <w:r>
        <w:rPr>
          <w:sz w:val="28"/>
        </w:rPr>
        <w:t xml:space="preserve">, прошедшие первичную квалификацию и соответствующие целевому профилю клиента. Способ измерения: ежемесячная аналитика CRM по переходу от стадии </w:t>
      </w:r>
      <w:r>
        <w:rPr>
          <w:sz w:val="28"/>
        </w:rPr>
        <w:lastRenderedPageBreak/>
        <w:t>«квалифицирован» к стадии «подключен». Показатель в текущем состоянии: около 10 %. Планируемый показатель: 25 %. Обязательный показатель: не менее 18 %.</w:t>
      </w:r>
    </w:p>
    <w:p w:rsidR="00CE7123" w:rsidRDefault="00000000">
      <w:pPr>
        <w:widowControl/>
        <w:spacing w:line="360" w:lineRule="auto"/>
        <w:ind w:firstLine="709"/>
        <w:jc w:val="both"/>
      </w:pPr>
      <w:r>
        <w:rPr>
          <w:sz w:val="28"/>
        </w:rPr>
        <w:t>BO-3. Сократить среднее время подключения корпоративного клиента от момента согласования условий до первого успешного API-запроса с двух рабочих дней до 4 часов в течение первых 6 месяцев эксплуатации. Масштаб: организации, предоставившие необходимые реквизиты и технические данные для подключения. Способ измерения: разница между временем перевода сделки на этап подключения и временем первого успешного запроса по корпоративному API-ключу. Показатель в текущем состоянии: до двух рабочих дней. Планируемый показатель: не более 4 часов. Обязательный показатель: не более одного рабочего дня.</w:t>
      </w:r>
    </w:p>
    <w:p w:rsidR="00CE7123" w:rsidRDefault="00000000">
      <w:pPr>
        <w:widowControl/>
        <w:spacing w:line="360" w:lineRule="auto"/>
        <w:ind w:firstLine="709"/>
        <w:jc w:val="both"/>
      </w:pPr>
      <w:r>
        <w:rPr>
          <w:sz w:val="28"/>
        </w:rPr>
        <w:t>BO-4. Сократить среднее время подключения или переключения уже интегрированного проекта на другую доступную AI-модель с модельных 4 часов до 15 минут. Масштаб: случаи, когда целевая модель уже присутствует в каталоге платформы и не требует разработки нового специализированного интерфейса. Способ измерения: время от выбора модели в настройках проекта до первого успешного тестового запроса. Показатель в текущем состоянии: около 4 часов при отдельной интеграции с поставщиком. Планируемый показатель: не более 15 минут. Обязательный показатель: не более 1 часа.</w:t>
      </w:r>
    </w:p>
    <w:p w:rsidR="00CE7123" w:rsidRDefault="00000000">
      <w:pPr>
        <w:widowControl/>
        <w:spacing w:line="360" w:lineRule="auto"/>
        <w:ind w:firstLine="709"/>
        <w:jc w:val="both"/>
      </w:pPr>
      <w:r>
        <w:rPr>
          <w:sz w:val="28"/>
        </w:rPr>
        <w:t>BO-5. Сократить трудозатраты на ежемесячную подготовку, сверку и предоставление данных по использованию и расходам с модельных 4 часов до 1 часа на одного корпоративного клиента в течение 6 месяцев после запуска. Масштаб: операции по сбору сведений о запросах, токенах, стоимости, проектах, начислениях и платежах. Способ измерения: выборочный замер рабочего времени финансового сотрудника и сотрудника платформы. Планируемый показатель: не более 1 часа на клиента за расчетный период. Обязательный показатель: не более 2 часов.</w:t>
      </w:r>
    </w:p>
    <w:p w:rsidR="00CE7123" w:rsidRDefault="00000000">
      <w:pPr>
        <w:widowControl/>
        <w:spacing w:line="360" w:lineRule="auto"/>
        <w:ind w:firstLine="709"/>
        <w:jc w:val="both"/>
      </w:pPr>
      <w:r>
        <w:rPr>
          <w:sz w:val="28"/>
        </w:rPr>
        <w:lastRenderedPageBreak/>
        <w:t>BO-6. Снизить долю неуспешных запросов, вызванных недоступностью основного AI-поставщика, с модельных 3 % до уровня не более 0,5 % для запросов, для которых настроен совместимый резервный маршрут, в течение 6 месяцев эксплуатации. Масштаб: запросы к моделям, имеющим не менее одного разрешенного резервного маршрута. Способ измерения: журнал маршрутизации и ошибок API за месяц. Планируемый показатель: не более 0,5 %. Обязательный показатель: не более 1 %.</w:t>
      </w:r>
    </w:p>
    <w:p w:rsidR="00CE7123" w:rsidRDefault="00000000">
      <w:pPr>
        <w:widowControl/>
        <w:spacing w:line="360" w:lineRule="auto"/>
        <w:ind w:firstLine="709"/>
        <w:jc w:val="both"/>
      </w:pPr>
      <w:r>
        <w:rPr>
          <w:sz w:val="28"/>
        </w:rPr>
        <w:t>BO-7. Обеспечить прозрачный проектный учет не менее 95 % расходов корпоративных клиентов на AI-запросы в течение 6 месяцев после запуска. Масштаб: начисления, которые однозначно связаны с организацией, проектом, API-ключом, моделью и временем выполнения запроса. Способ измерения: ежемесячная сверка записей биллинга и технического журнала использования. Планируемый показатель: не менее 95 % расходов имеют полный набор аналитических признаков. Обязательный показатель: не менее 90 %.</w:t>
      </w:r>
    </w:p>
    <w:p w:rsidR="00CE7123" w:rsidRDefault="00000000">
      <w:pPr>
        <w:keepNext/>
        <w:widowControl/>
        <w:spacing w:before="120" w:line="360" w:lineRule="auto"/>
      </w:pPr>
      <w:r>
        <w:rPr>
          <w:b/>
          <w:sz w:val="28"/>
        </w:rPr>
        <w:t>4 Критерии успеха (</w:t>
      </w:r>
      <w:proofErr w:type="spellStart"/>
      <w:r>
        <w:rPr>
          <w:b/>
          <w:sz w:val="28"/>
        </w:rPr>
        <w:t>measure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of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success</w:t>
      </w:r>
      <w:proofErr w:type="spellEnd"/>
      <w:r>
        <w:rPr>
          <w:b/>
          <w:sz w:val="28"/>
        </w:rPr>
        <w:t>, SM)</w:t>
      </w:r>
    </w:p>
    <w:p w:rsidR="00CE7123" w:rsidRDefault="00000000">
      <w:pPr>
        <w:widowControl/>
        <w:spacing w:line="360" w:lineRule="auto"/>
        <w:ind w:firstLine="709"/>
        <w:jc w:val="both"/>
      </w:pPr>
      <w:r>
        <w:rPr>
          <w:sz w:val="28"/>
        </w:rPr>
        <w:t>SM-1. Доступность единой точки API платформы должна составлять не менее 99,9 % времени в месяц, за исключением заранее согласованных периодов технического обслуживания.</w:t>
      </w:r>
    </w:p>
    <w:p w:rsidR="00CE7123" w:rsidRDefault="00000000">
      <w:pPr>
        <w:widowControl/>
        <w:spacing w:line="360" w:lineRule="auto"/>
        <w:ind w:firstLine="709"/>
        <w:jc w:val="both"/>
      </w:pPr>
      <w:r>
        <w:rPr>
          <w:sz w:val="28"/>
        </w:rPr>
        <w:t>SM-2. Не менее 99,5 % успешно выполненных AI-запросов должны иметь корректную запись учета использования с указанием организации, проекта, API-ключа, модели, объема потребления и рассчитанной стоимости; расхождение итогов технического учета и финансового биллинга за расчетный период не должно превышать 0,5 %.</w:t>
      </w:r>
    </w:p>
    <w:p w:rsidR="00CE7123" w:rsidRDefault="00000000">
      <w:pPr>
        <w:widowControl/>
        <w:spacing w:line="360" w:lineRule="auto"/>
        <w:ind w:firstLine="709"/>
        <w:jc w:val="both"/>
      </w:pPr>
      <w:r>
        <w:rPr>
          <w:sz w:val="28"/>
        </w:rPr>
        <w:t>SM-3. Не менее 95 % инцидентов недоступности поставщика, для которых заранее настроен совместимый резервный маршрут, должны обрабатываться автоматическим переключением без ручного вмешательства администратора платформы.</w:t>
      </w:r>
    </w:p>
    <w:p w:rsidR="00CE7123" w:rsidRDefault="00000000">
      <w:pPr>
        <w:widowControl/>
        <w:spacing w:line="360" w:lineRule="auto"/>
        <w:ind w:firstLine="709"/>
        <w:jc w:val="both"/>
      </w:pPr>
      <w:r>
        <w:rPr>
          <w:sz w:val="28"/>
        </w:rPr>
        <w:lastRenderedPageBreak/>
        <w:t>SM-4. Не менее 90 % активных корпоративных клиентов должны использовать раздельный учет по проектам и хотя бы один механизм контроля бюджета: лимит расходов, пороговое уведомление или ограничение доступных моделей, в течение первых 6 месяцев использования платформы.</w:t>
      </w:r>
    </w:p>
    <w:p w:rsidR="00CE7123" w:rsidRDefault="00000000">
      <w:pPr>
        <w:widowControl/>
        <w:spacing w:line="360" w:lineRule="auto"/>
        <w:ind w:firstLine="709"/>
        <w:jc w:val="both"/>
      </w:pPr>
      <w:r>
        <w:rPr>
          <w:sz w:val="28"/>
        </w:rPr>
        <w:t>SM-5. Не менее 85 % представителей корпоративных клиентов должны оценивать процесс подключения и взаимодействие с поддержкой на 4 или 5 баллов по пятибалльной шкале по итогам опросов в течение первых 12 месяцев эксплуатации.</w:t>
      </w:r>
    </w:p>
    <w:p w:rsidR="00CE7123" w:rsidRDefault="00000000">
      <w:pPr>
        <w:widowControl/>
        <w:spacing w:line="360" w:lineRule="auto"/>
        <w:ind w:firstLine="709"/>
        <w:jc w:val="both"/>
      </w:pPr>
      <w:r>
        <w:rPr>
          <w:sz w:val="28"/>
        </w:rPr>
        <w:t xml:space="preserve">SM-6. Для не менее 95 % критических обращений корпоративных клиентов первичная реакция технической поддержки должна предоставляться не позднее чем через 15 минут в период действия согласованного SLA; для обычных обращений </w:t>
      </w:r>
      <w:r w:rsidR="004B7EBE">
        <w:rPr>
          <w:sz w:val="28"/>
        </w:rPr>
        <w:t>-</w:t>
      </w:r>
      <w:r>
        <w:rPr>
          <w:sz w:val="28"/>
        </w:rPr>
        <w:t xml:space="preserve"> не позднее 4 рабочих часов.</w:t>
      </w:r>
    </w:p>
    <w:p w:rsidR="00CE7123" w:rsidRDefault="00000000">
      <w:pPr>
        <w:widowControl/>
        <w:spacing w:line="360" w:lineRule="auto"/>
        <w:ind w:firstLine="709"/>
        <w:jc w:val="both"/>
      </w:pPr>
      <w:r>
        <w:rPr>
          <w:sz w:val="28"/>
        </w:rPr>
        <w:t>SM-7. Отклонение фактических затрат на реализацию первой промышленной версии от утвержденного бюджета не должно превышать 10 %, а перенос даты промышленного запуска по причинам, зависящим от проектной команды, не должен превышать двух недель.</w:t>
      </w:r>
    </w:p>
    <w:p w:rsidR="00CE7123" w:rsidRDefault="00000000">
      <w:pPr>
        <w:keepNext/>
        <w:widowControl/>
        <w:spacing w:before="120" w:line="360" w:lineRule="auto"/>
      </w:pPr>
      <w:r>
        <w:rPr>
          <w:b/>
          <w:sz w:val="28"/>
        </w:rPr>
        <w:t>5 Видение решения</w:t>
      </w:r>
    </w:p>
    <w:p w:rsidR="00CE7123" w:rsidRDefault="00000000">
      <w:pPr>
        <w:widowControl/>
        <w:spacing w:line="360" w:lineRule="auto"/>
        <w:ind w:firstLine="709"/>
        <w:jc w:val="both"/>
      </w:pPr>
      <w:r>
        <w:rPr>
          <w:sz w:val="28"/>
        </w:rPr>
        <w:t>Для компаний, которым требуется использовать несколько AI-моделей в собственных продуктах и внутренних бизнес-процессах, предлагается единая корпоративная B2B-платформа. Решение должно заменить набор разрозненных подключений единым контуром, в котором организация получает централизованный доступ к моделям разных поставщиков, управляет сотрудниками, проектами, ключами, бюджетами и расчетами, а оператор платформы управляет продажами, подключением, маршрутизацией, поддержкой и сопровождением клиентов.</w:t>
      </w:r>
    </w:p>
    <w:p w:rsidR="00CE7123" w:rsidRDefault="00000000">
      <w:pPr>
        <w:widowControl/>
        <w:spacing w:line="360" w:lineRule="auto"/>
        <w:ind w:firstLine="709"/>
        <w:jc w:val="both"/>
      </w:pPr>
      <w:r>
        <w:rPr>
          <w:sz w:val="28"/>
        </w:rPr>
        <w:t xml:space="preserve">Главной целью решения является создание управляемого полного цикла работы с корпоративным клиентом: от появления потенциальной компании в воронке продаж и переговоров с лицом, принимающим решение, до подключения, регулярного использования AI API, учета расходов, оплаты, </w:t>
      </w:r>
      <w:r>
        <w:rPr>
          <w:sz w:val="28"/>
        </w:rPr>
        <w:lastRenderedPageBreak/>
        <w:t>технической поддержки и развития действующего клиента. Техническая часть платформы должна быть связана с коммерческой и сервисной частью, чтобы данные о клиенте не терялись при переходе между подразделениями.</w:t>
      </w:r>
    </w:p>
    <w:p w:rsidR="00CE7123" w:rsidRDefault="00000000">
      <w:pPr>
        <w:widowControl/>
        <w:spacing w:line="360" w:lineRule="auto"/>
        <w:ind w:firstLine="709"/>
        <w:jc w:val="both"/>
      </w:pPr>
      <w:r>
        <w:rPr>
          <w:sz w:val="28"/>
        </w:rPr>
        <w:t>Платформа должна обладать следующими основными функциями:</w:t>
      </w:r>
    </w:p>
    <w:p w:rsidR="00CE7123" w:rsidRDefault="00000000">
      <w:pPr>
        <w:widowControl/>
        <w:spacing w:line="360" w:lineRule="auto"/>
        <w:ind w:firstLine="709"/>
        <w:jc w:val="both"/>
      </w:pPr>
      <w:r>
        <w:rPr>
          <w:sz w:val="28"/>
        </w:rPr>
        <w:t xml:space="preserve">1. Управление продажами и воронкой: регистрация потенциальных компаний и контактных лиц, квалификация </w:t>
      </w:r>
      <w:proofErr w:type="spellStart"/>
      <w:r>
        <w:rPr>
          <w:sz w:val="28"/>
        </w:rPr>
        <w:t>лидов</w:t>
      </w:r>
      <w:proofErr w:type="spellEnd"/>
      <w:r>
        <w:rPr>
          <w:sz w:val="28"/>
        </w:rPr>
        <w:t>, фиксация потребностей, стадий сделки, коммуникаций, коммерческих условий и причин потери сделки; формирование аналитики для руководителя отдела продаж.</w:t>
      </w:r>
    </w:p>
    <w:p w:rsidR="00CE7123" w:rsidRDefault="00000000">
      <w:pPr>
        <w:widowControl/>
        <w:spacing w:line="360" w:lineRule="auto"/>
        <w:ind w:firstLine="709"/>
        <w:jc w:val="both"/>
      </w:pPr>
      <w:r>
        <w:rPr>
          <w:sz w:val="28"/>
        </w:rPr>
        <w:t>2. Управление корпоративными организациями: создание карточки компании, хранение реквизитов и статуса обслуживания, назначение тарифа или индивидуальных условий, фиксация ответственных менеджеров и параметров договора.</w:t>
      </w:r>
    </w:p>
    <w:p w:rsidR="00CE7123" w:rsidRDefault="00000000">
      <w:pPr>
        <w:widowControl/>
        <w:spacing w:line="360" w:lineRule="auto"/>
        <w:ind w:firstLine="709"/>
        <w:jc w:val="both"/>
      </w:pPr>
      <w:r>
        <w:rPr>
          <w:sz w:val="28"/>
        </w:rPr>
        <w:t>3. Управление сотрудниками и ролями: приглашение пользователей в организацию, назначение ролей и разграничение доступа к проектам, API-ключам, финансовой информации и административным настройкам.</w:t>
      </w:r>
    </w:p>
    <w:p w:rsidR="00CE7123" w:rsidRDefault="00000000">
      <w:pPr>
        <w:widowControl/>
        <w:spacing w:line="360" w:lineRule="auto"/>
        <w:ind w:firstLine="709"/>
        <w:jc w:val="both"/>
      </w:pPr>
      <w:r>
        <w:rPr>
          <w:sz w:val="28"/>
        </w:rPr>
        <w:t>4. Управление проектами и API-ключами: создание отдельных проектов для продуктов, подразделений или сред, выпуск и отзыв ключей, настройка доступных моделей и ограничений использования.</w:t>
      </w:r>
    </w:p>
    <w:p w:rsidR="00CE7123" w:rsidRDefault="00000000">
      <w:pPr>
        <w:widowControl/>
        <w:spacing w:line="360" w:lineRule="auto"/>
        <w:ind w:firstLine="709"/>
        <w:jc w:val="both"/>
      </w:pPr>
      <w:r>
        <w:rPr>
          <w:sz w:val="28"/>
        </w:rPr>
        <w:t>5. Каталог AI-моделей: отображение доступных моделей, их назначения, возможностей, ограничений и стоимости использования, а также доступности конкретной модели для выбранного тарифа и организации.</w:t>
      </w:r>
    </w:p>
    <w:p w:rsidR="00CE7123" w:rsidRDefault="00000000">
      <w:pPr>
        <w:widowControl/>
        <w:spacing w:line="360" w:lineRule="auto"/>
        <w:ind w:firstLine="709"/>
        <w:jc w:val="both"/>
      </w:pPr>
      <w:r>
        <w:rPr>
          <w:sz w:val="28"/>
        </w:rPr>
        <w:t>6. Единая точка AI API: прием запросов в согласованном формате, проверка ключа, организации, проекта, прав и лимитов, определение целевой модели и передача запроса подходящему поставщику.</w:t>
      </w:r>
    </w:p>
    <w:p w:rsidR="00CE7123" w:rsidRDefault="00000000">
      <w:pPr>
        <w:widowControl/>
        <w:spacing w:line="360" w:lineRule="auto"/>
        <w:ind w:firstLine="709"/>
        <w:jc w:val="both"/>
      </w:pPr>
      <w:r>
        <w:rPr>
          <w:sz w:val="28"/>
        </w:rPr>
        <w:t>7. Маршрутизация и отказоустойчивость: выбор допустимого маршрута к модели, контроль состояния поставщиков, фиксация ошибок и использование резервного маршрута при его наличии и совместимости.</w:t>
      </w:r>
    </w:p>
    <w:p w:rsidR="00CE7123" w:rsidRDefault="00000000">
      <w:pPr>
        <w:widowControl/>
        <w:spacing w:line="360" w:lineRule="auto"/>
        <w:ind w:firstLine="709"/>
        <w:jc w:val="both"/>
      </w:pPr>
      <w:r>
        <w:rPr>
          <w:sz w:val="28"/>
        </w:rPr>
        <w:t xml:space="preserve">8. Учет использования и управление бюджетами: фиксация количества запросов, токенов, стоимости и времени выполнения в разрезе организации, </w:t>
      </w:r>
      <w:r>
        <w:rPr>
          <w:sz w:val="28"/>
        </w:rPr>
        <w:lastRenderedPageBreak/>
        <w:t>проекта, ключа и модели; лимиты расходов, пороговые уведомления и правила ограничения запросов.</w:t>
      </w:r>
    </w:p>
    <w:p w:rsidR="00CE7123" w:rsidRDefault="00000000">
      <w:pPr>
        <w:widowControl/>
        <w:spacing w:line="360" w:lineRule="auto"/>
        <w:ind w:firstLine="709"/>
        <w:jc w:val="both"/>
      </w:pPr>
      <w:r>
        <w:rPr>
          <w:sz w:val="28"/>
        </w:rPr>
        <w:t>9. Корпоративный биллинг и документы: расчет стоимости услуг за расчетный период, учет платежей и задолженности, подготовка счетов и сводных данных для финансового учета, история начислений и расчетов.</w:t>
      </w:r>
    </w:p>
    <w:p w:rsidR="00CE7123" w:rsidRDefault="00000000">
      <w:pPr>
        <w:widowControl/>
        <w:spacing w:line="360" w:lineRule="auto"/>
        <w:ind w:firstLine="709"/>
        <w:jc w:val="both"/>
      </w:pPr>
      <w:r>
        <w:rPr>
          <w:sz w:val="28"/>
        </w:rPr>
        <w:t>10. Мониторинг и аналитика: показатели доступности поставщиков, объем запросов, расходы, динамика использования, ошибки, переключения маршрутов, состояние бюджетов и ключевые показатели корпоративного клиента.</w:t>
      </w:r>
    </w:p>
    <w:p w:rsidR="00CE7123" w:rsidRDefault="00000000">
      <w:pPr>
        <w:widowControl/>
        <w:spacing w:line="360" w:lineRule="auto"/>
        <w:ind w:firstLine="709"/>
        <w:jc w:val="both"/>
      </w:pPr>
      <w:r>
        <w:rPr>
          <w:sz w:val="28"/>
        </w:rPr>
        <w:t>11. Техническая поддержка и SLA: регистрация обращений, классификация по приоритету, назначение ответственного, контроль времени реакции и решения, хранение истории коммуникаций и связанных технических событий.</w:t>
      </w:r>
    </w:p>
    <w:p w:rsidR="00CE7123" w:rsidRDefault="00000000">
      <w:pPr>
        <w:widowControl/>
        <w:spacing w:line="360" w:lineRule="auto"/>
        <w:ind w:firstLine="709"/>
        <w:jc w:val="both"/>
      </w:pPr>
      <w:r>
        <w:rPr>
          <w:sz w:val="28"/>
        </w:rPr>
        <w:t>12. Сопровождение действующих клиентов: ведение ответственного менеджера, фиксация организационных вопросов, истории взаимодействия, изменений условий и возможностей расширения использования платформы.</w:t>
      </w:r>
    </w:p>
    <w:p w:rsidR="00CE7123" w:rsidRDefault="00000000">
      <w:pPr>
        <w:widowControl/>
        <w:spacing w:line="360" w:lineRule="auto"/>
        <w:ind w:firstLine="709"/>
        <w:jc w:val="both"/>
      </w:pPr>
      <w:r>
        <w:rPr>
          <w:sz w:val="28"/>
        </w:rPr>
        <w:t>13. Администрирование платформы: подключение и отключение AI-поставщиков и моделей, настройка тарифов, цен, правил маршрутизации, резервных маршрутов, системных лимитов и статусов доступности.</w:t>
      </w:r>
    </w:p>
    <w:p w:rsidR="00CE7123" w:rsidRDefault="00000000">
      <w:pPr>
        <w:widowControl/>
        <w:spacing w:line="360" w:lineRule="auto"/>
        <w:ind w:firstLine="709"/>
        <w:jc w:val="both"/>
      </w:pPr>
      <w:r>
        <w:rPr>
          <w:sz w:val="28"/>
        </w:rPr>
        <w:t>14. Безопасность и аудит: изоляция данных организаций, разграничение прав, защищенное хранение секретов и API-ключей, журналирование административных действий и событий доступа, а также контроль несанкционированного использования.</w:t>
      </w:r>
    </w:p>
    <w:p w:rsidR="00CE7123" w:rsidRDefault="00000000">
      <w:pPr>
        <w:widowControl/>
        <w:spacing w:line="360" w:lineRule="auto"/>
        <w:ind w:firstLine="709"/>
        <w:jc w:val="both"/>
      </w:pPr>
      <w:r>
        <w:rPr>
          <w:sz w:val="28"/>
        </w:rPr>
        <w:t xml:space="preserve">В границы проекта не входит разработка собственных AI-моделей или обучение моделей поставщиков. Платформа выступает промежуточным корпоративным сервисом доступа и управления. Резервная маршрутизация не должна трактоваться как гарантия полной взаимозаменяемости моделей: переключение возможно только там, где существует технически допустимый маршрут и его использование разрешено настройками платформы и клиента. </w:t>
      </w:r>
      <w:r>
        <w:rPr>
          <w:sz w:val="28"/>
        </w:rPr>
        <w:lastRenderedPageBreak/>
        <w:t>Платформа также не заменяет внутренние информационные системы компании-клиента, а предоставляет им API и средства администрирования.</w:t>
      </w:r>
    </w:p>
    <w:p w:rsidR="00CE7123" w:rsidRPr="004B7EBE" w:rsidRDefault="00000000">
      <w:pPr>
        <w:keepNext/>
        <w:widowControl/>
        <w:spacing w:before="120" w:line="360" w:lineRule="auto"/>
        <w:rPr>
          <w:lang w:val="en-US"/>
        </w:rPr>
      </w:pPr>
      <w:r w:rsidRPr="004B7EBE">
        <w:rPr>
          <w:b/>
          <w:sz w:val="28"/>
          <w:lang w:val="en-US"/>
        </w:rPr>
        <w:t xml:space="preserve">6 </w:t>
      </w:r>
      <w:r>
        <w:rPr>
          <w:b/>
          <w:sz w:val="28"/>
        </w:rPr>
        <w:t>Бизнес</w:t>
      </w:r>
      <w:r w:rsidRPr="004B7EBE">
        <w:rPr>
          <w:b/>
          <w:sz w:val="28"/>
          <w:lang w:val="en-US"/>
        </w:rPr>
        <w:t>-</w:t>
      </w:r>
      <w:r>
        <w:rPr>
          <w:b/>
          <w:sz w:val="28"/>
        </w:rPr>
        <w:t>риски</w:t>
      </w:r>
      <w:r w:rsidRPr="004B7EBE">
        <w:rPr>
          <w:b/>
          <w:sz w:val="28"/>
          <w:lang w:val="en-US"/>
        </w:rPr>
        <w:t xml:space="preserve"> (business risks, RI)</w:t>
      </w:r>
    </w:p>
    <w:p w:rsidR="00CE7123" w:rsidRDefault="00000000">
      <w:pPr>
        <w:widowControl/>
        <w:spacing w:line="360" w:lineRule="auto"/>
        <w:ind w:firstLine="709"/>
        <w:jc w:val="both"/>
      </w:pPr>
      <w:r>
        <w:rPr>
          <w:sz w:val="28"/>
        </w:rPr>
        <w:t>RI-1. Зависимость от внешних AI-поставщиков. Изменение API, правил доступа, лимитов или прекращение обслуживания со стороны поставщика может сделать отдельные модели временно или постоянно недоступными. Последствия: нарушение работы клиентских интеграций, дополнительные затраты на доработку маршрутов и репутационные потери. Меры снижения: абстрагирование интерфейса платформы от конкретного провайдера, мониторинг изменений API, наличие нескольких поставщиков и резервных маршрутов для критичных моделей. Вероятность = 0,5, ущерб = 9.</w:t>
      </w:r>
    </w:p>
    <w:p w:rsidR="00CE7123" w:rsidRDefault="00000000">
      <w:pPr>
        <w:widowControl/>
        <w:spacing w:line="360" w:lineRule="auto"/>
        <w:ind w:firstLine="709"/>
        <w:jc w:val="both"/>
      </w:pPr>
      <w:r>
        <w:rPr>
          <w:sz w:val="28"/>
        </w:rPr>
        <w:t>RI-2. Риски информационной безопасности. Утечка корпоративных API-ключей, данных организаций или содержимого запросов может привести к финансовым и репутационным потерям. Меры снижения: разграничение доступа по ролям, шифрование каналов связи и секретов, минимизация хранения чувствительных данных, журналирование административных действий, ротация ключей и регулярный аудит безопасности. Вероятность = 0,3, ущерб = 10.</w:t>
      </w:r>
    </w:p>
    <w:p w:rsidR="00CE7123" w:rsidRDefault="00000000">
      <w:pPr>
        <w:widowControl/>
        <w:spacing w:line="360" w:lineRule="auto"/>
        <w:ind w:firstLine="709"/>
        <w:jc w:val="both"/>
      </w:pPr>
      <w:r>
        <w:rPr>
          <w:sz w:val="28"/>
        </w:rPr>
        <w:t xml:space="preserve">RI-3. Ошибки учета и биллинга. Некорректное определение числа токенов, цены модели, маршрута или проекта может привести к неправильным начислениям и спорам с корпоративными клиентами. Меры снижения: единый журнал использования, автоматизированная сверка технических и финансовых записей, </w:t>
      </w:r>
      <w:proofErr w:type="spellStart"/>
      <w:r>
        <w:rPr>
          <w:sz w:val="28"/>
        </w:rPr>
        <w:t>версионирование</w:t>
      </w:r>
      <w:proofErr w:type="spellEnd"/>
      <w:r>
        <w:rPr>
          <w:sz w:val="28"/>
        </w:rPr>
        <w:t xml:space="preserve"> тарифов, тестирование расчетных правил и ручная процедура корректировки спорных начислений. Вероятность = 0,3, ущерб = 9.</w:t>
      </w:r>
    </w:p>
    <w:p w:rsidR="00CE7123" w:rsidRDefault="00000000">
      <w:pPr>
        <w:widowControl/>
        <w:spacing w:line="360" w:lineRule="auto"/>
        <w:ind w:firstLine="709"/>
        <w:jc w:val="both"/>
      </w:pPr>
      <w:r>
        <w:rPr>
          <w:sz w:val="28"/>
        </w:rPr>
        <w:t xml:space="preserve">RI-4. Изменение закупочной стоимости AI-моделей. Повышение цен поставщиков, изменение валютных условий или структуры тарификации может снизить маржинальность платформы. Меры снижения: регулярный пересмотр экономики маршрутов, хранение версий закупочных и клиентских </w:t>
      </w:r>
      <w:r>
        <w:rPr>
          <w:sz w:val="28"/>
        </w:rPr>
        <w:lastRenderedPageBreak/>
        <w:t>тарифов, использование нескольких поставщиков и уведомление клиентов об изменениях условий в соответствии с договором. Вероятность = 0,4, ущерб = 8.</w:t>
      </w:r>
    </w:p>
    <w:p w:rsidR="00CE7123" w:rsidRDefault="00000000">
      <w:pPr>
        <w:widowControl/>
        <w:spacing w:line="360" w:lineRule="auto"/>
        <w:ind w:firstLine="709"/>
        <w:jc w:val="both"/>
      </w:pPr>
      <w:r>
        <w:rPr>
          <w:sz w:val="28"/>
        </w:rPr>
        <w:t xml:space="preserve">RI-5. Низкая эффективность B2B-продаж. Длинный цикл согласования, требования корпоративных служб безопасности и закупок или недостаточная ценность продукта для целевых компаний могут замедлить набор активных клиентов. Меры снижения: формализация целевого профиля клиента, квалификация </w:t>
      </w:r>
      <w:proofErr w:type="spellStart"/>
      <w:r>
        <w:rPr>
          <w:sz w:val="28"/>
        </w:rPr>
        <w:t>лидов</w:t>
      </w:r>
      <w:proofErr w:type="spellEnd"/>
      <w:r>
        <w:rPr>
          <w:sz w:val="28"/>
        </w:rPr>
        <w:t>, демонстрационный доступ, фиксация причин отказа в CRM, сегментация предложений и анализ конверсии по этапам. Вероятность = 0,4, ущерб = 8.</w:t>
      </w:r>
    </w:p>
    <w:p w:rsidR="00CE7123" w:rsidRDefault="00000000">
      <w:pPr>
        <w:widowControl/>
        <w:spacing w:line="360" w:lineRule="auto"/>
        <w:ind w:firstLine="709"/>
        <w:jc w:val="both"/>
      </w:pPr>
      <w:r>
        <w:rPr>
          <w:sz w:val="28"/>
        </w:rPr>
        <w:t>RI-6. Ограниченная совместимость резервных маршрутов. Разные поставщики и модели могут поддерживать несовпадающие параметры, форматы и возможности, поэтому автоматическое переключение не всегда возможно. Последствия: часть инцидентов останется без автоматического резервирования. Меры снижения: хранение матрицы совместимости, предварительное тестирование маршрутов, явная маркировка поддерживаемых возможностей и запрет автоматического переключения для несовместимых сценариев. Вероятность = 0,4, ущерб = 7.</w:t>
      </w:r>
    </w:p>
    <w:p w:rsidR="00CE7123" w:rsidRDefault="00000000">
      <w:pPr>
        <w:widowControl/>
        <w:spacing w:line="360" w:lineRule="auto"/>
        <w:ind w:firstLine="709"/>
        <w:jc w:val="both"/>
      </w:pPr>
      <w:r>
        <w:rPr>
          <w:sz w:val="28"/>
        </w:rPr>
        <w:t>RI-7. Недостаточная производительность и масштабируемость. Рост числа клиентов и параллельных запросов может вызвать увеличение задержек или недоступность единой точки API. Меры снижения: нагрузочное тестирование, горизонтальное масштабирование, ограничение частоты запросов, очереди и мониторинг ключевых показателей производительности. Вероятность = 0,3, ущерб = 8.</w:t>
      </w:r>
    </w:p>
    <w:p w:rsidR="00CE7123" w:rsidRDefault="00000000">
      <w:pPr>
        <w:widowControl/>
        <w:spacing w:line="360" w:lineRule="auto"/>
        <w:ind w:firstLine="709"/>
        <w:jc w:val="both"/>
      </w:pPr>
      <w:r>
        <w:rPr>
          <w:sz w:val="28"/>
        </w:rPr>
        <w:t xml:space="preserve">RI-8. Правовые и договорные ограничения на обработку корпоративных данных. Клиенты могут передавать через AI-запросы сведения, для которых действуют внутренние или внешние ограничения. Несоответствие условиям обработки может ограничить использование отдельных поставщиков. Меры снижения: договорное определение допустимых сценариев, информирование </w:t>
      </w:r>
      <w:r>
        <w:rPr>
          <w:sz w:val="28"/>
        </w:rPr>
        <w:lastRenderedPageBreak/>
        <w:t>о маршрутах обработки, настройка разрешенных моделей и поставщиков для организации, минимизация хранения содержимого запросов и привлечение юридических специалистов при формировании условий обслуживания. Вероятность = 0,3, ущерб = 9.</w:t>
      </w:r>
    </w:p>
    <w:p w:rsidR="00CE7123" w:rsidRDefault="00000000">
      <w:pPr>
        <w:keepNext/>
        <w:widowControl/>
        <w:spacing w:before="120" w:line="360" w:lineRule="auto"/>
      </w:pPr>
      <w:r>
        <w:rPr>
          <w:b/>
          <w:sz w:val="28"/>
        </w:rPr>
        <w:t>7 Предположения и зависимости (</w:t>
      </w:r>
      <w:proofErr w:type="spellStart"/>
      <w:r>
        <w:rPr>
          <w:b/>
          <w:sz w:val="28"/>
        </w:rPr>
        <w:t>assumptions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and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dependencies</w:t>
      </w:r>
      <w:proofErr w:type="spellEnd"/>
      <w:r>
        <w:rPr>
          <w:b/>
          <w:sz w:val="28"/>
        </w:rPr>
        <w:t xml:space="preserve">, AS </w:t>
      </w:r>
      <w:proofErr w:type="spellStart"/>
      <w:r>
        <w:rPr>
          <w:b/>
          <w:sz w:val="28"/>
        </w:rPr>
        <w:t>and</w:t>
      </w:r>
      <w:proofErr w:type="spellEnd"/>
      <w:r>
        <w:rPr>
          <w:b/>
          <w:sz w:val="28"/>
        </w:rPr>
        <w:t xml:space="preserve"> DE)</w:t>
      </w:r>
    </w:p>
    <w:p w:rsidR="00CE7123" w:rsidRDefault="00000000">
      <w:pPr>
        <w:keepNext/>
        <w:widowControl/>
        <w:spacing w:before="60" w:line="360" w:lineRule="auto"/>
      </w:pPr>
      <w:r>
        <w:rPr>
          <w:b/>
          <w:sz w:val="28"/>
        </w:rPr>
        <w:t>7.1 Предположения</w:t>
      </w:r>
    </w:p>
    <w:p w:rsidR="00CE7123" w:rsidRDefault="00000000">
      <w:pPr>
        <w:widowControl/>
        <w:spacing w:line="360" w:lineRule="auto"/>
        <w:ind w:firstLine="709"/>
        <w:jc w:val="both"/>
      </w:pPr>
      <w:r>
        <w:rPr>
          <w:sz w:val="28"/>
        </w:rPr>
        <w:t>AS-1. Предполагается, что внешние AI-поставщики предоставляют программные интерфейсы и коммерческие условия, позволяющие платформе отправлять запросы от корпоративных клиентов и получать сведения, необходимые для учета использования.</w:t>
      </w:r>
    </w:p>
    <w:p w:rsidR="00CE7123" w:rsidRDefault="00000000">
      <w:pPr>
        <w:widowControl/>
        <w:spacing w:line="360" w:lineRule="auto"/>
        <w:ind w:firstLine="709"/>
        <w:jc w:val="both"/>
      </w:pPr>
      <w:r>
        <w:rPr>
          <w:sz w:val="28"/>
        </w:rPr>
        <w:t>AS-2. Предполагается, что корпоративные клиенты имеют сотрудников с достаточной технической квалификацией для интеграции по API и самостоятельного управления проектами и ключами после первичного подключения.</w:t>
      </w:r>
    </w:p>
    <w:p w:rsidR="00CE7123" w:rsidRDefault="00000000">
      <w:pPr>
        <w:widowControl/>
        <w:spacing w:line="360" w:lineRule="auto"/>
        <w:ind w:firstLine="709"/>
        <w:jc w:val="both"/>
      </w:pPr>
      <w:r>
        <w:rPr>
          <w:sz w:val="28"/>
        </w:rPr>
        <w:t>AS-3. Предполагается, что для части востребованных моделей существует более одного допустимого маршрута или технически совместимая альтернатива; для моделей без альтернативы отказоустойчивость будет ограничена доступностью единственного поставщика.</w:t>
      </w:r>
    </w:p>
    <w:p w:rsidR="00CE7123" w:rsidRDefault="00000000">
      <w:pPr>
        <w:widowControl/>
        <w:spacing w:line="360" w:lineRule="auto"/>
        <w:ind w:firstLine="709"/>
        <w:jc w:val="both"/>
      </w:pPr>
      <w:r>
        <w:rPr>
          <w:sz w:val="28"/>
        </w:rPr>
        <w:t>AS-4. Предполагается, что компании-клиенты готовы централизовать через платформу часть использования AI-моделей в обмен на единый интерфейс, прозрачный учет расходов и возможность управления доступом.</w:t>
      </w:r>
    </w:p>
    <w:p w:rsidR="00CE7123" w:rsidRDefault="00000000">
      <w:pPr>
        <w:widowControl/>
        <w:spacing w:line="360" w:lineRule="auto"/>
        <w:ind w:firstLine="709"/>
        <w:jc w:val="both"/>
      </w:pPr>
      <w:r>
        <w:rPr>
          <w:sz w:val="28"/>
        </w:rPr>
        <w:t>AS-5. Предполагается, что сотрудники отдела продаж, сопровождения, финансового блока, технической поддержки и администраторы будут использовать систему как основной источник актуальных данных по корпоративному клиенту в пределах своих ролей.</w:t>
      </w:r>
    </w:p>
    <w:p w:rsidR="00CE7123" w:rsidRDefault="00000000">
      <w:pPr>
        <w:widowControl/>
        <w:spacing w:line="360" w:lineRule="auto"/>
        <w:ind w:firstLine="709"/>
        <w:jc w:val="both"/>
      </w:pPr>
      <w:r>
        <w:rPr>
          <w:sz w:val="28"/>
        </w:rPr>
        <w:t>AS-6. Предполагается, что поставщики предоставляют достаточную информацию о фактическом использовании запросов для последующей сверки и формирования корректного клиентского биллинга.</w:t>
      </w:r>
    </w:p>
    <w:p w:rsidR="00CE7123" w:rsidRDefault="00000000">
      <w:pPr>
        <w:keepNext/>
        <w:widowControl/>
        <w:spacing w:before="60" w:line="360" w:lineRule="auto"/>
      </w:pPr>
      <w:r>
        <w:rPr>
          <w:b/>
          <w:sz w:val="28"/>
        </w:rPr>
        <w:lastRenderedPageBreak/>
        <w:t>7.2 Зависимости</w:t>
      </w:r>
    </w:p>
    <w:p w:rsidR="00CE7123" w:rsidRDefault="00000000">
      <w:pPr>
        <w:widowControl/>
        <w:spacing w:line="360" w:lineRule="auto"/>
        <w:ind w:firstLine="709"/>
        <w:jc w:val="both"/>
      </w:pPr>
      <w:r>
        <w:rPr>
          <w:sz w:val="28"/>
        </w:rPr>
        <w:t>DE-1. Запуск и состав каталога моделей зависят от наличия действующих учетных записей, коммерческого доступа и технически стабильных API у внешних AI-поставщиков.</w:t>
      </w:r>
    </w:p>
    <w:p w:rsidR="00CE7123" w:rsidRDefault="00000000">
      <w:pPr>
        <w:widowControl/>
        <w:spacing w:line="360" w:lineRule="auto"/>
        <w:ind w:firstLine="709"/>
        <w:jc w:val="both"/>
      </w:pPr>
      <w:r>
        <w:rPr>
          <w:sz w:val="28"/>
        </w:rPr>
        <w:t>DE-2. Корректность финансового контура зависит от интеграции с платежными или банковскими сервисами, правил приема платежей и возможности формировать необходимые расчетные документы для корпоративных клиентов.</w:t>
      </w:r>
    </w:p>
    <w:p w:rsidR="00CE7123" w:rsidRDefault="00000000">
      <w:pPr>
        <w:widowControl/>
        <w:spacing w:line="360" w:lineRule="auto"/>
        <w:ind w:firstLine="709"/>
        <w:jc w:val="both"/>
      </w:pPr>
      <w:r>
        <w:rPr>
          <w:sz w:val="28"/>
        </w:rPr>
        <w:t>DE-3. Доступность платформы зависит от вычислительной инфраструктуры, сетевых каналов, системы хранения данных, мониторинга и резервного копирования, используемых для работы единой точки API и личного кабинета.</w:t>
      </w:r>
    </w:p>
    <w:p w:rsidR="00CE7123" w:rsidRDefault="00000000">
      <w:pPr>
        <w:widowControl/>
        <w:spacing w:line="360" w:lineRule="auto"/>
        <w:ind w:firstLine="709"/>
        <w:jc w:val="both"/>
      </w:pPr>
      <w:r>
        <w:rPr>
          <w:sz w:val="28"/>
        </w:rPr>
        <w:t xml:space="preserve">DE-4. Эффективность процесса продаж зависит от наличия актуального источника данных о </w:t>
      </w:r>
      <w:proofErr w:type="spellStart"/>
      <w:r>
        <w:rPr>
          <w:sz w:val="28"/>
        </w:rPr>
        <w:t>лидах</w:t>
      </w:r>
      <w:proofErr w:type="spellEnd"/>
      <w:r>
        <w:rPr>
          <w:sz w:val="28"/>
        </w:rPr>
        <w:t xml:space="preserve"> и контактах, дисциплины ведения CRM и своевременного перехода информации от отдела продаж к подключению и сопровождению.</w:t>
      </w:r>
    </w:p>
    <w:p w:rsidR="00CE7123" w:rsidRDefault="00000000">
      <w:pPr>
        <w:widowControl/>
        <w:spacing w:line="360" w:lineRule="auto"/>
        <w:ind w:firstLine="709"/>
        <w:jc w:val="both"/>
      </w:pPr>
      <w:r>
        <w:rPr>
          <w:sz w:val="28"/>
        </w:rPr>
        <w:t>DE-5. Промышленный запуск зависит от успешного завершения функционального, интеграционного, нагрузочного и приемочного тестирования, включая проверку биллинга, ролевой модели, ограничений бюджета и резервной маршрутизации.</w:t>
      </w:r>
    </w:p>
    <w:p w:rsidR="00CE7123" w:rsidRDefault="00000000">
      <w:pPr>
        <w:widowControl/>
        <w:spacing w:line="360" w:lineRule="auto"/>
        <w:ind w:firstLine="709"/>
        <w:jc w:val="both"/>
      </w:pPr>
      <w:r>
        <w:rPr>
          <w:sz w:val="28"/>
        </w:rPr>
        <w:t xml:space="preserve">DE-6. Выполнение заявленных показателей поддержки зависит от формирования службы технической поддержки, правил </w:t>
      </w:r>
      <w:proofErr w:type="spellStart"/>
      <w:r>
        <w:rPr>
          <w:sz w:val="28"/>
        </w:rPr>
        <w:t>приоритизации</w:t>
      </w:r>
      <w:proofErr w:type="spellEnd"/>
      <w:r>
        <w:rPr>
          <w:sz w:val="28"/>
        </w:rPr>
        <w:t xml:space="preserve"> обращений, графика работы и согласованных с клиентами уровней SLA.</w:t>
      </w:r>
    </w:p>
    <w:p w:rsidR="00CE7123" w:rsidRDefault="00000000">
      <w:pPr>
        <w:widowControl/>
        <w:spacing w:line="360" w:lineRule="auto"/>
        <w:ind w:firstLine="709"/>
        <w:jc w:val="both"/>
      </w:pPr>
      <w:r>
        <w:rPr>
          <w:sz w:val="28"/>
        </w:rPr>
        <w:t>DE-7. Использование отдельных моделей корпоративными клиентами зависит от договорных условий, требований информационной безопасности клиента и допустимости передачи данных конкретному внешнему поставщику.</w:t>
      </w:r>
    </w:p>
    <w:p w:rsidR="00CE7123" w:rsidRDefault="00000000">
      <w:pPr>
        <w:keepNext/>
        <w:widowControl/>
        <w:spacing w:before="120" w:line="360" w:lineRule="auto"/>
        <w:jc w:val="center"/>
      </w:pPr>
      <w:r>
        <w:rPr>
          <w:b/>
          <w:sz w:val="28"/>
        </w:rPr>
        <w:lastRenderedPageBreak/>
        <w:t>ЗАКЛЮЧЕНИЕ</w:t>
      </w:r>
    </w:p>
    <w:p w:rsidR="00CE7123" w:rsidRDefault="00000000">
      <w:pPr>
        <w:widowControl/>
        <w:spacing w:line="360" w:lineRule="auto"/>
        <w:ind w:firstLine="709"/>
        <w:jc w:val="both"/>
      </w:pPr>
      <w:r>
        <w:rPr>
          <w:sz w:val="28"/>
        </w:rPr>
        <w:t>В ходе выполнения практической работы сформирована концепция бизнес-требований для корпоративной B2B-платформы единого доступа к AI-моделям. На основании предметной области, описанной в практической работе № 1, определены исходные проблемы разрозненного подключения к поставщикам и полного жизненного цикла корпоративного клиента, а также возможности централизации продаж, интеграции, управления доступом, учета расходов, биллинга, отказоустойчивости, поддержки и сопровождения.</w:t>
      </w:r>
    </w:p>
    <w:p w:rsidR="00CE7123" w:rsidRDefault="00000000">
      <w:pPr>
        <w:widowControl/>
        <w:spacing w:line="360" w:lineRule="auto"/>
        <w:ind w:firstLine="709"/>
        <w:jc w:val="both"/>
      </w:pPr>
      <w:r>
        <w:rPr>
          <w:sz w:val="28"/>
        </w:rPr>
        <w:t>Сформулированы измеримые бизнес-цели и критерии успеха, разработано видение решения, включающее работу отдела продаж и CRM-воронки, корпоративные организации и роли, проекты и API-ключи, каталог моделей, маршрутизацию, контроль бюджетов, расчеты, аналитику, поддержку и администрирование платформы. Также определены основные бизнес-риски, предположения и зависимости, которые необходимо учитывать на следующих этапах бизнес-анализа и при построении контекстной диаграммы, карты экосистемы, дерева функций и последующих моделей системы.</w:t>
      </w:r>
    </w:p>
    <w:sectPr w:rsidR="00CE7123">
      <w:footerReference w:type="default" r:id="rId7"/>
      <w:footerReference w:type="first" r:id="rId8"/>
      <w:pgSz w:w="11906" w:h="16838"/>
      <w:pgMar w:top="1134" w:right="851" w:bottom="1134" w:left="1701" w:header="0" w:footer="850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36914" w:rsidRDefault="00236914">
      <w:r>
        <w:separator/>
      </w:r>
    </w:p>
  </w:endnote>
  <w:endnote w:type="continuationSeparator" w:id="0">
    <w:p w:rsidR="00236914" w:rsidRDefault="002369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erif">
    <w:altName w:val="Times New Roman"/>
    <w:panose1 w:val="020B0604020202020204"/>
    <w:charset w:val="01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ndale Sans UI">
    <w:altName w:val="Cambria"/>
    <w:panose1 w:val="020B0604020202020204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"/>
    </w:sdtPr>
    <w:sdtContent>
      <w:p w:rsidR="00CE7123" w:rsidRDefault="00000000">
        <w:pPr>
          <w:pStyle w:val="ac"/>
          <w:jc w:val="center"/>
        </w:pPr>
        <w:r>
          <w:rPr>
            <w:sz w:val="28"/>
            <w:szCs w:val="28"/>
          </w:rPr>
          <w:fldChar w:fldCharType="begin"/>
        </w:r>
        <w:r>
          <w:rPr>
            <w:sz w:val="28"/>
            <w:szCs w:val="28"/>
          </w:rPr>
          <w:instrText xml:space="preserve"> PAGE </w:instrText>
        </w:r>
        <w:r>
          <w:rPr>
            <w:sz w:val="28"/>
            <w:szCs w:val="28"/>
          </w:rPr>
          <w:fldChar w:fldCharType="separate"/>
        </w:r>
        <w:r>
          <w:rPr>
            <w:sz w:val="28"/>
            <w:szCs w:val="28"/>
          </w:rPr>
          <w:t>6</w:t>
        </w:r>
        <w:r>
          <w:rPr>
            <w:sz w:val="28"/>
            <w:szCs w:val="28"/>
          </w:rPr>
          <w:fldChar w:fldCharType="end"/>
        </w:r>
      </w:p>
    </w:sdtContent>
  </w:sdt>
  <w:p w:rsidR="00CE7123" w:rsidRDefault="00CE7123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E7123" w:rsidRDefault="00000000">
    <w:pPr>
      <w:pStyle w:val="ac"/>
      <w:jc w:val="center"/>
      <w:rPr>
        <w:sz w:val="28"/>
        <w:szCs w:val="28"/>
      </w:rPr>
    </w:pPr>
    <w:r>
      <w:rPr>
        <w:sz w:val="28"/>
        <w:szCs w:val="28"/>
      </w:rPr>
      <w:t>Рязань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36914" w:rsidRDefault="00236914">
      <w:r>
        <w:separator/>
      </w:r>
    </w:p>
  </w:footnote>
  <w:footnote w:type="continuationSeparator" w:id="0">
    <w:p w:rsidR="00236914" w:rsidRDefault="002369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412"/>
    <w:rsid w:val="926FC98E"/>
    <w:rsid w:val="DFB7BB1A"/>
    <w:rsid w:val="FAD6DFC4"/>
    <w:rsid w:val="00025565"/>
    <w:rsid w:val="00034F56"/>
    <w:rsid w:val="0004209B"/>
    <w:rsid w:val="000675EA"/>
    <w:rsid w:val="000C6AFE"/>
    <w:rsid w:val="00123C53"/>
    <w:rsid w:val="001422E6"/>
    <w:rsid w:val="00221F4C"/>
    <w:rsid w:val="00236914"/>
    <w:rsid w:val="00283601"/>
    <w:rsid w:val="00332645"/>
    <w:rsid w:val="003A0F0D"/>
    <w:rsid w:val="003A1FBC"/>
    <w:rsid w:val="00425345"/>
    <w:rsid w:val="004B7EBE"/>
    <w:rsid w:val="005C5412"/>
    <w:rsid w:val="005C76A9"/>
    <w:rsid w:val="00672118"/>
    <w:rsid w:val="0067704C"/>
    <w:rsid w:val="00693CB9"/>
    <w:rsid w:val="006C22FD"/>
    <w:rsid w:val="00774500"/>
    <w:rsid w:val="007A37A5"/>
    <w:rsid w:val="008205AD"/>
    <w:rsid w:val="008527FF"/>
    <w:rsid w:val="008A4127"/>
    <w:rsid w:val="008B52BA"/>
    <w:rsid w:val="008D2CF6"/>
    <w:rsid w:val="00951180"/>
    <w:rsid w:val="009D2F8F"/>
    <w:rsid w:val="009E2A6B"/>
    <w:rsid w:val="00A30C8B"/>
    <w:rsid w:val="00A846A5"/>
    <w:rsid w:val="00B15C4A"/>
    <w:rsid w:val="00BB2B5B"/>
    <w:rsid w:val="00BE6BC3"/>
    <w:rsid w:val="00CC1D64"/>
    <w:rsid w:val="00CE7123"/>
    <w:rsid w:val="00CF1A8C"/>
    <w:rsid w:val="00DB5B11"/>
    <w:rsid w:val="00E23886"/>
    <w:rsid w:val="00E35BED"/>
    <w:rsid w:val="00E80CD0"/>
    <w:rsid w:val="00E900F9"/>
    <w:rsid w:val="00EA627B"/>
    <w:rsid w:val="00EC3797"/>
    <w:rsid w:val="00F36AF5"/>
    <w:rsid w:val="00F603CA"/>
    <w:rsid w:val="00F61621"/>
    <w:rsid w:val="00FF7F9C"/>
    <w:rsid w:val="37C4FD5E"/>
    <w:rsid w:val="5ECE96E8"/>
    <w:rsid w:val="5FEDC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;"/>
  <w14:docId w14:val="3270CAF7"/>
  <w15:docId w15:val="{CE7327D7-828D-F74D-902E-E6BB49791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uiPriority="0" w:qFormat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  <w:suppressAutoHyphens/>
    </w:pPr>
    <w:rPr>
      <w:rFonts w:ascii="Times New Roman" w:eastAsia="Times New Roman" w:hAnsi="Times New Roman" w:cs="Times New Roman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line="360" w:lineRule="auto"/>
      <w:jc w:val="center"/>
      <w:outlineLvl w:val="0"/>
    </w:pPr>
    <w:rPr>
      <w:rFonts w:eastAsiaTheme="majorEastAsia" w:cstheme="majorBidi"/>
      <w:b/>
      <w:caps/>
      <w:color w:val="000000" w:themeColor="text1"/>
      <w:sz w:val="28"/>
      <w:szCs w:val="32"/>
    </w:rPr>
  </w:style>
  <w:style w:type="paragraph" w:styleId="2">
    <w:name w:val="heading 2"/>
    <w:basedOn w:val="a0"/>
    <w:next w:val="a1"/>
    <w:qFormat/>
    <w:pPr>
      <w:spacing w:before="200" w:after="120"/>
      <w:outlineLvl w:val="1"/>
    </w:pPr>
    <w:rPr>
      <w:rFonts w:ascii="Liberation Serif" w:eastAsia="Tahoma" w:hAnsi="Liberation Serif" w:cs="Tahoma"/>
      <w:bCs/>
      <w:sz w:val="36"/>
      <w:szCs w:val="3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0">
    <w:name w:val="Title"/>
    <w:basedOn w:val="a"/>
    <w:next w:val="a1"/>
    <w:link w:val="a5"/>
    <w:uiPriority w:val="10"/>
    <w:qFormat/>
    <w:pPr>
      <w:keepNext/>
      <w:spacing w:line="360" w:lineRule="auto"/>
      <w:ind w:firstLine="709"/>
      <w:contextualSpacing/>
    </w:pPr>
    <w:rPr>
      <w:rFonts w:eastAsiaTheme="majorEastAsia" w:cstheme="majorBidi"/>
      <w:b/>
      <w:kern w:val="2"/>
      <w:sz w:val="28"/>
      <w:szCs w:val="56"/>
    </w:rPr>
  </w:style>
  <w:style w:type="paragraph" w:styleId="a1">
    <w:name w:val="Body Text"/>
    <w:basedOn w:val="a"/>
    <w:link w:val="a6"/>
    <w:uiPriority w:val="1"/>
    <w:qFormat/>
    <w:pPr>
      <w:spacing w:line="360" w:lineRule="auto"/>
      <w:ind w:firstLine="709"/>
      <w:jc w:val="both"/>
    </w:pPr>
    <w:rPr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a9">
    <w:name w:val="caption"/>
    <w:basedOn w:val="a"/>
    <w:next w:val="a"/>
    <w:link w:val="aa"/>
    <w:uiPriority w:val="35"/>
    <w:unhideWhenUsed/>
    <w:qFormat/>
    <w:pPr>
      <w:spacing w:after="200"/>
    </w:pPr>
    <w:rPr>
      <w:b/>
      <w:bCs/>
      <w:color w:val="4F81BD" w:themeColor="accent1"/>
      <w:sz w:val="18"/>
      <w:szCs w:val="18"/>
    </w:rPr>
  </w:style>
  <w:style w:type="character" w:styleId="ab">
    <w:name w:val="Emphasis"/>
    <w:basedOn w:val="a2"/>
    <w:uiPriority w:val="20"/>
    <w:qFormat/>
    <w:rPr>
      <w:i/>
      <w:iCs/>
    </w:rPr>
  </w:style>
  <w:style w:type="paragraph" w:styleId="ac">
    <w:name w:val="footer"/>
    <w:basedOn w:val="a"/>
    <w:link w:val="ad"/>
    <w:uiPriority w:val="99"/>
    <w:unhideWhenUsed/>
    <w:pPr>
      <w:tabs>
        <w:tab w:val="center" w:pos="4677"/>
        <w:tab w:val="right" w:pos="9355"/>
      </w:tabs>
    </w:pPr>
  </w:style>
  <w:style w:type="paragraph" w:styleId="ae">
    <w:name w:val="header"/>
    <w:basedOn w:val="a"/>
    <w:link w:val="af"/>
    <w:uiPriority w:val="99"/>
    <w:unhideWhenUsed/>
    <w:pPr>
      <w:tabs>
        <w:tab w:val="center" w:pos="4677"/>
        <w:tab w:val="right" w:pos="9355"/>
      </w:tabs>
    </w:pPr>
  </w:style>
  <w:style w:type="character" w:styleId="HTML">
    <w:name w:val="HTML Code"/>
    <w:basedOn w:val="a2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af0">
    <w:name w:val="index heading"/>
    <w:basedOn w:val="a"/>
    <w:qFormat/>
    <w:pPr>
      <w:suppressLineNumbers/>
    </w:pPr>
    <w:rPr>
      <w:rFonts w:cs="Arial Unicode MS"/>
    </w:rPr>
  </w:style>
  <w:style w:type="paragraph" w:styleId="af1">
    <w:name w:val="List"/>
    <w:basedOn w:val="a1"/>
    <w:rPr>
      <w:rFonts w:cs="Arial Unicode MS"/>
    </w:rPr>
  </w:style>
  <w:style w:type="paragraph" w:styleId="af2">
    <w:name w:val="Normal (Web)"/>
    <w:basedOn w:val="a"/>
    <w:uiPriority w:val="99"/>
    <w:semiHidden/>
    <w:unhideWhenUsed/>
    <w:qFormat/>
    <w:pPr>
      <w:widowControl/>
      <w:spacing w:beforeAutospacing="1" w:afterAutospacing="1"/>
    </w:pPr>
    <w:rPr>
      <w:sz w:val="24"/>
      <w:szCs w:val="24"/>
      <w:lang w:eastAsia="ru-RU"/>
    </w:rPr>
  </w:style>
  <w:style w:type="character" w:styleId="af3">
    <w:name w:val="Strong"/>
    <w:qFormat/>
    <w:rPr>
      <w:b/>
      <w:bCs/>
    </w:rPr>
  </w:style>
  <w:style w:type="paragraph" w:styleId="af4">
    <w:name w:val="Subtitle"/>
    <w:basedOn w:val="a"/>
    <w:next w:val="a"/>
    <w:link w:val="af5"/>
    <w:uiPriority w:val="11"/>
    <w:qFormat/>
    <w:pPr>
      <w:spacing w:line="360" w:lineRule="auto"/>
      <w:ind w:firstLine="709"/>
      <w:outlineLvl w:val="1"/>
    </w:pPr>
    <w:rPr>
      <w:rFonts w:eastAsiaTheme="minorEastAsia" w:cstheme="minorBidi"/>
      <w:b/>
      <w:color w:val="000000" w:themeColor="text1"/>
      <w:spacing w:val="15"/>
      <w:sz w:val="28"/>
    </w:rPr>
  </w:style>
  <w:style w:type="table" w:styleId="af6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Текст выноски Знак"/>
    <w:basedOn w:val="a2"/>
    <w:link w:val="a7"/>
    <w:uiPriority w:val="99"/>
    <w:semiHidden/>
    <w:qFormat/>
    <w:rPr>
      <w:rFonts w:ascii="Tahoma" w:eastAsia="Times New Roman" w:hAnsi="Tahoma" w:cs="Tahoma"/>
      <w:sz w:val="16"/>
      <w:szCs w:val="16"/>
      <w:lang w:val="ru-RU"/>
    </w:rPr>
  </w:style>
  <w:style w:type="character" w:customStyle="1" w:styleId="af">
    <w:name w:val="Верхний колонтитул Знак"/>
    <w:basedOn w:val="a2"/>
    <w:link w:val="ae"/>
    <w:uiPriority w:val="99"/>
    <w:qFormat/>
    <w:rPr>
      <w:rFonts w:ascii="Times New Roman" w:eastAsia="Times New Roman" w:hAnsi="Times New Roman" w:cs="Times New Roman"/>
      <w:lang w:val="ru-RU"/>
    </w:rPr>
  </w:style>
  <w:style w:type="character" w:customStyle="1" w:styleId="ad">
    <w:name w:val="Нижний колонтитул Знак"/>
    <w:basedOn w:val="a2"/>
    <w:link w:val="ac"/>
    <w:uiPriority w:val="99"/>
    <w:qFormat/>
    <w:rPr>
      <w:rFonts w:ascii="Times New Roman" w:eastAsia="Times New Roman" w:hAnsi="Times New Roman" w:cs="Times New Roman"/>
      <w:lang w:val="ru-RU"/>
    </w:rPr>
  </w:style>
  <w:style w:type="character" w:customStyle="1" w:styleId="a6">
    <w:name w:val="Основной текст Знак"/>
    <w:basedOn w:val="a2"/>
    <w:link w:val="a1"/>
    <w:uiPriority w:val="1"/>
    <w:qFormat/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InternetLink">
    <w:name w:val="Internet Link"/>
    <w:basedOn w:val="a2"/>
    <w:uiPriority w:val="99"/>
    <w:semiHidden/>
    <w:unhideWhenUsed/>
    <w:qFormat/>
    <w:rPr>
      <w:color w:val="0000FF"/>
      <w:u w:val="single"/>
    </w:rPr>
  </w:style>
  <w:style w:type="character" w:customStyle="1" w:styleId="10">
    <w:name w:val="Заголовок 1 Знак"/>
    <w:basedOn w:val="a2"/>
    <w:link w:val="1"/>
    <w:uiPriority w:val="9"/>
    <w:qFormat/>
    <w:rPr>
      <w:rFonts w:ascii="Times New Roman" w:eastAsiaTheme="majorEastAsia" w:hAnsi="Times New Roman" w:cstheme="majorBidi"/>
      <w:b/>
      <w:caps/>
      <w:color w:val="000000" w:themeColor="text1"/>
      <w:sz w:val="28"/>
      <w:szCs w:val="32"/>
      <w:lang w:val="ru-RU"/>
    </w:rPr>
  </w:style>
  <w:style w:type="character" w:customStyle="1" w:styleId="a5">
    <w:name w:val="Заголовок Знак"/>
    <w:basedOn w:val="a2"/>
    <w:link w:val="a0"/>
    <w:uiPriority w:val="10"/>
    <w:qFormat/>
    <w:rPr>
      <w:rFonts w:ascii="Times New Roman" w:eastAsiaTheme="majorEastAsia" w:hAnsi="Times New Roman" w:cstheme="majorBidi"/>
      <w:b/>
      <w:kern w:val="2"/>
      <w:sz w:val="28"/>
      <w:szCs w:val="56"/>
      <w:lang w:val="ru-RU"/>
    </w:rPr>
  </w:style>
  <w:style w:type="character" w:customStyle="1" w:styleId="af5">
    <w:name w:val="Подзаголовок Знак"/>
    <w:basedOn w:val="a2"/>
    <w:link w:val="af4"/>
    <w:uiPriority w:val="11"/>
    <w:qFormat/>
    <w:rPr>
      <w:rFonts w:ascii="Times New Roman" w:eastAsiaTheme="minorEastAsia" w:hAnsi="Times New Roman"/>
      <w:b/>
      <w:color w:val="000000" w:themeColor="text1"/>
      <w:spacing w:val="15"/>
      <w:sz w:val="28"/>
      <w:lang w:val="ru-RU"/>
    </w:rPr>
  </w:style>
  <w:style w:type="character" w:customStyle="1" w:styleId="af7">
    <w:name w:val="мой пункт Знак"/>
    <w:basedOn w:val="a6"/>
    <w:link w:val="af8"/>
    <w:uiPriority w:val="1"/>
    <w:qFormat/>
    <w:rPr>
      <w:rFonts w:ascii="Times New Roman" w:eastAsia="Times New Roman" w:hAnsi="Times New Roman" w:cs="Times New Roman"/>
      <w:color w:val="000000" w:themeColor="text1"/>
      <w:sz w:val="28"/>
      <w:szCs w:val="28"/>
      <w:lang w:val="ru-RU"/>
    </w:rPr>
  </w:style>
  <w:style w:type="paragraph" w:customStyle="1" w:styleId="af8">
    <w:name w:val="мой пункт"/>
    <w:basedOn w:val="a1"/>
    <w:link w:val="af7"/>
    <w:uiPriority w:val="1"/>
    <w:qFormat/>
    <w:rPr>
      <w:color w:val="000000" w:themeColor="text1"/>
    </w:rPr>
  </w:style>
  <w:style w:type="character" w:customStyle="1" w:styleId="af9">
    <w:name w:val="мой подпункт Знак"/>
    <w:basedOn w:val="a2"/>
    <w:link w:val="afa"/>
    <w:uiPriority w:val="1"/>
    <w:qFormat/>
    <w:rPr>
      <w:rFonts w:ascii="Times New Roman" w:eastAsia="Times New Roman" w:hAnsi="Times New Roman" w:cs="Times New Roman"/>
      <w:color w:val="000000" w:themeColor="text1"/>
      <w:sz w:val="28"/>
      <w:lang w:val="ru-RU"/>
    </w:rPr>
  </w:style>
  <w:style w:type="paragraph" w:customStyle="1" w:styleId="afa">
    <w:name w:val="мой подпункт"/>
    <w:basedOn w:val="a"/>
    <w:link w:val="af9"/>
    <w:uiPriority w:val="1"/>
    <w:qFormat/>
    <w:pPr>
      <w:spacing w:line="360" w:lineRule="auto"/>
      <w:ind w:firstLine="709"/>
      <w:jc w:val="both"/>
      <w:outlineLvl w:val="1"/>
    </w:pPr>
    <w:rPr>
      <w:color w:val="000000" w:themeColor="text1"/>
      <w:sz w:val="28"/>
    </w:rPr>
  </w:style>
  <w:style w:type="character" w:customStyle="1" w:styleId="aa">
    <w:name w:val="Название объекта Знак"/>
    <w:basedOn w:val="a2"/>
    <w:link w:val="a9"/>
    <w:uiPriority w:val="35"/>
    <w:qFormat/>
    <w:rPr>
      <w:rFonts w:ascii="Times New Roman" w:eastAsia="Times New Roman" w:hAnsi="Times New Roman" w:cs="Times New Roman"/>
      <w:b/>
      <w:bCs/>
      <w:color w:val="4F81BD" w:themeColor="accent1"/>
      <w:sz w:val="18"/>
      <w:szCs w:val="18"/>
      <w:lang w:val="ru-RU"/>
    </w:rPr>
  </w:style>
  <w:style w:type="character" w:customStyle="1" w:styleId="afb">
    <w:name w:val="мое название Знак"/>
    <w:basedOn w:val="aa"/>
    <w:link w:val="afc"/>
    <w:uiPriority w:val="1"/>
    <w:qFormat/>
    <w:rPr>
      <w:rFonts w:ascii="Times New Roman" w:eastAsia="Times New Roman" w:hAnsi="Times New Roman" w:cs="Times New Roman"/>
      <w:b w:val="0"/>
      <w:bCs/>
      <w:color w:val="000000" w:themeColor="text1"/>
      <w:sz w:val="28"/>
      <w:szCs w:val="18"/>
      <w:lang w:val="ru-RU"/>
    </w:rPr>
  </w:style>
  <w:style w:type="paragraph" w:customStyle="1" w:styleId="afc">
    <w:name w:val="мое название"/>
    <w:basedOn w:val="a9"/>
    <w:link w:val="afb"/>
    <w:uiPriority w:val="1"/>
    <w:qFormat/>
    <w:pPr>
      <w:spacing w:after="120"/>
      <w:jc w:val="center"/>
    </w:pPr>
    <w:rPr>
      <w:b w:val="0"/>
      <w:color w:val="000000" w:themeColor="text1"/>
      <w:sz w:val="28"/>
    </w:rPr>
  </w:style>
  <w:style w:type="paragraph" w:customStyle="1" w:styleId="11">
    <w:name w:val="Заголовок 11"/>
    <w:basedOn w:val="a"/>
    <w:uiPriority w:val="1"/>
    <w:qFormat/>
    <w:pPr>
      <w:ind w:left="682"/>
      <w:outlineLvl w:val="1"/>
    </w:pPr>
    <w:rPr>
      <w:b/>
      <w:bCs/>
      <w:sz w:val="36"/>
      <w:szCs w:val="36"/>
    </w:rPr>
  </w:style>
  <w:style w:type="paragraph" w:customStyle="1" w:styleId="21">
    <w:name w:val="Заголовок 21"/>
    <w:basedOn w:val="a"/>
    <w:uiPriority w:val="1"/>
    <w:qFormat/>
    <w:pPr>
      <w:ind w:left="831"/>
      <w:jc w:val="both"/>
      <w:outlineLvl w:val="2"/>
    </w:pPr>
    <w:rPr>
      <w:b/>
      <w:bCs/>
      <w:sz w:val="28"/>
      <w:szCs w:val="28"/>
    </w:rPr>
  </w:style>
  <w:style w:type="paragraph" w:styleId="afd">
    <w:name w:val="List Paragraph"/>
    <w:basedOn w:val="a"/>
    <w:uiPriority w:val="99"/>
    <w:qFormat/>
    <w:pPr>
      <w:ind w:left="1540" w:hanging="709"/>
    </w:pPr>
  </w:style>
  <w:style w:type="paragraph" w:customStyle="1" w:styleId="TableParagraph">
    <w:name w:val="Table Paragraph"/>
    <w:basedOn w:val="a"/>
    <w:uiPriority w:val="1"/>
    <w:qFormat/>
  </w:style>
  <w:style w:type="paragraph" w:customStyle="1" w:styleId="Default">
    <w:name w:val="Default"/>
    <w:qFormat/>
    <w:pPr>
      <w:suppressAutoHyphens/>
    </w:pPr>
    <w:rPr>
      <w:rFonts w:ascii="Arial Narrow" w:eastAsia="Calibri" w:hAnsi="Arial Narrow" w:cs="Arial Narrow"/>
      <w:color w:val="000000"/>
      <w:sz w:val="24"/>
      <w:szCs w:val="24"/>
      <w:lang w:eastAsia="en-US"/>
    </w:rPr>
  </w:style>
  <w:style w:type="paragraph" w:customStyle="1" w:styleId="HeaderandFooter">
    <w:name w:val="Header and Footer"/>
    <w:basedOn w:val="a"/>
    <w:qFormat/>
  </w:style>
  <w:style w:type="paragraph" w:customStyle="1" w:styleId="afe">
    <w:name w:val="мой рисунок"/>
    <w:basedOn w:val="afa"/>
    <w:uiPriority w:val="1"/>
    <w:qFormat/>
    <w:pPr>
      <w:keepNext/>
      <w:ind w:firstLine="0"/>
      <w:jc w:val="center"/>
      <w:outlineLvl w:val="3"/>
    </w:pPr>
    <w:rPr>
      <w:lang w:eastAsia="ru-RU"/>
    </w:rPr>
  </w:style>
  <w:style w:type="paragraph" w:customStyle="1" w:styleId="p1">
    <w:name w:val="p1"/>
    <w:basedOn w:val="a"/>
    <w:qFormat/>
    <w:pPr>
      <w:widowControl/>
    </w:pPr>
    <w:rPr>
      <w:color w:val="000000"/>
      <w:sz w:val="15"/>
      <w:szCs w:val="15"/>
      <w:lang w:eastAsia="ru-RU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D5CD9821-AE76-4E8D-9D2C-7A4EAB9B12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15</Pages>
  <Words>3597</Words>
  <Characters>20506</Characters>
  <Application>Microsoft Office Word</Application>
  <DocSecurity>0</DocSecurity>
  <Lines>170</Lines>
  <Paragraphs>48</Paragraphs>
  <ScaleCrop>false</ScaleCrop>
  <Company/>
  <LinksUpToDate>false</LinksUpToDate>
  <CharactersWithSpaces>24055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</dc:creator>
  <cp:lastModifiedBy>dcsosy@mail.ru</cp:lastModifiedBy>
  <cp:revision>6</cp:revision>
  <dcterms:created xsi:type="dcterms:W3CDTF">2026-05-04T09:12:00Z</dcterms:created>
  <dcterms:modified xsi:type="dcterms:W3CDTF">2026-09-21T14:44:00Z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1033-12.1.28492.28492</vt:lpwstr>
  </property>
  <property fmtid="{D5CDD505-2E9C-101B-9397-08002B2CF9AE}" pid="3" name="ICV">
    <vt:lpwstr>62D0D607F35A85E109F6A76AD5ECBCF0_43</vt:lpwstr>
  </property>
</Properties>
</file>