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Министерство науки и высшего образования Российской Федерации</w:t>
      </w: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Федеральное государственное бюджетное образовательное учреждение</w:t>
      </w: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высшего образования</w:t>
      </w: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«Рязанский государственный радиотехнический университет</w:t>
      </w: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имени В.Ф. Уткина»</w:t>
      </w: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8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8"/>
          <w:szCs w:val="24"/>
          <w:lang w:bidi="en-US"/>
        </w:rPr>
      </w:pP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Кафедра «Электронные вычислительные машины»</w:t>
      </w: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Pr="0067704C" w:rsidRDefault="00000000">
      <w:pPr>
        <w:jc w:val="center"/>
      </w:pPr>
      <w:r>
        <w:rPr>
          <w:b/>
          <w:sz w:val="28"/>
        </w:rPr>
        <w:t>Отчет о практической работе № 2</w:t>
      </w:r>
    </w:p>
    <w:p w:rsidR="00CE7123" w:rsidRDefault="00000000" w:rsidP="0067704C">
      <w:pPr>
        <w:pStyle w:val="2"/>
        <w:spacing w:line="240" w:lineRule="auto"/>
        <w:ind w:firstLineChars="1021" w:firstLine="2859"/>
      </w:pPr>
      <w:r>
        <w:rPr>
          <w:rFonts w:ascii="Times New Roman" w:eastAsia="Times New Roman" w:hAnsi="Times New Roman"/>
          <w:b w:val="0"/>
          <w:sz w:val="28"/>
        </w:rPr>
        <w:t>Концепция бизнес-требований</w:t>
      </w:r>
    </w:p>
    <w:p w:rsidR="00CE7123" w:rsidRDefault="00000000">
      <w:pPr>
        <w:jc w:val="center"/>
      </w:pPr>
      <w:r>
        <w:rPr>
          <w:rFonts w:eastAsia="Andale Sans UI"/>
          <w:b/>
          <w:bCs/>
          <w:kern w:val="2"/>
          <w:sz w:val="28"/>
          <w:szCs w:val="24"/>
          <w:lang w:bidi="en-US"/>
        </w:rPr>
        <w:t>по дисциплине</w:t>
      </w:r>
    </w:p>
    <w:p w:rsidR="00CE7123" w:rsidRDefault="00000000">
      <w:pPr>
        <w:jc w:val="center"/>
      </w:pPr>
      <w:r>
        <w:rPr>
          <w:rFonts w:eastAsia="Andale Sans UI"/>
          <w:kern w:val="2"/>
          <w:sz w:val="28"/>
          <w:szCs w:val="24"/>
          <w:lang w:bidi="en-US"/>
        </w:rPr>
        <w:t>«Бизнес-анализ»</w:t>
      </w: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000000">
      <w:pPr>
        <w:jc w:val="right"/>
      </w:pPr>
      <w:r>
        <w:rPr>
          <w:rFonts w:eastAsia="Andale Sans UI"/>
          <w:b/>
          <w:bCs/>
          <w:kern w:val="2"/>
          <w:sz w:val="28"/>
          <w:szCs w:val="24"/>
          <w:lang w:bidi="en-US"/>
        </w:rPr>
        <w:t>Выполнили:</w:t>
      </w:r>
    </w:p>
    <w:p w:rsidR="00CE7123" w:rsidRDefault="00000000">
      <w:pPr>
        <w:jc w:val="right"/>
      </w:pPr>
      <w:r>
        <w:rPr>
          <w:rFonts w:eastAsia="Andale Sans UI"/>
          <w:kern w:val="2"/>
          <w:sz w:val="28"/>
          <w:szCs w:val="24"/>
          <w:lang w:bidi="en-US"/>
        </w:rPr>
        <w:t>ст. гр. 4724</w:t>
      </w:r>
    </w:p>
    <w:p w:rsidR="00CE7123" w:rsidRPr="0067704C" w:rsidRDefault="00000000">
      <w:pPr>
        <w:jc w:val="right"/>
      </w:pPr>
      <w:r>
        <w:rPr>
          <w:rFonts w:eastAsia="Andale Sans UI"/>
          <w:kern w:val="2"/>
          <w:sz w:val="28"/>
          <w:szCs w:val="24"/>
          <w:lang w:bidi="en-US"/>
        </w:rPr>
        <w:t>бригада № 1</w:t>
      </w:r>
      <w:r w:rsidRPr="0067704C">
        <w:rPr>
          <w:rFonts w:eastAsia="Andale Sans UI"/>
          <w:kern w:val="2"/>
          <w:sz w:val="28"/>
          <w:szCs w:val="24"/>
          <w:lang w:bidi="en-US"/>
        </w:rPr>
        <w:t>3</w:t>
      </w:r>
    </w:p>
    <w:p w:rsidR="00CE7123" w:rsidRDefault="00000000">
      <w:pPr>
        <w:jc w:val="right"/>
      </w:pPr>
      <w:r>
        <w:rPr>
          <w:rFonts w:eastAsia="Andale Sans UI"/>
          <w:kern w:val="2"/>
          <w:sz w:val="28"/>
          <w:szCs w:val="24"/>
          <w:lang w:bidi="en-US"/>
        </w:rPr>
        <w:t>Морозов А. П.</w:t>
      </w:r>
    </w:p>
    <w:p w:rsidR="00CE7123" w:rsidRPr="00D97C5F" w:rsidRDefault="00000000">
      <w:pPr>
        <w:jc w:val="right"/>
      </w:pPr>
      <w:r>
        <w:rPr>
          <w:rFonts w:eastAsia="Andale Sans UI"/>
          <w:kern w:val="2"/>
          <w:sz w:val="28"/>
          <w:szCs w:val="24"/>
          <w:lang w:bidi="en-US"/>
        </w:rPr>
        <w:t>Стерлигов В.П.</w:t>
      </w:r>
      <w:r w:rsidR="004B7EBE" w:rsidRPr="004B7EBE">
        <w:rPr>
          <w:rFonts w:eastAsia="Andale Sans UI"/>
          <w:kern w:val="2"/>
          <w:sz w:val="28"/>
          <w:szCs w:val="24"/>
          <w:lang w:bidi="en-US"/>
        </w:rPr>
        <w:br/>
      </w:r>
      <w:r w:rsidR="004B7EBE">
        <w:rPr>
          <w:rFonts w:eastAsia="Andale Sans UI"/>
          <w:kern w:val="2"/>
          <w:sz w:val="28"/>
          <w:szCs w:val="24"/>
          <w:lang w:bidi="en-US"/>
        </w:rPr>
        <w:t>Лазукин А</w:t>
      </w:r>
      <w:r w:rsidR="004B7EBE" w:rsidRPr="004B7EBE">
        <w:rPr>
          <w:rFonts w:eastAsia="Andale Sans UI"/>
          <w:kern w:val="2"/>
          <w:sz w:val="28"/>
          <w:szCs w:val="24"/>
          <w:lang w:bidi="en-US"/>
        </w:rPr>
        <w:t>.</w:t>
      </w:r>
      <w:r w:rsidR="00D97C5F">
        <w:rPr>
          <w:rFonts w:eastAsia="Andale Sans UI"/>
          <w:kern w:val="2"/>
          <w:sz w:val="28"/>
          <w:szCs w:val="24"/>
          <w:lang w:bidi="en-US"/>
        </w:rPr>
        <w:t>А</w:t>
      </w:r>
      <w:r w:rsidR="00D97C5F" w:rsidRPr="00D97C5F">
        <w:rPr>
          <w:rFonts w:eastAsia="Andale Sans UI"/>
          <w:kern w:val="2"/>
          <w:sz w:val="28"/>
          <w:szCs w:val="24"/>
          <w:lang w:bidi="en-US"/>
        </w:rPr>
        <w:t>.</w:t>
      </w:r>
    </w:p>
    <w:p w:rsidR="00CE7123" w:rsidRDefault="00000000">
      <w:pPr>
        <w:jc w:val="right"/>
      </w:pPr>
      <w:r>
        <w:rPr>
          <w:rFonts w:eastAsia="Andale Sans UI"/>
          <w:b/>
          <w:bCs/>
          <w:kern w:val="2"/>
          <w:sz w:val="28"/>
          <w:szCs w:val="24"/>
          <w:lang w:bidi="en-US"/>
        </w:rPr>
        <w:t>Проверил:</w:t>
      </w:r>
    </w:p>
    <w:p w:rsidR="00CE7123" w:rsidRDefault="00000000">
      <w:pPr>
        <w:jc w:val="right"/>
      </w:pPr>
      <w:r>
        <w:rPr>
          <w:rFonts w:eastAsia="Andale Sans UI"/>
          <w:kern w:val="2"/>
          <w:sz w:val="28"/>
          <w:szCs w:val="24"/>
          <w:lang w:bidi="en-US"/>
        </w:rPr>
        <w:t>асс</w:t>
      </w:r>
      <w:r w:rsidRPr="0067704C">
        <w:rPr>
          <w:rFonts w:eastAsia="Andale Sans UI"/>
          <w:kern w:val="2"/>
          <w:sz w:val="28"/>
          <w:szCs w:val="24"/>
          <w:lang w:bidi="en-US"/>
        </w:rPr>
        <w:t>.</w:t>
      </w:r>
      <w:r>
        <w:rPr>
          <w:rFonts w:eastAsia="Andale Sans UI"/>
          <w:kern w:val="2"/>
          <w:sz w:val="28"/>
          <w:szCs w:val="24"/>
          <w:lang w:bidi="en-US"/>
        </w:rPr>
        <w:t xml:space="preserve"> Зенкин М. Д.</w:t>
      </w:r>
    </w:p>
    <w:p w:rsidR="00CE7123" w:rsidRDefault="00CE7123">
      <w:pPr>
        <w:jc w:val="center"/>
        <w:rPr>
          <w:rFonts w:ascii="Liberation Serif" w:eastAsia="Andale Sans UI" w:hAnsi="Liberation Serif"/>
          <w:kern w:val="2"/>
          <w:sz w:val="24"/>
          <w:szCs w:val="24"/>
          <w:lang w:bidi="en-US"/>
        </w:rPr>
      </w:pPr>
    </w:p>
    <w:p w:rsidR="00CE7123" w:rsidRDefault="00000000">
      <w:pPr>
        <w:widowControl/>
      </w:pPr>
      <w:r>
        <w:br w:type="page"/>
      </w:r>
    </w:p>
    <w:p w:rsidR="004B7EBE" w:rsidRDefault="00000000">
      <w:pPr>
        <w:widowControl/>
        <w:spacing w:line="360" w:lineRule="auto"/>
        <w:ind w:firstLine="709"/>
        <w:jc w:val="both"/>
        <w:rPr>
          <w:sz w:val="28"/>
        </w:rPr>
      </w:pPr>
      <w:r w:rsidRPr="004B7EBE">
        <w:rPr>
          <w:b/>
          <w:bCs/>
          <w:sz w:val="28"/>
        </w:rPr>
        <w:lastRenderedPageBreak/>
        <w:t>Цель работы</w:t>
      </w:r>
      <w:r>
        <w:rPr>
          <w:sz w:val="28"/>
        </w:rPr>
        <w:t>: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 </w:t>
      </w:r>
      <w:r w:rsidR="004B7EBE">
        <w:rPr>
          <w:sz w:val="28"/>
        </w:rPr>
        <w:t>С</w:t>
      </w:r>
      <w:r>
        <w:rPr>
          <w:sz w:val="28"/>
        </w:rPr>
        <w:t>оставить концепцию бизнес-требований для выбранной предметной области. В качестве предметной области используется корпоративная B2B-платформа единого доступа к AI-моделям, рассмотренная в практической работе № 1. Концепция формируется для проекта создания информационной системы, которая объединяет процессы привлечения и подключения корпоративных клиентов, управления организациями и пользователями, предоставления единого API к моделям разных поставщиков, контроля использования и бюджетов, корпоративного биллинга, технической поддержки и сопровождения клиентов.</w:t>
      </w:r>
    </w:p>
    <w:p w:rsidR="00CE7123" w:rsidRDefault="00000000">
      <w:pPr>
        <w:keepNext/>
        <w:widowControl/>
        <w:spacing w:before="120" w:line="360" w:lineRule="auto"/>
      </w:pPr>
      <w:r>
        <w:rPr>
          <w:b/>
          <w:sz w:val="28"/>
        </w:rPr>
        <w:t>1 Исходные данные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Предметная область представляет собой B2B-платформу, предоставляющую юридическим лицам и корпоративным командам единый программный интерфейс для работы с AI-моделями разных разработчиков. В рамках предметной области взаимодействуют потенциальная компания-клиент, лицо, принимающее решение со стороны клиента, менеджер и руководитель отдела продаж, администратор компании, разработчик, финансовый сотрудник, менеджер сопровождения, техническая поддержка, администратор платформы, поставщики AI-моделей и платежные сервисы.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До внедрения единой платформы компании, которым требуется несколько AI-моделей, вынуждены подключать поставщиков по отдельности: создавать разные учетные записи и API-ключи, поддерживать отличающиеся форматы интеграции, самостоятельно контролировать лимиты, сопоставлять расходы и обрабатывать недоступность отдельных сервисов. При расширении набора используемых моделей возрастает количество интеграций, финансовых операций и точек отказа. Это затрудняет централизованный контроль затрат и повышает трудозатраты разработчиков и финансовых сотрудников.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lastRenderedPageBreak/>
        <w:t xml:space="preserve">Со стороны оператора B2B-платформы требуется обеспечить не только техническое выполнение AI-запросов, но и полный жизненный цикл корпоративного клиента. Отдел продаж должен вести </w:t>
      </w:r>
      <w:proofErr w:type="spellStart"/>
      <w:r>
        <w:rPr>
          <w:sz w:val="28"/>
        </w:rPr>
        <w:t>лиды</w:t>
      </w:r>
      <w:proofErr w:type="spellEnd"/>
      <w:r>
        <w:rPr>
          <w:sz w:val="28"/>
        </w:rPr>
        <w:t xml:space="preserve"> и сделки, фиксировать коммуникации с лицами, принимающими решения, проводить квалификацию и формировать коммерческие условия. После продажи необходимо организовать подключение организации, распределение ролей, создание проектов и API-ключей, контроль бюджетов, выставление счетов, поддержку и последующее сопровождение клиента. Без единого информационного контура данные о продажах, использовании сервиса, расчетах и обращениях могут храниться разрозненно, что снижает прозрачность управления клиентом.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В рамках проекта предполагается создать единую корпоративную платформу, которая объединит модуль продаж и ведения клиентской воронки, корпоративный личный кабинет, единый AI API, маршрутизацию запросов, учет использования, биллинг, аналитическую отчетность, мониторинг доступности поставщиков и поддержку. Для каждой организации должны учитываться сотрудники, роли, проекты, API-ключи, доступные модели, лимиты, фактическое использование, начисления, платежи, документы и обращения в поддержку.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Поскольку проект рассматривается как новая система, часть количественных показателей принимается как модельная исходная точка для учебного проектирования. До промышленного запуска количество активных корпоративных клиентов системы равно 0. Для ручного B2B-процесса принимается конверсия квалифицированного </w:t>
      </w:r>
      <w:proofErr w:type="spellStart"/>
      <w:r>
        <w:rPr>
          <w:sz w:val="28"/>
        </w:rPr>
        <w:t>лида</w:t>
      </w:r>
      <w:proofErr w:type="spellEnd"/>
      <w:r>
        <w:rPr>
          <w:sz w:val="28"/>
        </w:rPr>
        <w:t xml:space="preserve"> в подключенного клиента около 10 %. Среднее время от согласования подключения до первого успешного API-запроса при разрозненной настройке оценивается в два рабочих дня, переключение существующей интеграции на другого поставщика или модель </w:t>
      </w:r>
      <w:r w:rsidR="004B7EBE">
        <w:rPr>
          <w:sz w:val="28"/>
        </w:rPr>
        <w:t>-</w:t>
      </w:r>
      <w:r>
        <w:rPr>
          <w:sz w:val="28"/>
        </w:rPr>
        <w:t xml:space="preserve"> примерно в четыре часа, а подготовка и сверка </w:t>
      </w:r>
      <w:r>
        <w:rPr>
          <w:sz w:val="28"/>
        </w:rPr>
        <w:lastRenderedPageBreak/>
        <w:t xml:space="preserve">ежемесячной информации по расходам </w:t>
      </w:r>
      <w:r w:rsidR="004B7EBE">
        <w:rPr>
          <w:sz w:val="28"/>
        </w:rPr>
        <w:t>-</w:t>
      </w:r>
      <w:r>
        <w:rPr>
          <w:sz w:val="28"/>
        </w:rPr>
        <w:t xml:space="preserve"> примерно в четыре часа на одного корпоративного клиента.</w:t>
      </w:r>
      <w:r w:rsidR="00D97C5F">
        <w:rPr>
          <w:sz w:val="28"/>
        </w:rPr>
        <w:tab/>
      </w:r>
    </w:p>
    <w:p w:rsidR="00CE7123" w:rsidRDefault="00000000">
      <w:pPr>
        <w:keepNext/>
        <w:widowControl/>
        <w:spacing w:before="120" w:line="360" w:lineRule="auto"/>
      </w:pPr>
      <w:r>
        <w:rPr>
          <w:b/>
          <w:sz w:val="28"/>
        </w:rPr>
        <w:t>2 Возможности бизнеса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Создание единой B2B-платформы позволит предоставить компаниям один канал подключения к нескольким AI-поставщикам и тем самым снизить количество самостоятельных интеграций. Разработчик клиента сможет использовать общий формат запросов и менять доступную модель без построения отдельной инфраструктуры для каждого поставщика. Это сокращает время подключения новых моделей и уменьшает зависимость корпоративного продукта от одного внешнего AI-сервиса.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Централизованная маршрутизация создаст возможность выбирать поставщика для конкретной модели по установленным правилам и использовать резервный маршрут при сбое основного поставщика, если для выбранной модели существует технически совместимая альтернатива. Платформа сможет фиксировать доступность внешних сервисов, ошибки и переключения, что повысит наблюдаемость и управляемость корпоративных AI-интеграций.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Единый учет запросов, токенов и стоимости позволит компании видеть расходы в разрезе организации, проекта и API-ключа. Администратор и финансовый сотрудник смогут задавать лимиты, получать уведомления о приближении к бюджету, контролировать начисления и получать сводные данные за расчетный период. Это создаст прозрачный финансовый контур использования AI и сократит объем ручной сверки данных из нескольких сервисов.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Встроенный процесс B2B-продаж позволит системно привлекать новых корпоративных клиентов. Менеджеры смогут фиксировать </w:t>
      </w:r>
      <w:proofErr w:type="spellStart"/>
      <w:r>
        <w:rPr>
          <w:sz w:val="28"/>
        </w:rPr>
        <w:t>лиды</w:t>
      </w:r>
      <w:proofErr w:type="spellEnd"/>
      <w:r>
        <w:rPr>
          <w:sz w:val="28"/>
        </w:rPr>
        <w:t xml:space="preserve">, источник обращения, контактное лицо, потребности, планируемый объем использования, стадию сделки и результаты коммуникаций. Руководитель отдела продаж получит возможность анализировать воронку, конверсию и </w:t>
      </w:r>
      <w:r>
        <w:rPr>
          <w:sz w:val="28"/>
        </w:rPr>
        <w:lastRenderedPageBreak/>
        <w:t>причины потери сделок, а после подключения передавать клиента менеджеру сопровождения без потери накопленного контекста.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Корпоративный личный кабинет и ролевая модель позволят одной организации централизованно управлять несколькими сотрудниками и проектами. Разработчикам будет доступна техническая часть интеграции, финансовым сотрудникам </w:t>
      </w:r>
      <w:r w:rsidR="004B7EBE">
        <w:rPr>
          <w:sz w:val="28"/>
        </w:rPr>
        <w:t>-</w:t>
      </w:r>
      <w:r>
        <w:rPr>
          <w:sz w:val="28"/>
        </w:rPr>
        <w:t xml:space="preserve"> расходы и расчеты, администраторам </w:t>
      </w:r>
      <w:r w:rsidR="004B7EBE">
        <w:rPr>
          <w:sz w:val="28"/>
        </w:rPr>
        <w:t>-</w:t>
      </w:r>
      <w:r>
        <w:rPr>
          <w:sz w:val="28"/>
        </w:rPr>
        <w:t xml:space="preserve"> роли, проекты, ключи и лимиты. Такое разграничение снижает риск избыточного доступа и делает платформу пригодной для командного B2B-использования.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Поддержка и сопровождение позволят разделить технические и организационные вопросы. Техническая поддержка будет обрабатывать ошибки интеграции, проблемы с API и инциденты доступности, а менеджер сопровождения </w:t>
      </w:r>
      <w:r w:rsidR="004B7EBE">
        <w:rPr>
          <w:sz w:val="28"/>
        </w:rPr>
        <w:t>-</w:t>
      </w:r>
      <w:r>
        <w:rPr>
          <w:sz w:val="28"/>
        </w:rPr>
        <w:t xml:space="preserve"> вопросы условий обслуживания, развития использования и взаимодействия с компанией. История обращений и ключевые показатели клиента должны быть доступны ответственным сотрудникам платформы в едином информационном контуре.</w:t>
      </w:r>
    </w:p>
    <w:p w:rsidR="00CE7123" w:rsidRPr="0067704C" w:rsidRDefault="00000000">
      <w:pPr>
        <w:keepNext/>
        <w:widowControl/>
        <w:spacing w:before="120" w:line="360" w:lineRule="auto"/>
        <w:rPr>
          <w:lang w:val="en-US"/>
        </w:rPr>
      </w:pPr>
      <w:r w:rsidRPr="0067704C">
        <w:rPr>
          <w:b/>
          <w:sz w:val="28"/>
          <w:lang w:val="en-US"/>
        </w:rPr>
        <w:t xml:space="preserve">3 </w:t>
      </w:r>
      <w:r>
        <w:rPr>
          <w:b/>
          <w:sz w:val="28"/>
        </w:rPr>
        <w:t>Бизнес</w:t>
      </w:r>
      <w:r w:rsidRPr="0067704C">
        <w:rPr>
          <w:b/>
          <w:sz w:val="28"/>
          <w:lang w:val="en-US"/>
        </w:rPr>
        <w:t>-</w:t>
      </w:r>
      <w:r>
        <w:rPr>
          <w:b/>
          <w:sz w:val="28"/>
        </w:rPr>
        <w:t>цели</w:t>
      </w:r>
      <w:r w:rsidRPr="0067704C">
        <w:rPr>
          <w:b/>
          <w:sz w:val="28"/>
          <w:lang w:val="en-US"/>
        </w:rPr>
        <w:t xml:space="preserve"> (business objective, BO)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BO-1. Достичь 50 активных корпоративных клиентов в течение 12 месяцев после промышленного запуска платформы. Масштаб: юридические лица, которые завершили подключение и совершали оплачиваемые API-запросы в течение последних 30 дней. Способ измерения: ежемесячный отчет по активным организациям. Показатель в текущем состоянии: 0 клиентов, так как платформа еще не введена в промышленную эксплуатацию. Планируемый показатель: 50 активных компаний. Обязательный показатель: не менее 30 активных компаний.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BO-2. Повысить конверсию квалифицированных B2B-лидов в подключенных корпоративных клиентов с модельных 10 % до 25 % в течение 12 месяцев после запуска. Масштаб: </w:t>
      </w:r>
      <w:proofErr w:type="spellStart"/>
      <w:r>
        <w:rPr>
          <w:sz w:val="28"/>
        </w:rPr>
        <w:t>лиды</w:t>
      </w:r>
      <w:proofErr w:type="spellEnd"/>
      <w:r>
        <w:rPr>
          <w:sz w:val="28"/>
        </w:rPr>
        <w:t xml:space="preserve">, прошедшие первичную квалификацию и соответствующие целевому профилю клиента. Способ измерения: ежемесячная аналитика CRM по переходу от стадии </w:t>
      </w:r>
      <w:r>
        <w:rPr>
          <w:sz w:val="28"/>
        </w:rPr>
        <w:lastRenderedPageBreak/>
        <w:t>«квалифицирован» к стадии «подключен». Показатель в текущем состоянии: около 10 %. Планируемый показатель: 25 %. Обязательный показатель: не менее 18 %.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BO-3. Сократить среднее время подключения корпоративного клиента от момента согласования условий до первого успешного API-запроса с двух рабочих дней до 4 часов в течение первых 6 месяцев эксплуатации. Масштаб: организации, предоставившие необходимые реквизиты и технические данные для подключения. Способ измерения: разница между временем перевода сделки на этап подключения и временем первого успешного запроса по корпоративному API-ключу. Показатель в текущем состоянии: до двух рабочих дней. Планируемый показатель: не более 4 часов. Обязательный показатель: не более одного рабочего дня.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BO-4. Сократить среднее время подключения или переключения уже интегрированного проекта на другую доступную AI-модель с модельных 4 часов до 15 минут. Масштаб: случаи, когда целевая модель уже присутствует в каталоге платформы и не требует разработки нового специализированного интерфейса. Способ измерения: время от выбора модели в настройках проекта до первого успешного тестового запроса. Показатель в текущем состоянии: около 4 часов при отдельной интеграции с поставщиком. Планируемый показатель: не более 15 минут. Обязательный показатель: не более 1 часа.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BO-5. Сократить трудозатраты на ежемесячную подготовку, сверку и предоставление данных по использованию и расходам с модельных 4 часов до 1 часа на одного корпоративного клиента в течение 6 месяцев после запуска. Масштаб: операции по сбору сведений о запросах, токенах, стоимости, проектах, начислениях и платежах. Способ измерения: выборочный замер рабочего времени финансового сотрудника и сотрудника платформы. Планируемый показатель: не более 1 часа на клиента за расчетный период. Обязательный показатель: не более 2 часов.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lastRenderedPageBreak/>
        <w:t>BO-6. Снизить долю неуспешных запросов, вызванных недоступностью основного AI-поставщика, с модельных 3 % до уровня не более 0,5 % для запросов, для которых настроен совместимый резервный маршрут, в течение 6 месяцев эксплуатации. Масштаб: запросы к моделям, имеющим не менее одного разрешенного резервного маршрута. Способ измерения: журнал маршрутизации и ошибок API за месяц. Планируемый показатель: не более 0,5 %. Обязательный показатель: не более 1 %.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BO-7. Обеспечить прозрачный проектный учет не менее 95 % расходов корпоративных клиентов на AI-запросы в течение 6 месяцев после запуска. Масштаб: начисления, которые однозначно связаны с организацией, проектом, API-ключом, моделью и временем выполнения запроса. Способ измерения: ежемесячная сверка записей биллинга и технического журнала использования. Планируемый показатель: не менее 95 % расходов имеют полный набор аналитических признаков. Обязательный показатель: не менее 90 %.</w:t>
      </w:r>
    </w:p>
    <w:p w:rsidR="00CE7123" w:rsidRDefault="00000000">
      <w:pPr>
        <w:keepNext/>
        <w:widowControl/>
        <w:spacing w:before="120" w:line="360" w:lineRule="auto"/>
      </w:pPr>
      <w:r>
        <w:rPr>
          <w:b/>
          <w:sz w:val="28"/>
        </w:rPr>
        <w:t>4 Критерии успеха (</w:t>
      </w:r>
      <w:proofErr w:type="spellStart"/>
      <w:r>
        <w:rPr>
          <w:b/>
          <w:sz w:val="28"/>
        </w:rPr>
        <w:t>measure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of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success</w:t>
      </w:r>
      <w:proofErr w:type="spellEnd"/>
      <w:r>
        <w:rPr>
          <w:b/>
          <w:sz w:val="28"/>
        </w:rPr>
        <w:t>, SM)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SM-1. Доступность единой точки API платформы должна составлять не менее 99,9 % времени в месяц, за исключением заранее согласованных периодов технического обслуживания.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SM-2. Не менее 99,5 % успешно выполненных AI-запросов должны иметь корректную запись учета использования с указанием организации, проекта, API-ключа, модели, объема потребления и рассчитанной стоимости; расхождение итогов технического учета и финансового биллинга за расчетный период не должно превышать 0,5 %.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SM-3. Не менее 95 % инцидентов недоступности поставщика, для которых заранее настроен совместимый резервный маршрут, должны обрабатываться автоматическим переключением без ручного вмешательства администратора платформы.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lastRenderedPageBreak/>
        <w:t>SM-4. Не менее 90 % активных корпоративных клиентов должны использовать раздельный учет по проектам и хотя бы один механизм контроля бюджета: лимит расходов, пороговое уведомление или ограничение доступных моделей, в течение первых 6 месяцев использования платформы.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SM-5. Не менее 85 % представителей корпоративных клиентов должны оценивать процесс подключения и взаимодействие с поддержкой на 4 или 5 баллов по пятибалльной шкале по итогам опросов в течение первых 12 месяцев эксплуатации.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SM-6. Для не менее 95 % критических обращений корпоративных клиентов первичная реакция технической поддержки должна предоставляться не позднее чем через 15 минут в период действия согласованного SLA; для обычных обращений </w:t>
      </w:r>
      <w:r w:rsidR="004B7EBE">
        <w:rPr>
          <w:sz w:val="28"/>
        </w:rPr>
        <w:t>-</w:t>
      </w:r>
      <w:r>
        <w:rPr>
          <w:sz w:val="28"/>
        </w:rPr>
        <w:t xml:space="preserve"> не позднее 4 рабочих часов.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SM-7. Отклонение фактических затрат на реализацию первой промышленной версии от утвержденного бюджета не должно превышать 10 %, а перенос даты промышленного запуска по причинам, зависящим от проектной команды, не должен превышать двух недель.</w:t>
      </w:r>
    </w:p>
    <w:p w:rsidR="00CE7123" w:rsidRDefault="00000000">
      <w:pPr>
        <w:keepNext/>
        <w:widowControl/>
        <w:spacing w:before="120" w:line="360" w:lineRule="auto"/>
      </w:pPr>
      <w:r>
        <w:rPr>
          <w:b/>
          <w:sz w:val="28"/>
        </w:rPr>
        <w:t>5 Видение решения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Для компаний, которым требуется использовать несколько AI-моделей в собственных продуктах и внутренних бизнес-процессах, предлагается единая корпоративная B2B-платформа. Решение должно заменить набор разрозненных подключений единым контуром, в котором организация получает централизованный доступ к моделям разных поставщиков, управляет сотрудниками, проектами, ключами, бюджетами и расчетами, а оператор платформы управляет продажами, подключением, маршрутизацией, поддержкой и сопровождением клиентов.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Главной целью решения является создание управляемого полного цикла работы с корпоративным клиентом: от появления потенциальной компании в воронке продаж и переговоров с лицом, принимающим решение, до подключения, регулярного использования AI API, учета расходов, оплаты, </w:t>
      </w:r>
      <w:r>
        <w:rPr>
          <w:sz w:val="28"/>
        </w:rPr>
        <w:lastRenderedPageBreak/>
        <w:t>технической поддержки и развития действующего клиента. Техническая часть платформы должна быть связана с коммерческой и сервисной частью, чтобы данные о клиенте не терялись при переходе между подразделениями.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Платформа должна обладать следующими основными функциями: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1. Управление продажами и воронкой: регистрация потенциальных компаний и контактных лиц, квалификация </w:t>
      </w:r>
      <w:proofErr w:type="spellStart"/>
      <w:r>
        <w:rPr>
          <w:sz w:val="28"/>
        </w:rPr>
        <w:t>лидов</w:t>
      </w:r>
      <w:proofErr w:type="spellEnd"/>
      <w:r>
        <w:rPr>
          <w:sz w:val="28"/>
        </w:rPr>
        <w:t>, фиксация потребностей, стадий сделки, коммуникаций, коммерческих условий и причин потери сделки; формирование аналитики для руководителя отдела продаж.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2. Управление корпоративными организациями: создание карточки компании, хранение реквизитов и статуса обслуживания, назначение тарифа или индивидуальных условий, фиксация ответственных менеджеров и параметров договора.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3. Управление сотрудниками и ролями: приглашение пользователей в организацию, назначение ролей и разграничение доступа к проектам, API-ключам, финансовой информации и административным настройкам.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4. Управление проектами и API-ключами: создание отдельных проектов для продуктов, подразделений или сред, выпуск и отзыв ключей, настройка доступных моделей и ограничений использования.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5. Каталог AI-моделей: отображение доступных моделей, их назначения, возможностей, ограничений и стоимости использования, а также доступности конкретной модели для выбранного тарифа и организации.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6. Единая точка AI API: прием запросов в согласованном формате, проверка ключа, организации, проекта, прав и лимитов, определение целевой модели и передача запроса подходящему поставщику.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7. Маршрутизация и отказоустойчивость: выбор допустимого маршрута к модели, контроль состояния поставщиков, фиксация ошибок и использование резервного маршрута при его наличии и совместимости.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8. Учет использования и управление бюджетами: фиксация количества запросов, токенов, стоимости и времени выполнения в разрезе организации, </w:t>
      </w:r>
      <w:r>
        <w:rPr>
          <w:sz w:val="28"/>
        </w:rPr>
        <w:lastRenderedPageBreak/>
        <w:t>проекта, ключа и модели; лимиты расходов, пороговые уведомления и правила ограничения запросов.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9. Корпоративный биллинг и документы: расчет стоимости услуг за расчетный период, учет платежей и задолженности, подготовка счетов и сводных данных для финансового учета, история начислений и расчетов.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10. Мониторинг и аналитика: показатели доступности поставщиков, объем запросов, расходы, динамика использования, ошибки, переключения маршрутов, состояние бюджетов и ключевые показатели корпоративного клиента.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11. Техническая поддержка и SLA: регистрация обращений, классификация по приоритету, назначение ответственного, контроль времени реакции и решения, хранение истории коммуникаций и связанных технических событий.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12. Сопровождение действующих клиентов: ведение ответственного менеджера, фиксация организационных вопросов, истории взаимодействия, изменений условий и возможностей расширения использования платформы.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13. Администрирование платформы: подключение и отключение AI-поставщиков и моделей, настройка тарифов, цен, правил маршрутизации, резервных маршрутов, системных лимитов и статусов доступности.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14. Безопасность и аудит: изоляция данных организаций, разграничение прав, защищенное хранение секретов и API-ключей, журналирование административных действий и событий доступа, а также контроль несанкционированного использования.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В границы проекта не входит разработка собственных AI-моделей или обучение моделей поставщиков. Платформа выступает промежуточным корпоративным сервисом доступа и управления. Резервная маршрутизация не должна трактоваться как гарантия полной взаимозаменяемости моделей: переключение возможно только там, где существует технически допустимый маршрут и его использование разрешено настройками платформы и клиента. </w:t>
      </w:r>
      <w:r>
        <w:rPr>
          <w:sz w:val="28"/>
        </w:rPr>
        <w:lastRenderedPageBreak/>
        <w:t>Платформа также не заменяет внутренние информационные системы компании-клиента, а предоставляет им API и средства администрирования.</w:t>
      </w:r>
    </w:p>
    <w:p w:rsidR="00CE7123" w:rsidRPr="004B7EBE" w:rsidRDefault="00000000">
      <w:pPr>
        <w:keepNext/>
        <w:widowControl/>
        <w:spacing w:before="120" w:line="360" w:lineRule="auto"/>
        <w:rPr>
          <w:lang w:val="en-US"/>
        </w:rPr>
      </w:pPr>
      <w:r w:rsidRPr="004B7EBE">
        <w:rPr>
          <w:b/>
          <w:sz w:val="28"/>
          <w:lang w:val="en-US"/>
        </w:rPr>
        <w:t xml:space="preserve">6 </w:t>
      </w:r>
      <w:r>
        <w:rPr>
          <w:b/>
          <w:sz w:val="28"/>
        </w:rPr>
        <w:t>Бизнес</w:t>
      </w:r>
      <w:r w:rsidRPr="004B7EBE">
        <w:rPr>
          <w:b/>
          <w:sz w:val="28"/>
          <w:lang w:val="en-US"/>
        </w:rPr>
        <w:t>-</w:t>
      </w:r>
      <w:r>
        <w:rPr>
          <w:b/>
          <w:sz w:val="28"/>
        </w:rPr>
        <w:t>риски</w:t>
      </w:r>
      <w:r w:rsidRPr="004B7EBE">
        <w:rPr>
          <w:b/>
          <w:sz w:val="28"/>
          <w:lang w:val="en-US"/>
        </w:rPr>
        <w:t xml:space="preserve"> (business risks, RI)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RI-1. Зависимость от внешних AI-поставщиков. Изменение API, правил доступа, лимитов или прекращение обслуживания со стороны поставщика может сделать отдельные модели временно или постоянно недоступными. Последствия: нарушение работы клиентских интеграций, дополнительные затраты на доработку маршрутов и репутационные потери. Меры снижения: абстрагирование интерфейса платформы от конкретного провайдера, мониторинг изменений API, наличие нескольких поставщиков и резервных маршрутов для критичных моделей. Вероятность = 0,5, ущерб = 9.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RI-2. Риски информационной безопасности. Утечка корпоративных API-ключей, данных организаций или содержимого запросов может привести к финансовым и репутационным потерям. Меры снижения: разграничение доступа по ролям, шифрование каналов связи и секретов, минимизация хранения чувствительных данных, журналирование административных действий, ротация ключей и регулярный аудит безопасности. Вероятность = 0,3, ущерб = 10.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RI-3. Ошибки учета и биллинга. Некорректное определение числа токенов, цены модели, маршрута или проекта может привести к неправильным начислениям и спорам с корпоративными клиентами. Меры снижения: единый журнал использования, автоматизированная сверка технических и финансовых записей, </w:t>
      </w:r>
      <w:proofErr w:type="spellStart"/>
      <w:r>
        <w:rPr>
          <w:sz w:val="28"/>
        </w:rPr>
        <w:t>версионирование</w:t>
      </w:r>
      <w:proofErr w:type="spellEnd"/>
      <w:r>
        <w:rPr>
          <w:sz w:val="28"/>
        </w:rPr>
        <w:t xml:space="preserve"> тарифов, тестирование расчетных правил и ручная процедура корректировки спорных начислений. Вероятность = 0,3, ущерб = 9.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RI-4. Изменение закупочной стоимости AI-моделей. Повышение цен поставщиков, изменение валютных условий или структуры тарификации может снизить маржинальность платформы. Меры снижения: регулярный пересмотр экономики маршрутов, хранение версий закупочных и клиентских </w:t>
      </w:r>
      <w:r>
        <w:rPr>
          <w:sz w:val="28"/>
        </w:rPr>
        <w:lastRenderedPageBreak/>
        <w:t>тарифов, использование нескольких поставщиков и уведомление клиентов об изменениях условий в соответствии с договором. Вероятность = 0,4, ущерб = 8.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RI-5. Низкая эффективность B2B-продаж. Длинный цикл согласования, требования корпоративных служб безопасности и закупок или недостаточная ценность продукта для целевых компаний могут замедлить набор активных клиентов. Меры снижения: формализация целевого профиля клиента, квалификация </w:t>
      </w:r>
      <w:proofErr w:type="spellStart"/>
      <w:r>
        <w:rPr>
          <w:sz w:val="28"/>
        </w:rPr>
        <w:t>лидов</w:t>
      </w:r>
      <w:proofErr w:type="spellEnd"/>
      <w:r>
        <w:rPr>
          <w:sz w:val="28"/>
        </w:rPr>
        <w:t>, демонстрационный доступ, фиксация причин отказа в CRM, сегментация предложений и анализ конверсии по этапам. Вероятность = 0,4, ущерб = 8.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RI-6. Ограниченная совместимость резервных маршрутов. Разные поставщики и модели могут поддерживать несовпадающие параметры, форматы и возможности, поэтому автоматическое переключение не всегда возможно. Последствия: часть инцидентов останется без автоматического резервирования. Меры снижения: хранение матрицы совместимости, предварительное тестирование маршрутов, явная маркировка поддерживаемых возможностей и запрет автоматического переключения для несовместимых сценариев. Вероятность = 0,4, ущерб = 7.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RI-7. Недостаточная производительность и масштабируемость. Рост числа клиентов и параллельных запросов может вызвать увеличение задержек или недоступность единой точки API. Меры снижения: нагрузочное тестирование, горизонтальное масштабирование, ограничение частоты запросов, очереди и мониторинг ключевых показателей производительности. Вероятность = 0,3, ущерб = 8.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RI-8. Правовые и договорные ограничения на обработку корпоративных данных. Клиенты могут передавать через AI-запросы сведения, для которых действуют внутренние или внешние ограничения. Несоответствие условиям обработки может ограничить использование отдельных поставщиков. Меры снижения: договорное определение допустимых сценариев, информирование </w:t>
      </w:r>
      <w:r>
        <w:rPr>
          <w:sz w:val="28"/>
        </w:rPr>
        <w:lastRenderedPageBreak/>
        <w:t>о маршрутах обработки, настройка разрешенных моделей и поставщиков для организации, минимизация хранения содержимого запросов и привлечение юридических специалистов при формировании условий обслуживания. Вероятность = 0,3, ущерб = 9.</w:t>
      </w:r>
    </w:p>
    <w:p w:rsidR="00CE7123" w:rsidRDefault="00000000">
      <w:pPr>
        <w:keepNext/>
        <w:widowControl/>
        <w:spacing w:before="120" w:line="360" w:lineRule="auto"/>
      </w:pPr>
      <w:r>
        <w:rPr>
          <w:b/>
          <w:sz w:val="28"/>
        </w:rPr>
        <w:t>7 Предположения и зависимости (</w:t>
      </w:r>
      <w:proofErr w:type="spellStart"/>
      <w:r>
        <w:rPr>
          <w:b/>
          <w:sz w:val="28"/>
        </w:rPr>
        <w:t>assumptions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and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dependencies</w:t>
      </w:r>
      <w:proofErr w:type="spellEnd"/>
      <w:r>
        <w:rPr>
          <w:b/>
          <w:sz w:val="28"/>
        </w:rPr>
        <w:t xml:space="preserve">, AS </w:t>
      </w:r>
      <w:proofErr w:type="spellStart"/>
      <w:r>
        <w:rPr>
          <w:b/>
          <w:sz w:val="28"/>
        </w:rPr>
        <w:t>and</w:t>
      </w:r>
      <w:proofErr w:type="spellEnd"/>
      <w:r>
        <w:rPr>
          <w:b/>
          <w:sz w:val="28"/>
        </w:rPr>
        <w:t xml:space="preserve"> DE)</w:t>
      </w:r>
    </w:p>
    <w:p w:rsidR="00CE7123" w:rsidRDefault="00000000">
      <w:pPr>
        <w:keepNext/>
        <w:widowControl/>
        <w:spacing w:before="60" w:line="360" w:lineRule="auto"/>
      </w:pPr>
      <w:r>
        <w:rPr>
          <w:b/>
          <w:sz w:val="28"/>
        </w:rPr>
        <w:t>7.1 Предположения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AS-1. Предполагается, что внешние AI-поставщики предоставляют программные интерфейсы и коммерческие условия, позволяющие платформе отправлять запросы от корпоративных клиентов и получать сведения, необходимые для учета использования.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AS-2. Предполагается, что корпоративные клиенты имеют сотрудников с достаточной технической квалификацией для интеграции по API и самостоятельного управления проектами и ключами после первичного подключения.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AS-3. Предполагается, что для части востребованных моделей существует более одного допустимого маршрута или технически совместимая альтернатива; для моделей без альтернативы отказоустойчивость будет ограничена доступностью единственного поставщика.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AS-4. Предполагается, что компании-клиенты готовы централизовать через платформу часть использования AI-моделей в обмен на единый интерфейс, прозрачный учет расходов и возможность управления доступом.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AS-5. Предполагается, что сотрудники отдела продаж, сопровождения, финансового блока, технической поддержки и администраторы будут использовать систему как основной источник актуальных данных по корпоративному клиенту в пределах своих ролей.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AS-6. Предполагается, что поставщики предоставляют достаточную информацию о фактическом использовании запросов для последующей сверки и формирования корректного клиентского биллинга.</w:t>
      </w:r>
    </w:p>
    <w:p w:rsidR="00CE7123" w:rsidRDefault="00000000">
      <w:pPr>
        <w:keepNext/>
        <w:widowControl/>
        <w:spacing w:before="60" w:line="360" w:lineRule="auto"/>
      </w:pPr>
      <w:r>
        <w:rPr>
          <w:b/>
          <w:sz w:val="28"/>
        </w:rPr>
        <w:lastRenderedPageBreak/>
        <w:t>7.2 Зависимости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DE-1. Запуск и состав каталога моделей зависят от наличия действующих учетных записей, коммерческого доступа и технически стабильных API у внешних AI-поставщиков.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DE-2. Корректность финансового контура зависит от интеграции с платежными или банковскими сервисами, правил приема платежей и возможности формировать необходимые расчетные документы для корпоративных клиентов.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DE-3. Доступность платформы зависит от вычислительной инфраструктуры, сетевых каналов, системы хранения данных, мониторинга и резервного копирования, используемых для работы единой точки API и личного кабинета.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DE-4. Эффективность процесса продаж зависит от наличия актуального источника данных о </w:t>
      </w:r>
      <w:proofErr w:type="spellStart"/>
      <w:r>
        <w:rPr>
          <w:sz w:val="28"/>
        </w:rPr>
        <w:t>лидах</w:t>
      </w:r>
      <w:proofErr w:type="spellEnd"/>
      <w:r>
        <w:rPr>
          <w:sz w:val="28"/>
        </w:rPr>
        <w:t xml:space="preserve"> и контактах, дисциплины ведения CRM и своевременного перехода информации от отдела продаж к подключению и сопровождению.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DE-5. Промышленный запуск зависит от успешного завершения функционального, интеграционного, нагрузочного и приемочного тестирования, включая проверку биллинга, ролевой модели, ограничений бюджета и резервной маршрутизации.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 xml:space="preserve">DE-6. Выполнение заявленных показателей поддержки зависит от формирования службы технической поддержки, правил </w:t>
      </w:r>
      <w:proofErr w:type="spellStart"/>
      <w:r>
        <w:rPr>
          <w:sz w:val="28"/>
        </w:rPr>
        <w:t>приоритизации</w:t>
      </w:r>
      <w:proofErr w:type="spellEnd"/>
      <w:r>
        <w:rPr>
          <w:sz w:val="28"/>
        </w:rPr>
        <w:t xml:space="preserve"> обращений, графика работы и согласованных с клиентами уровней SLA.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DE-7. Использование отдельных моделей корпоративными клиентами зависит от договорных условий, требований информационной безопасности клиента и допустимости передачи данных конкретному внешнему поставщику.</w:t>
      </w:r>
    </w:p>
    <w:p w:rsidR="00CE7123" w:rsidRDefault="00000000">
      <w:pPr>
        <w:keepNext/>
        <w:widowControl/>
        <w:spacing w:before="120" w:line="360" w:lineRule="auto"/>
        <w:jc w:val="center"/>
      </w:pPr>
      <w:r>
        <w:rPr>
          <w:b/>
          <w:sz w:val="28"/>
        </w:rPr>
        <w:lastRenderedPageBreak/>
        <w:t>ЗАКЛЮЧЕНИЕ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В ходе выполнения практической работы сформирована концепция бизнес-требований для корпоративной B2B-платформы единого доступа к AI-моделям. На основании предметной области, описанной в практической работе № 1, определены исходные проблемы разрозненного подключения к поставщикам и полного жизненного цикла корпоративного клиента, а также возможности централизации продаж, интеграции, управления доступом, учета расходов, биллинга, отказоустойчивости, поддержки и сопровождения.</w:t>
      </w:r>
    </w:p>
    <w:p w:rsidR="00CE7123" w:rsidRDefault="00000000">
      <w:pPr>
        <w:widowControl/>
        <w:spacing w:line="360" w:lineRule="auto"/>
        <w:ind w:firstLine="709"/>
        <w:jc w:val="both"/>
      </w:pPr>
      <w:r>
        <w:rPr>
          <w:sz w:val="28"/>
        </w:rPr>
        <w:t>Сформулированы измеримые бизнес-цели и критерии успеха, разработано видение решения, включающее работу отдела продаж и CRM-воронки, корпоративные организации и роли, проекты и API-ключи, каталог моделей, маршрутизацию, контроль бюджетов, расчеты, аналитику, поддержку и администрирование платформы. Также определены основные бизнес-риски, предположения и зависимости, которые необходимо учитывать на следующих этапах бизнес-анализа и при построении контекстной диаграммы, карты экосистемы, дерева функций и последующих моделей системы.</w:t>
      </w:r>
    </w:p>
    <w:sectPr w:rsidR="00CE7123">
      <w:footerReference w:type="default" r:id="rId7"/>
      <w:footerReference w:type="first" r:id="rId8"/>
      <w:pgSz w:w="11906" w:h="16838"/>
      <w:pgMar w:top="1134" w:right="851" w:bottom="1134" w:left="1701" w:header="0" w:footer="85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07E0" w:rsidRDefault="00BE07E0">
      <w:r>
        <w:separator/>
      </w:r>
    </w:p>
  </w:endnote>
  <w:endnote w:type="continuationSeparator" w:id="0">
    <w:p w:rsidR="00BE07E0" w:rsidRDefault="00BE0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erif">
    <w:altName w:val="Times New Roman"/>
    <w:panose1 w:val="020B0604020202020204"/>
    <w:charset w:val="01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dale Sans UI">
    <w:altName w:val="Cambria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</w:sdtPr>
    <w:sdtContent>
      <w:p w:rsidR="00CE7123" w:rsidRDefault="00000000">
        <w:pPr>
          <w:pStyle w:val="ac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 </w:instrText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6</w:t>
        </w:r>
        <w:r>
          <w:rPr>
            <w:sz w:val="28"/>
            <w:szCs w:val="28"/>
          </w:rPr>
          <w:fldChar w:fldCharType="end"/>
        </w:r>
      </w:p>
    </w:sdtContent>
  </w:sdt>
  <w:p w:rsidR="00CE7123" w:rsidRDefault="00CE7123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E7123" w:rsidRDefault="00000000">
    <w:pPr>
      <w:pStyle w:val="ac"/>
      <w:jc w:val="center"/>
      <w:rPr>
        <w:sz w:val="28"/>
        <w:szCs w:val="28"/>
      </w:rPr>
    </w:pPr>
    <w:r>
      <w:rPr>
        <w:sz w:val="28"/>
        <w:szCs w:val="28"/>
      </w:rPr>
      <w:t>Рязань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07E0" w:rsidRDefault="00BE07E0">
      <w:r>
        <w:separator/>
      </w:r>
    </w:p>
  </w:footnote>
  <w:footnote w:type="continuationSeparator" w:id="0">
    <w:p w:rsidR="00BE07E0" w:rsidRDefault="00BE07E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5412"/>
    <w:rsid w:val="926FC98E"/>
    <w:rsid w:val="DFB7BB1A"/>
    <w:rsid w:val="FAD6DFC4"/>
    <w:rsid w:val="00025565"/>
    <w:rsid w:val="00034F56"/>
    <w:rsid w:val="0004209B"/>
    <w:rsid w:val="000675EA"/>
    <w:rsid w:val="000C6AFE"/>
    <w:rsid w:val="00123C53"/>
    <w:rsid w:val="001422E6"/>
    <w:rsid w:val="00221F4C"/>
    <w:rsid w:val="00283601"/>
    <w:rsid w:val="00332645"/>
    <w:rsid w:val="003A0F0D"/>
    <w:rsid w:val="003A1FBC"/>
    <w:rsid w:val="00425345"/>
    <w:rsid w:val="004B7EBE"/>
    <w:rsid w:val="005C5412"/>
    <w:rsid w:val="005C76A9"/>
    <w:rsid w:val="00672118"/>
    <w:rsid w:val="0067704C"/>
    <w:rsid w:val="00693CB9"/>
    <w:rsid w:val="006C22FD"/>
    <w:rsid w:val="00774500"/>
    <w:rsid w:val="007A37A5"/>
    <w:rsid w:val="008205AD"/>
    <w:rsid w:val="008527FF"/>
    <w:rsid w:val="008A4127"/>
    <w:rsid w:val="008B52BA"/>
    <w:rsid w:val="008D2CF6"/>
    <w:rsid w:val="00951180"/>
    <w:rsid w:val="009D2F8F"/>
    <w:rsid w:val="009E2A6B"/>
    <w:rsid w:val="00A30C8B"/>
    <w:rsid w:val="00A846A5"/>
    <w:rsid w:val="00B15C4A"/>
    <w:rsid w:val="00BB2B5B"/>
    <w:rsid w:val="00BE07E0"/>
    <w:rsid w:val="00BE6BC3"/>
    <w:rsid w:val="00CC1D64"/>
    <w:rsid w:val="00CE7123"/>
    <w:rsid w:val="00CF1A8C"/>
    <w:rsid w:val="00D97C5F"/>
    <w:rsid w:val="00DB5B11"/>
    <w:rsid w:val="00E23886"/>
    <w:rsid w:val="00E35BED"/>
    <w:rsid w:val="00E80CD0"/>
    <w:rsid w:val="00E900F9"/>
    <w:rsid w:val="00EA627B"/>
    <w:rsid w:val="00EC3797"/>
    <w:rsid w:val="00F36AF5"/>
    <w:rsid w:val="00F603CA"/>
    <w:rsid w:val="00F61621"/>
    <w:rsid w:val="00FF7F9C"/>
    <w:rsid w:val="37C4FD5E"/>
    <w:rsid w:val="5ECE96E8"/>
    <w:rsid w:val="5FEDC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3270CAF7"/>
  <w15:docId w15:val="{CE7327D7-828D-F74D-902E-E6BB49791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 w:qFormat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suppressAutoHyphens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28"/>
      <w:szCs w:val="32"/>
    </w:rPr>
  </w:style>
  <w:style w:type="paragraph" w:styleId="2">
    <w:name w:val="heading 2"/>
    <w:basedOn w:val="a0"/>
    <w:next w:val="a1"/>
    <w:qFormat/>
    <w:pPr>
      <w:spacing w:before="200" w:after="120"/>
      <w:outlineLvl w:val="1"/>
    </w:pPr>
    <w:rPr>
      <w:rFonts w:ascii="Liberation Serif" w:eastAsia="Tahoma" w:hAnsi="Liberation Serif" w:cs="Tahoma"/>
      <w:bCs/>
      <w:sz w:val="36"/>
      <w:szCs w:val="3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Title"/>
    <w:basedOn w:val="a"/>
    <w:next w:val="a1"/>
    <w:link w:val="a5"/>
    <w:uiPriority w:val="10"/>
    <w:qFormat/>
    <w:pPr>
      <w:keepNext/>
      <w:spacing w:line="360" w:lineRule="auto"/>
      <w:ind w:firstLine="709"/>
      <w:contextualSpacing/>
    </w:pPr>
    <w:rPr>
      <w:rFonts w:eastAsiaTheme="majorEastAsia" w:cstheme="majorBidi"/>
      <w:b/>
      <w:kern w:val="2"/>
      <w:sz w:val="28"/>
      <w:szCs w:val="56"/>
    </w:rPr>
  </w:style>
  <w:style w:type="paragraph" w:styleId="a1">
    <w:name w:val="Body Text"/>
    <w:basedOn w:val="a"/>
    <w:link w:val="a6"/>
    <w:uiPriority w:val="1"/>
    <w:qFormat/>
    <w:pPr>
      <w:spacing w:line="360" w:lineRule="auto"/>
      <w:ind w:firstLine="709"/>
      <w:jc w:val="both"/>
    </w:pPr>
    <w:rPr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link w:val="aa"/>
    <w:uiPriority w:val="35"/>
    <w:unhideWhenUsed/>
    <w:qFormat/>
    <w:pPr>
      <w:spacing w:after="200"/>
    </w:pPr>
    <w:rPr>
      <w:b/>
      <w:bCs/>
      <w:color w:val="4F81BD" w:themeColor="accent1"/>
      <w:sz w:val="18"/>
      <w:szCs w:val="18"/>
    </w:rPr>
  </w:style>
  <w:style w:type="character" w:styleId="ab">
    <w:name w:val="Emphasis"/>
    <w:basedOn w:val="a2"/>
    <w:uiPriority w:val="20"/>
    <w:qFormat/>
    <w:rPr>
      <w:i/>
      <w:iCs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</w:pPr>
  </w:style>
  <w:style w:type="paragraph" w:styleId="ae">
    <w:name w:val="header"/>
    <w:basedOn w:val="a"/>
    <w:link w:val="af"/>
    <w:uiPriority w:val="99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af0">
    <w:name w:val="index heading"/>
    <w:basedOn w:val="a"/>
    <w:qFormat/>
    <w:pPr>
      <w:suppressLineNumbers/>
    </w:pPr>
    <w:rPr>
      <w:rFonts w:cs="Arial Unicode MS"/>
    </w:rPr>
  </w:style>
  <w:style w:type="paragraph" w:styleId="af1">
    <w:name w:val="List"/>
    <w:basedOn w:val="a1"/>
    <w:rPr>
      <w:rFonts w:cs="Arial Unicode MS"/>
    </w:rPr>
  </w:style>
  <w:style w:type="paragraph" w:styleId="af2">
    <w:name w:val="Normal (Web)"/>
    <w:basedOn w:val="a"/>
    <w:uiPriority w:val="99"/>
    <w:semiHidden/>
    <w:unhideWhenUsed/>
    <w:qFormat/>
    <w:pPr>
      <w:widowControl/>
      <w:spacing w:beforeAutospacing="1" w:afterAutospacing="1"/>
    </w:pPr>
    <w:rPr>
      <w:sz w:val="24"/>
      <w:szCs w:val="24"/>
      <w:lang w:eastAsia="ru-RU"/>
    </w:rPr>
  </w:style>
  <w:style w:type="character" w:styleId="af3">
    <w:name w:val="Strong"/>
    <w:qFormat/>
    <w:rPr>
      <w:b/>
      <w:bCs/>
    </w:rPr>
  </w:style>
  <w:style w:type="paragraph" w:styleId="af4">
    <w:name w:val="Subtitle"/>
    <w:basedOn w:val="a"/>
    <w:next w:val="a"/>
    <w:link w:val="af5"/>
    <w:uiPriority w:val="11"/>
    <w:qFormat/>
    <w:pPr>
      <w:spacing w:line="360" w:lineRule="auto"/>
      <w:ind w:firstLine="709"/>
      <w:outlineLvl w:val="1"/>
    </w:pPr>
    <w:rPr>
      <w:rFonts w:eastAsiaTheme="minorEastAsia" w:cstheme="minorBidi"/>
      <w:b/>
      <w:color w:val="000000" w:themeColor="text1"/>
      <w:spacing w:val="15"/>
      <w:sz w:val="28"/>
    </w:rPr>
  </w:style>
  <w:style w:type="table" w:styleId="af6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Текст выноски Знак"/>
    <w:basedOn w:val="a2"/>
    <w:link w:val="a7"/>
    <w:uiPriority w:val="99"/>
    <w:semiHidden/>
    <w:qFormat/>
    <w:rPr>
      <w:rFonts w:ascii="Tahoma" w:eastAsia="Times New Roman" w:hAnsi="Tahoma" w:cs="Tahoma"/>
      <w:sz w:val="16"/>
      <w:szCs w:val="16"/>
      <w:lang w:val="ru-RU"/>
    </w:rPr>
  </w:style>
  <w:style w:type="character" w:customStyle="1" w:styleId="af">
    <w:name w:val="Верхний колонтитул Знак"/>
    <w:basedOn w:val="a2"/>
    <w:link w:val="ae"/>
    <w:uiPriority w:val="99"/>
    <w:qFormat/>
    <w:rPr>
      <w:rFonts w:ascii="Times New Roman" w:eastAsia="Times New Roman" w:hAnsi="Times New Roman" w:cs="Times New Roman"/>
      <w:lang w:val="ru-RU"/>
    </w:rPr>
  </w:style>
  <w:style w:type="character" w:customStyle="1" w:styleId="ad">
    <w:name w:val="Нижний колонтитул Знак"/>
    <w:basedOn w:val="a2"/>
    <w:link w:val="ac"/>
    <w:uiPriority w:val="99"/>
    <w:qFormat/>
    <w:rPr>
      <w:rFonts w:ascii="Times New Roman" w:eastAsia="Times New Roman" w:hAnsi="Times New Roman" w:cs="Times New Roman"/>
      <w:lang w:val="ru-RU"/>
    </w:rPr>
  </w:style>
  <w:style w:type="character" w:customStyle="1" w:styleId="a6">
    <w:name w:val="Основной текст Знак"/>
    <w:basedOn w:val="a2"/>
    <w:link w:val="a1"/>
    <w:uiPriority w:val="1"/>
    <w:qFormat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InternetLink">
    <w:name w:val="Internet Link"/>
    <w:basedOn w:val="a2"/>
    <w:uiPriority w:val="99"/>
    <w:semiHidden/>
    <w:unhideWhenUsed/>
    <w:qFormat/>
    <w:rPr>
      <w:color w:val="0000FF"/>
      <w:u w:val="single"/>
    </w:rPr>
  </w:style>
  <w:style w:type="character" w:customStyle="1" w:styleId="10">
    <w:name w:val="Заголовок 1 Знак"/>
    <w:basedOn w:val="a2"/>
    <w:link w:val="1"/>
    <w:uiPriority w:val="9"/>
    <w:qFormat/>
    <w:rPr>
      <w:rFonts w:ascii="Times New Roman" w:eastAsiaTheme="majorEastAsia" w:hAnsi="Times New Roman" w:cstheme="majorBidi"/>
      <w:b/>
      <w:caps/>
      <w:color w:val="000000" w:themeColor="text1"/>
      <w:sz w:val="28"/>
      <w:szCs w:val="32"/>
      <w:lang w:val="ru-RU"/>
    </w:rPr>
  </w:style>
  <w:style w:type="character" w:customStyle="1" w:styleId="a5">
    <w:name w:val="Заголовок Знак"/>
    <w:basedOn w:val="a2"/>
    <w:link w:val="a0"/>
    <w:uiPriority w:val="10"/>
    <w:qFormat/>
    <w:rPr>
      <w:rFonts w:ascii="Times New Roman" w:eastAsiaTheme="majorEastAsia" w:hAnsi="Times New Roman" w:cstheme="majorBidi"/>
      <w:b/>
      <w:kern w:val="2"/>
      <w:sz w:val="28"/>
      <w:szCs w:val="56"/>
      <w:lang w:val="ru-RU"/>
    </w:rPr>
  </w:style>
  <w:style w:type="character" w:customStyle="1" w:styleId="af5">
    <w:name w:val="Подзаголовок Знак"/>
    <w:basedOn w:val="a2"/>
    <w:link w:val="af4"/>
    <w:uiPriority w:val="11"/>
    <w:qFormat/>
    <w:rPr>
      <w:rFonts w:ascii="Times New Roman" w:eastAsiaTheme="minorEastAsia" w:hAnsi="Times New Roman"/>
      <w:b/>
      <w:color w:val="000000" w:themeColor="text1"/>
      <w:spacing w:val="15"/>
      <w:sz w:val="28"/>
      <w:lang w:val="ru-RU"/>
    </w:rPr>
  </w:style>
  <w:style w:type="character" w:customStyle="1" w:styleId="af7">
    <w:name w:val="мой пункт Знак"/>
    <w:basedOn w:val="a6"/>
    <w:link w:val="af8"/>
    <w:uiPriority w:val="1"/>
    <w:qFormat/>
    <w:rPr>
      <w:rFonts w:ascii="Times New Roman" w:eastAsia="Times New Roman" w:hAnsi="Times New Roman" w:cs="Times New Roman"/>
      <w:color w:val="000000" w:themeColor="text1"/>
      <w:sz w:val="28"/>
      <w:szCs w:val="28"/>
      <w:lang w:val="ru-RU"/>
    </w:rPr>
  </w:style>
  <w:style w:type="paragraph" w:customStyle="1" w:styleId="af8">
    <w:name w:val="мой пункт"/>
    <w:basedOn w:val="a1"/>
    <w:link w:val="af7"/>
    <w:uiPriority w:val="1"/>
    <w:qFormat/>
    <w:rPr>
      <w:color w:val="000000" w:themeColor="text1"/>
    </w:rPr>
  </w:style>
  <w:style w:type="character" w:customStyle="1" w:styleId="af9">
    <w:name w:val="мой подпункт Знак"/>
    <w:basedOn w:val="a2"/>
    <w:link w:val="afa"/>
    <w:uiPriority w:val="1"/>
    <w:qFormat/>
    <w:rPr>
      <w:rFonts w:ascii="Times New Roman" w:eastAsia="Times New Roman" w:hAnsi="Times New Roman" w:cs="Times New Roman"/>
      <w:color w:val="000000" w:themeColor="text1"/>
      <w:sz w:val="28"/>
      <w:lang w:val="ru-RU"/>
    </w:rPr>
  </w:style>
  <w:style w:type="paragraph" w:customStyle="1" w:styleId="afa">
    <w:name w:val="мой подпункт"/>
    <w:basedOn w:val="a"/>
    <w:link w:val="af9"/>
    <w:uiPriority w:val="1"/>
    <w:qFormat/>
    <w:pPr>
      <w:spacing w:line="360" w:lineRule="auto"/>
      <w:ind w:firstLine="709"/>
      <w:jc w:val="both"/>
      <w:outlineLvl w:val="1"/>
    </w:pPr>
    <w:rPr>
      <w:color w:val="000000" w:themeColor="text1"/>
      <w:sz w:val="28"/>
    </w:rPr>
  </w:style>
  <w:style w:type="character" w:customStyle="1" w:styleId="aa">
    <w:name w:val="Название объекта Знак"/>
    <w:basedOn w:val="a2"/>
    <w:link w:val="a9"/>
    <w:uiPriority w:val="35"/>
    <w:qFormat/>
    <w:rPr>
      <w:rFonts w:ascii="Times New Roman" w:eastAsia="Times New Roman" w:hAnsi="Times New Roman" w:cs="Times New Roman"/>
      <w:b/>
      <w:bCs/>
      <w:color w:val="4F81BD" w:themeColor="accent1"/>
      <w:sz w:val="18"/>
      <w:szCs w:val="18"/>
      <w:lang w:val="ru-RU"/>
    </w:rPr>
  </w:style>
  <w:style w:type="character" w:customStyle="1" w:styleId="afb">
    <w:name w:val="мое название Знак"/>
    <w:basedOn w:val="aa"/>
    <w:link w:val="afc"/>
    <w:uiPriority w:val="1"/>
    <w:qFormat/>
    <w:rPr>
      <w:rFonts w:ascii="Times New Roman" w:eastAsia="Times New Roman" w:hAnsi="Times New Roman" w:cs="Times New Roman"/>
      <w:b w:val="0"/>
      <w:bCs/>
      <w:color w:val="000000" w:themeColor="text1"/>
      <w:sz w:val="28"/>
      <w:szCs w:val="18"/>
      <w:lang w:val="ru-RU"/>
    </w:rPr>
  </w:style>
  <w:style w:type="paragraph" w:customStyle="1" w:styleId="afc">
    <w:name w:val="мое название"/>
    <w:basedOn w:val="a9"/>
    <w:link w:val="afb"/>
    <w:uiPriority w:val="1"/>
    <w:qFormat/>
    <w:pPr>
      <w:spacing w:after="120"/>
      <w:jc w:val="center"/>
    </w:pPr>
    <w:rPr>
      <w:b w:val="0"/>
      <w:color w:val="000000" w:themeColor="text1"/>
      <w:sz w:val="28"/>
    </w:rPr>
  </w:style>
  <w:style w:type="paragraph" w:customStyle="1" w:styleId="11">
    <w:name w:val="Заголовок 11"/>
    <w:basedOn w:val="a"/>
    <w:uiPriority w:val="1"/>
    <w:qFormat/>
    <w:pPr>
      <w:ind w:left="682"/>
      <w:outlineLvl w:val="1"/>
    </w:pPr>
    <w:rPr>
      <w:b/>
      <w:bCs/>
      <w:sz w:val="36"/>
      <w:szCs w:val="36"/>
    </w:rPr>
  </w:style>
  <w:style w:type="paragraph" w:customStyle="1" w:styleId="21">
    <w:name w:val="Заголовок 21"/>
    <w:basedOn w:val="a"/>
    <w:uiPriority w:val="1"/>
    <w:qFormat/>
    <w:pPr>
      <w:ind w:left="831"/>
      <w:jc w:val="both"/>
      <w:outlineLvl w:val="2"/>
    </w:pPr>
    <w:rPr>
      <w:b/>
      <w:bCs/>
      <w:sz w:val="28"/>
      <w:szCs w:val="28"/>
    </w:rPr>
  </w:style>
  <w:style w:type="paragraph" w:styleId="afd">
    <w:name w:val="List Paragraph"/>
    <w:basedOn w:val="a"/>
    <w:uiPriority w:val="99"/>
    <w:qFormat/>
    <w:pPr>
      <w:ind w:left="1540" w:hanging="709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Default">
    <w:name w:val="Default"/>
    <w:qFormat/>
    <w:pPr>
      <w:suppressAutoHyphens/>
    </w:pPr>
    <w:rPr>
      <w:rFonts w:ascii="Arial Narrow" w:eastAsia="Calibri" w:hAnsi="Arial Narrow" w:cs="Arial Narrow"/>
      <w:color w:val="000000"/>
      <w:sz w:val="24"/>
      <w:szCs w:val="24"/>
      <w:lang w:eastAsia="en-US"/>
    </w:rPr>
  </w:style>
  <w:style w:type="paragraph" w:customStyle="1" w:styleId="HeaderandFooter">
    <w:name w:val="Header and Footer"/>
    <w:basedOn w:val="a"/>
    <w:qFormat/>
  </w:style>
  <w:style w:type="paragraph" w:customStyle="1" w:styleId="afe">
    <w:name w:val="мой рисунок"/>
    <w:basedOn w:val="afa"/>
    <w:uiPriority w:val="1"/>
    <w:qFormat/>
    <w:pPr>
      <w:keepNext/>
      <w:ind w:firstLine="0"/>
      <w:jc w:val="center"/>
      <w:outlineLvl w:val="3"/>
    </w:pPr>
    <w:rPr>
      <w:lang w:eastAsia="ru-RU"/>
    </w:rPr>
  </w:style>
  <w:style w:type="paragraph" w:customStyle="1" w:styleId="p1">
    <w:name w:val="p1"/>
    <w:basedOn w:val="a"/>
    <w:qFormat/>
    <w:pPr>
      <w:widowControl/>
    </w:pPr>
    <w:rPr>
      <w:color w:val="000000"/>
      <w:sz w:val="15"/>
      <w:szCs w:val="15"/>
      <w:lang w:eastAsia="ru-RU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D5CD9821-AE76-4E8D-9D2C-7A4EAB9B1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15</Pages>
  <Words>3597</Words>
  <Characters>20509</Characters>
  <Application>Microsoft Office Word</Application>
  <DocSecurity>0</DocSecurity>
  <Lines>170</Lines>
  <Paragraphs>48</Paragraphs>
  <ScaleCrop>false</ScaleCrop>
  <Company/>
  <LinksUpToDate>false</LinksUpToDate>
  <CharactersWithSpaces>24058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</dc:creator>
  <cp:lastModifiedBy>dcsosy@mail.ru</cp:lastModifiedBy>
  <cp:revision>8</cp:revision>
  <dcterms:created xsi:type="dcterms:W3CDTF">2026-05-04T09:12:00Z</dcterms:created>
  <dcterms:modified xsi:type="dcterms:W3CDTF">2026-09-21T14:51:00Z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1033-12.1.28492.28492</vt:lpwstr>
  </property>
  <property fmtid="{D5CDD505-2E9C-101B-9397-08002B2CF9AE}" pid="3" name="ICV">
    <vt:lpwstr>62D0D607F35A85E109F6A76AD5ECBCF0_43</vt:lpwstr>
  </property>
</Properties>
</file>