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2308CF5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616833F2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47823CDD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 xml:space="preserve">01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127A3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127A3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56091359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3C4C6072" w:rsidR="003A46AD" w:rsidRPr="003A46AD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56091366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56091368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56091370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56091371"/>
      <w:r>
        <w:t>Условия эксплуатации</w:t>
      </w:r>
      <w:bookmarkEnd w:id="27"/>
      <w:bookmarkEnd w:id="28"/>
    </w:p>
    <w:p w14:paraId="1C87A495" w14:textId="78B5ED7C" w:rsidR="006D600B" w:rsidRDefault="001003D4" w:rsidP="00A87898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664A375" w14:textId="77777777" w:rsidR="00D060EF" w:rsidRPr="00560F99" w:rsidRDefault="00D060EF" w:rsidP="00A87898">
      <w:pPr>
        <w:pStyle w:val="af1"/>
        <w:rPr>
          <w:b/>
        </w:rPr>
      </w:pP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56091372"/>
      <w:r w:rsidRPr="00560F99">
        <w:lastRenderedPageBreak/>
        <w:t>Требования к составу и параметрам технических средств</w:t>
      </w:r>
      <w:bookmarkEnd w:id="29"/>
      <w:bookmarkEnd w:id="30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5A021C97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1E0FBFB9" w14:textId="74E63917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68D1E931" w:rsidR="008513F9" w:rsidRPr="00472238" w:rsidRDefault="008513F9" w:rsidP="008513F9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18820080" w:rsidR="009E6982" w:rsidRPr="00C31C63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5CF90A5A" w14:textId="590EF430" w:rsidR="002B5607" w:rsidRDefault="002B5607" w:rsidP="00A87898">
      <w:pPr>
        <w:pStyle w:val="af1"/>
      </w:pP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56091375"/>
      <w:r>
        <w:lastRenderedPageBreak/>
        <w:t>Требования к транспортированию и хранению</w:t>
      </w:r>
      <w:bookmarkEnd w:id="35"/>
      <w:bookmarkEnd w:id="36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029F3" w14:textId="77777777" w:rsidR="00127A30" w:rsidRDefault="00127A30" w:rsidP="00A87898">
      <w:r>
        <w:separator/>
      </w:r>
    </w:p>
  </w:endnote>
  <w:endnote w:type="continuationSeparator" w:id="0">
    <w:p w14:paraId="7E2797F8" w14:textId="77777777" w:rsidR="00127A30" w:rsidRDefault="00127A30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C34744" w:rsidRDefault="00C347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C34744" w:rsidRDefault="00C3474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FCFF2" w14:textId="77777777" w:rsidR="00127A30" w:rsidRDefault="00127A30" w:rsidP="00A87898">
      <w:r>
        <w:separator/>
      </w:r>
    </w:p>
  </w:footnote>
  <w:footnote w:type="continuationSeparator" w:id="0">
    <w:p w14:paraId="6A0D21D0" w14:textId="77777777" w:rsidR="00127A30" w:rsidRDefault="00127A30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C34744" w:rsidRDefault="00C3474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C34744" w:rsidRDefault="00C3474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C34744" w:rsidRDefault="00C3474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 w:rsidR="00C34744"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16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278</cp:revision>
  <cp:lastPrinted>2018-11-24T08:03:00Z</cp:lastPrinted>
  <dcterms:created xsi:type="dcterms:W3CDTF">2019-11-04T17:43:00Z</dcterms:created>
  <dcterms:modified xsi:type="dcterms:W3CDTF">2020-11-12T20:06:00Z</dcterms:modified>
</cp:coreProperties>
</file>