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9A" w:rsidRPr="00342248" w:rsidRDefault="00F7219A" w:rsidP="00F7219A">
      <w:pPr>
        <w:pStyle w:val="Heading2"/>
        <w:spacing w:line="240" w:lineRule="auto"/>
        <w:ind w:firstLine="53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0" w:name="_Toc175752797"/>
      <w:bookmarkStart w:id="1" w:name="_Toc175753015"/>
      <w:bookmarkStart w:id="2" w:name="_Toc175756564"/>
      <w:r w:rsidRPr="00342248">
        <w:rPr>
          <w:rFonts w:ascii="Times New Roman" w:hAnsi="Times New Roman" w:cs="Times New Roman"/>
          <w:b w:val="0"/>
          <w:color w:val="000000" w:themeColor="text1"/>
          <w:sz w:val="28"/>
          <w:szCs w:val="28"/>
          <w:highlight w:val="lightGray"/>
          <w:lang w:val="ru-RU"/>
        </w:rPr>
        <w:t>2.5 Расчет эксплуатационных затрат</w:t>
      </w:r>
      <w:bookmarkEnd w:id="0"/>
      <w:bookmarkEnd w:id="1"/>
      <w:bookmarkEnd w:id="2"/>
    </w:p>
    <w:p w:rsidR="00F7219A" w:rsidRPr="00342248" w:rsidRDefault="00F7219A" w:rsidP="00F7219A">
      <w:pPr>
        <w:pStyle w:val="Normal1"/>
        <w:spacing w:line="240" w:lineRule="auto"/>
        <w:ind w:left="0" w:firstLine="540"/>
        <w:jc w:val="left"/>
        <w:rPr>
          <w:sz w:val="28"/>
          <w:szCs w:val="28"/>
        </w:rPr>
      </w:pPr>
    </w:p>
    <w:p w:rsidR="00F7219A" w:rsidRPr="00342248" w:rsidRDefault="00F7219A" w:rsidP="00F7219A">
      <w:pPr>
        <w:pStyle w:val="Normal1"/>
        <w:spacing w:line="360" w:lineRule="auto"/>
        <w:ind w:firstLine="547"/>
        <w:rPr>
          <w:sz w:val="28"/>
          <w:szCs w:val="28"/>
        </w:rPr>
      </w:pPr>
      <w:r w:rsidRPr="00342248">
        <w:rPr>
          <w:sz w:val="28"/>
          <w:szCs w:val="28"/>
        </w:rPr>
        <w:t>Пос</w:t>
      </w:r>
      <w:r>
        <w:rPr>
          <w:sz w:val="28"/>
          <w:szCs w:val="28"/>
        </w:rPr>
        <w:t>ле того как проект разработан и</w:t>
      </w:r>
      <w:r w:rsidRPr="00342248">
        <w:rPr>
          <w:sz w:val="28"/>
          <w:szCs w:val="28"/>
        </w:rPr>
        <w:t xml:space="preserve"> запущен для эксплуатации, он н</w:t>
      </w:r>
      <w:r w:rsidRPr="00342248">
        <w:rPr>
          <w:sz w:val="28"/>
          <w:szCs w:val="28"/>
        </w:rPr>
        <w:t>у</w:t>
      </w:r>
      <w:r w:rsidRPr="00342248">
        <w:rPr>
          <w:sz w:val="28"/>
          <w:szCs w:val="28"/>
        </w:rPr>
        <w:t>ждается в поддержке. К поддержке относятся периодическое обновление программного обеспечения и его настройки, поддержки непрерывной раб</w:t>
      </w:r>
      <w:r w:rsidRPr="00342248">
        <w:rPr>
          <w:sz w:val="28"/>
          <w:szCs w:val="28"/>
        </w:rPr>
        <w:t>о</w:t>
      </w:r>
      <w:r w:rsidRPr="00342248">
        <w:rPr>
          <w:sz w:val="28"/>
          <w:szCs w:val="28"/>
        </w:rPr>
        <w:t>ты сервера, ведение базы данных, для в</w:t>
      </w:r>
      <w:r>
        <w:rPr>
          <w:sz w:val="28"/>
          <w:szCs w:val="28"/>
        </w:rPr>
        <w:t>с</w:t>
      </w:r>
      <w:r w:rsidRPr="00342248">
        <w:rPr>
          <w:sz w:val="28"/>
          <w:szCs w:val="28"/>
        </w:rPr>
        <w:t>его этого необходимы финансовые затраты. Финансирования такого рода называется "эксплуатационные з</w:t>
      </w:r>
      <w:r w:rsidRPr="00342248">
        <w:rPr>
          <w:sz w:val="28"/>
          <w:szCs w:val="28"/>
        </w:rPr>
        <w:t>а</w:t>
      </w:r>
      <w:r w:rsidRPr="00342248">
        <w:rPr>
          <w:sz w:val="28"/>
          <w:szCs w:val="28"/>
        </w:rPr>
        <w:t>траты".</w:t>
      </w:r>
    </w:p>
    <w:p w:rsidR="00F7219A" w:rsidRPr="00342248" w:rsidRDefault="00F7219A" w:rsidP="00F7219A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Объ</w:t>
      </w:r>
      <w:r w:rsidRPr="00342248">
        <w:rPr>
          <w:sz w:val="28"/>
          <w:szCs w:val="28"/>
        </w:rPr>
        <w:t>ем финансовых затрат на эксплуатацию рассчитываются по форм</w:t>
      </w:r>
      <w:r w:rsidRPr="00342248">
        <w:rPr>
          <w:sz w:val="28"/>
          <w:szCs w:val="28"/>
        </w:rPr>
        <w:t>у</w:t>
      </w:r>
      <w:r w:rsidRPr="00342248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543"/>
        <w:gridCol w:w="103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42248">
              <w:rPr>
                <w:sz w:val="28"/>
                <w:szCs w:val="28"/>
              </w:rPr>
              <w:t>З</w:t>
            </w:r>
            <w:r w:rsidRPr="00342248">
              <w:rPr>
                <w:sz w:val="28"/>
                <w:szCs w:val="28"/>
                <w:vertAlign w:val="subscript"/>
              </w:rPr>
              <w:t>тек</w:t>
            </w:r>
            <w:r w:rsidRPr="00342248">
              <w:rPr>
                <w:sz w:val="28"/>
                <w:szCs w:val="28"/>
              </w:rPr>
              <w:t xml:space="preserve"> = З</w:t>
            </w:r>
            <w:r w:rsidRPr="00342248">
              <w:rPr>
                <w:sz w:val="28"/>
                <w:szCs w:val="28"/>
                <w:vertAlign w:val="subscript"/>
              </w:rPr>
              <w:t>зП</w:t>
            </w:r>
            <w:r w:rsidRPr="00342248">
              <w:rPr>
                <w:sz w:val="28"/>
                <w:szCs w:val="28"/>
              </w:rPr>
              <w:t xml:space="preserve"> + С</w:t>
            </w:r>
            <w:r w:rsidRPr="00342248">
              <w:rPr>
                <w:sz w:val="28"/>
                <w:szCs w:val="28"/>
                <w:vertAlign w:val="subscript"/>
              </w:rPr>
              <w:t>а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э</w:t>
            </w:r>
            <w:r w:rsidRPr="00342248">
              <w:rPr>
                <w:sz w:val="28"/>
                <w:szCs w:val="28"/>
              </w:rPr>
              <w:t xml:space="preserve"> + С</w:t>
            </w:r>
            <w:r w:rsidRPr="00342248">
              <w:rPr>
                <w:sz w:val="28"/>
                <w:szCs w:val="28"/>
                <w:vertAlign w:val="subscript"/>
              </w:rPr>
              <w:t>рем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м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н</w:t>
            </w:r>
            <w:r w:rsidRPr="00342248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cyan"/>
                <w:lang w:val="en-US"/>
              </w:rPr>
              <w:t>#</w:t>
            </w:r>
            <w:r w:rsidRPr="00342248">
              <w:rPr>
                <w:sz w:val="28"/>
                <w:szCs w:val="28"/>
                <w:highlight w:val="cyan"/>
              </w:rPr>
              <w:t>(2.12)</w:t>
            </w:r>
          </w:p>
        </w:tc>
      </w:tr>
    </w:tbl>
    <w:p w:rsidR="00F7219A" w:rsidRDefault="00F7219A" w:rsidP="00F7219A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highlight w:val="lightGray"/>
        </w:rPr>
      </w:pPr>
      <w:r w:rsidRPr="004170C2">
        <w:rPr>
          <w:sz w:val="28"/>
          <w:szCs w:val="28"/>
        </w:rPr>
        <w:tab/>
      </w:r>
      <w:r>
        <w:rPr>
          <w:sz w:val="28"/>
          <w:szCs w:val="28"/>
          <w:highlight w:val="lightGray"/>
        </w:rPr>
        <w:t>где:</w:t>
      </w:r>
      <w:r>
        <w:rPr>
          <w:sz w:val="28"/>
          <w:szCs w:val="28"/>
          <w:highlight w:val="lightGray"/>
          <w:lang w:val="en-US"/>
        </w:rPr>
        <w:t xml:space="preserve"> </w:t>
      </w:r>
    </w:p>
    <w:p w:rsidR="00F7219A" w:rsidRDefault="00F7219A" w:rsidP="00F7219A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highlight w:val="lightGray"/>
          <w:lang w:val="en-US"/>
        </w:rPr>
      </w:pPr>
      <w:r w:rsidRPr="004170C2">
        <w:rPr>
          <w:sz w:val="28"/>
          <w:szCs w:val="28"/>
        </w:rPr>
        <w:tab/>
      </w: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зП</w:t>
      </w:r>
      <w:r w:rsidRPr="00342248">
        <w:rPr>
          <w:sz w:val="28"/>
          <w:szCs w:val="28"/>
          <w:highlight w:val="lightGray"/>
        </w:rPr>
        <w:t xml:space="preserve"> – </w:t>
      </w:r>
      <w:r>
        <w:rPr>
          <w:sz w:val="28"/>
          <w:szCs w:val="28"/>
        </w:rPr>
        <w:t>сумма затрат</w:t>
      </w:r>
      <w:r w:rsidRPr="004170C2">
        <w:rPr>
          <w:sz w:val="28"/>
          <w:szCs w:val="28"/>
        </w:rPr>
        <w:t xml:space="preserve"> на оплату труда в том числе премии, бонусы за сверх продуктивность, руб.;</w:t>
      </w:r>
    </w:p>
    <w:p w:rsidR="00F7219A" w:rsidRPr="00342248" w:rsidRDefault="00F7219A" w:rsidP="00F7219A">
      <w:pPr>
        <w:pStyle w:val="Normal1"/>
        <w:spacing w:line="360" w:lineRule="auto"/>
        <w:ind w:left="0" w:firstLine="540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С</w:t>
      </w:r>
      <w:r w:rsidRPr="00342248">
        <w:rPr>
          <w:sz w:val="28"/>
          <w:szCs w:val="28"/>
          <w:highlight w:val="lightGray"/>
          <w:vertAlign w:val="subscript"/>
        </w:rPr>
        <w:t>а</w:t>
      </w:r>
      <w:r w:rsidRPr="00342248">
        <w:rPr>
          <w:sz w:val="28"/>
          <w:szCs w:val="28"/>
          <w:highlight w:val="lightGray"/>
        </w:rPr>
        <w:t xml:space="preserve"> –</w:t>
      </w:r>
      <w:r w:rsidRPr="00B5101E">
        <w:rPr>
          <w:sz w:val="28"/>
          <w:szCs w:val="28"/>
        </w:rPr>
        <w:t xml:space="preserve"> Сумма амортизации от стоимости используемого оборудования;</w:t>
      </w:r>
    </w:p>
    <w:p w:rsidR="00F7219A" w:rsidRPr="009519C7" w:rsidRDefault="00F7219A" w:rsidP="00F7219A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9519C7">
        <w:rPr>
          <w:sz w:val="28"/>
          <w:szCs w:val="28"/>
          <w:highlight w:val="lightGray"/>
        </w:rPr>
        <w:t>З</w:t>
      </w:r>
      <w:r w:rsidRPr="009519C7">
        <w:rPr>
          <w:sz w:val="28"/>
          <w:szCs w:val="28"/>
          <w:highlight w:val="lightGray"/>
          <w:vertAlign w:val="subscript"/>
        </w:rPr>
        <w:t>э</w:t>
      </w:r>
      <w:r w:rsidRPr="009519C7">
        <w:rPr>
          <w:sz w:val="28"/>
          <w:szCs w:val="28"/>
          <w:highlight w:val="lightGray"/>
        </w:rPr>
        <w:t xml:space="preserve"> –</w:t>
      </w:r>
      <w:r>
        <w:rPr>
          <w:sz w:val="28"/>
          <w:szCs w:val="28"/>
        </w:rPr>
        <w:t xml:space="preserve"> О</w:t>
      </w:r>
      <w:r w:rsidRPr="009519C7">
        <w:rPr>
          <w:sz w:val="28"/>
          <w:szCs w:val="28"/>
        </w:rPr>
        <w:t>бъем затрат ис</w:t>
      </w:r>
      <w:r>
        <w:rPr>
          <w:sz w:val="28"/>
          <w:szCs w:val="28"/>
        </w:rPr>
        <w:t>пользование силовой энергии, р</w:t>
      </w:r>
      <w:r w:rsidRPr="009519C7">
        <w:rPr>
          <w:sz w:val="28"/>
          <w:szCs w:val="28"/>
        </w:rPr>
        <w:t>.;</w:t>
      </w:r>
    </w:p>
    <w:p w:rsidR="00F7219A" w:rsidRPr="009519C7" w:rsidRDefault="00F7219A" w:rsidP="00F7219A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9519C7">
        <w:rPr>
          <w:sz w:val="28"/>
          <w:szCs w:val="28"/>
          <w:highlight w:val="lightGray"/>
        </w:rPr>
        <w:t>С</w:t>
      </w:r>
      <w:r w:rsidRPr="009519C7">
        <w:rPr>
          <w:sz w:val="28"/>
          <w:szCs w:val="28"/>
          <w:highlight w:val="lightGray"/>
          <w:vertAlign w:val="subscript"/>
        </w:rPr>
        <w:t>рем</w:t>
      </w:r>
      <w:r w:rsidRPr="009519C7">
        <w:rPr>
          <w:sz w:val="28"/>
          <w:szCs w:val="28"/>
          <w:highlight w:val="lightGray"/>
        </w:rPr>
        <w:t xml:space="preserve"> –</w:t>
      </w:r>
      <w:r>
        <w:rPr>
          <w:sz w:val="28"/>
          <w:szCs w:val="28"/>
        </w:rPr>
        <w:t xml:space="preserve"> О</w:t>
      </w:r>
      <w:r w:rsidRPr="009519C7">
        <w:rPr>
          <w:sz w:val="28"/>
          <w:szCs w:val="28"/>
        </w:rPr>
        <w:t>бъем финансовых вложений на текущий ремонт оборудования, руб.;</w:t>
      </w:r>
    </w:p>
    <w:p w:rsidR="00F7219A" w:rsidRPr="00342248" w:rsidRDefault="00F7219A" w:rsidP="00F7219A">
      <w:pPr>
        <w:pStyle w:val="Normal1"/>
        <w:spacing w:line="360" w:lineRule="auto"/>
        <w:ind w:left="0" w:firstLine="540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м</w:t>
      </w:r>
      <w:r w:rsidRPr="00342248">
        <w:rPr>
          <w:sz w:val="28"/>
          <w:szCs w:val="28"/>
          <w:highlight w:val="lightGray"/>
        </w:rPr>
        <w:t xml:space="preserve"> – затраты на м</w:t>
      </w:r>
      <w:r>
        <w:rPr>
          <w:sz w:val="28"/>
          <w:szCs w:val="28"/>
          <w:highlight w:val="lightGray"/>
        </w:rPr>
        <w:t>атериалы и машинные носители, р</w:t>
      </w:r>
      <w:r w:rsidRPr="00342248">
        <w:rPr>
          <w:sz w:val="28"/>
          <w:szCs w:val="28"/>
          <w:highlight w:val="lightGray"/>
        </w:rPr>
        <w:t>.;</w:t>
      </w:r>
    </w:p>
    <w:p w:rsidR="00F7219A" w:rsidRPr="00342248" w:rsidRDefault="00F7219A" w:rsidP="00F7219A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н</w:t>
      </w:r>
      <w:r w:rsidRPr="00342248">
        <w:rPr>
          <w:sz w:val="28"/>
          <w:szCs w:val="28"/>
          <w:highlight w:val="lightGray"/>
        </w:rPr>
        <w:t xml:space="preserve"> – накладные расходы информационного отдела, р.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C3678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держку запущен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ой в эксплуатацию системы занимаются специал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сты. Об</w:t>
      </w:r>
      <w:r>
        <w:rPr>
          <w:rFonts w:ascii="Times New Roman" w:hAnsi="Times New Roman" w:cs="Times New Roman"/>
          <w:sz w:val="28"/>
          <w:szCs w:val="28"/>
          <w:lang w:val="ru-RU"/>
        </w:rPr>
        <w:t>ъ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ем финансовых вложений на оплату труда учитывая соц. отчисления на нужды нанятого персонала рас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 xml:space="preserve">читываются по формуле: </w:t>
      </w:r>
    </w:p>
    <w:tbl>
      <w:tblPr>
        <w:tblW w:w="0" w:type="auto"/>
        <w:tblLook w:val="01E0"/>
      </w:tblPr>
      <w:tblGrid>
        <w:gridCol w:w="8543"/>
        <w:gridCol w:w="103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28"/>
                <w:sz w:val="28"/>
                <w:szCs w:val="28"/>
                <w:highlight w:val="lightGray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33.75pt" o:ole="">
                  <v:imagedata r:id="rId5" o:title=""/>
                </v:shape>
                <o:OLEObject Type="Embed" ProgID="Equation.3" ShapeID="_x0000_i1025" DrawAspect="Content" ObjectID="_1524939462" r:id="rId6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#</w:t>
            </w:r>
            <w:r w:rsidRPr="00342248">
              <w:rPr>
                <w:sz w:val="28"/>
                <w:szCs w:val="28"/>
                <w:highlight w:val="lightGray"/>
              </w:rPr>
              <w:t>(2.13)</w:t>
            </w:r>
          </w:p>
        </w:tc>
      </w:tr>
    </w:tbl>
    <w:p w:rsidR="00F7219A" w:rsidRDefault="00F7219A" w:rsidP="00F7219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ab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:</w:t>
      </w:r>
    </w:p>
    <w:p w:rsidR="00F7219A" w:rsidRDefault="00F7219A" w:rsidP="00F721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60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9760F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Pr="009760F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дни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7219A" w:rsidRPr="009760FA" w:rsidRDefault="00F7219A" w:rsidP="00F72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760F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-го сотрудника</w:t>
      </w:r>
      <w:r w:rsidRPr="00D81B8A">
        <w:rPr>
          <w:rFonts w:ascii="Times New Roman" w:hAnsi="Times New Roman" w:cs="Times New Roman"/>
          <w:sz w:val="28"/>
          <w:szCs w:val="28"/>
          <w:lang w:val="ru-RU"/>
        </w:rPr>
        <w:t>, р./день.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BA0AC8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BA0AC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A0AC8">
        <w:rPr>
          <w:rFonts w:ascii="Times New Roman" w:hAnsi="Times New Roman" w:cs="Times New Roman"/>
          <w:sz w:val="28"/>
          <w:szCs w:val="28"/>
          <w:lang w:val="ru-RU"/>
        </w:rPr>
        <w:t xml:space="preserve">дены в таблицах </w:t>
      </w:r>
      <w:r w:rsidRPr="009557D6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9557D6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и </w:t>
      </w:r>
      <w:r w:rsidRPr="009557D6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9557D6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. 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</w:p>
    <w:p w:rsidR="00F7219A" w:rsidRPr="005812D9" w:rsidRDefault="00F7219A" w:rsidP="00F721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12D9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Таблица </w:t>
      </w:r>
      <w:r w:rsidRPr="005812D9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5812D9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2.8 </w:t>
      </w:r>
      <w:r w:rsidRPr="005812D9">
        <w:rPr>
          <w:rFonts w:ascii="Times New Roman" w:hAnsi="Times New Roman" w:cs="Times New Roman"/>
          <w:sz w:val="28"/>
          <w:szCs w:val="28"/>
          <w:lang w:val="ru-RU"/>
        </w:rPr>
        <w:t>– 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F7219A" w:rsidRPr="00342248" w:rsidTr="001464E1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A46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р.</w:t>
            </w:r>
          </w:p>
        </w:tc>
      </w:tr>
      <w:tr w:rsidR="00F7219A" w:rsidRPr="00342248" w:rsidTr="001464E1">
        <w:trPr>
          <w:trHeight w:hRule="exact" w:val="93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42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218,8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8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44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15145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2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6</w:t>
            </w:r>
          </w:p>
        </w:tc>
      </w:tr>
      <w:tr w:rsidR="00F7219A" w:rsidRPr="00342248" w:rsidTr="001464E1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</w:t>
            </w: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38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186,8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6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24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589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9,</w:t>
            </w:r>
            <w: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2</w:t>
            </w: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1</w:t>
            </w:r>
          </w:p>
        </w:tc>
      </w:tr>
      <w:tr w:rsidR="00F7219A" w:rsidRPr="00342248" w:rsidTr="001464E1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Итог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219A" w:rsidRPr="00342248" w:rsidRDefault="00F7219A" w:rsidP="001464E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  <w:t>2104</w:t>
            </w:r>
            <w:r w:rsidRPr="00342248"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  <w:t>2,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  <w:t>2</w:t>
            </w:r>
            <w:r w:rsidRPr="00342248"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  <w:t>7</w:t>
            </w:r>
          </w:p>
        </w:tc>
      </w:tr>
    </w:tbl>
    <w:p w:rsidR="00F7219A" w:rsidRDefault="00F7219A" w:rsidP="00F7219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зп1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(4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21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,2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+2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,6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1,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1,2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 руб. =</w:t>
      </w:r>
      <w:r w:rsidRPr="00342248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bCs/>
          <w:sz w:val="28"/>
          <w:szCs w:val="28"/>
          <w:highlight w:val="lightGray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bCs/>
          <w:sz w:val="28"/>
          <w:szCs w:val="28"/>
          <w:highlight w:val="lightGray"/>
          <w:lang w:val="ru-RU"/>
        </w:rPr>
        <w:t>032,7 р.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(за год). </w:t>
      </w:r>
    </w:p>
    <w:p w:rsidR="00F7219A" w:rsidRPr="009557D6" w:rsidRDefault="00F7219A" w:rsidP="00F7219A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9557D6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683"/>
        <w:gridCol w:w="89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2"/>
                <w:sz w:val="28"/>
                <w:szCs w:val="28"/>
                <w:highlight w:val="lightGray"/>
              </w:rPr>
              <w:object w:dxaOrig="1820" w:dyaOrig="740">
                <v:shape id="_x0000_i1026" type="#_x0000_t75" style="width:90.75pt;height:36.75pt" o:ole="">
                  <v:imagedata r:id="rId7" o:title=""/>
                </v:shape>
                <o:OLEObject Type="Embed" ProgID="Equation.3" ShapeID="_x0000_i1026" DrawAspect="Content" ObjectID="_1524939463" r:id="rId8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sz w:val="28"/>
                <w:szCs w:val="28"/>
                <w:highlight w:val="lightGray"/>
              </w:rPr>
              <w:t>(2.14)</w:t>
            </w:r>
          </w:p>
        </w:tc>
      </w:tr>
    </w:tbl>
    <w:p w:rsidR="00F7219A" w:rsidRPr="00342248" w:rsidRDefault="00F7219A" w:rsidP="00F7219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bj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балансовая стоимость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-гo вида оборудования, руб.;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t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B807E1">
        <w:rPr>
          <w:rFonts w:ascii="Times New Roman" w:hAnsi="Times New Roman" w:cs="Times New Roman"/>
          <w:sz w:val="28"/>
          <w:szCs w:val="28"/>
          <w:lang w:val="ru-RU"/>
        </w:rPr>
        <w:t xml:space="preserve">продолжительность работы  </w:t>
      </w:r>
      <w:r w:rsidRPr="00B807E1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B807E1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F7219A" w:rsidRPr="001005E4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F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эф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1005E4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за год, час;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a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норма годовых амортизационных отчислений для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-гo вида оборуд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вания;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g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7A461F">
        <w:rPr>
          <w:rFonts w:ascii="Times New Roman" w:hAnsi="Times New Roman" w:cs="Times New Roman"/>
          <w:sz w:val="28"/>
          <w:szCs w:val="28"/>
          <w:lang w:val="ru-RU"/>
        </w:rPr>
        <w:t>Общая сумма единиц оборудования.</w:t>
      </w:r>
    </w:p>
    <w:p w:rsidR="00F7219A" w:rsidRPr="001005E4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1005E4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683"/>
        <w:gridCol w:w="89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i/>
                <w:sz w:val="28"/>
                <w:szCs w:val="28"/>
                <w:highlight w:val="lightGray"/>
              </w:rPr>
              <w:t>F</w:t>
            </w:r>
            <w:r w:rsidRPr="00342248">
              <w:rPr>
                <w:i/>
                <w:sz w:val="28"/>
                <w:szCs w:val="28"/>
                <w:highlight w:val="lightGray"/>
                <w:vertAlign w:val="subscript"/>
              </w:rPr>
              <w:t>эф</w:t>
            </w:r>
            <w:r w:rsidRPr="00342248">
              <w:rPr>
                <w:i/>
                <w:sz w:val="28"/>
                <w:szCs w:val="28"/>
                <w:highlight w:val="lightGray"/>
              </w:rPr>
              <w:t xml:space="preserve"> =D</w:t>
            </w:r>
            <w:r w:rsidRPr="00342248">
              <w:rPr>
                <w:i/>
                <w:sz w:val="28"/>
                <w:szCs w:val="28"/>
                <w:highlight w:val="lightGray"/>
                <w:vertAlign w:val="subscript"/>
              </w:rPr>
              <w:t>р</w:t>
            </w:r>
            <w:r w:rsidRPr="00342248">
              <w:rPr>
                <w:i/>
                <w:sz w:val="28"/>
                <w:szCs w:val="28"/>
                <w:highlight w:val="lightGray"/>
              </w:rPr>
              <w:sym w:font="Symbol" w:char="F0B4"/>
            </w:r>
            <w:r w:rsidRPr="00342248">
              <w:rPr>
                <w:sz w:val="28"/>
                <w:szCs w:val="28"/>
                <w:highlight w:val="lightGray"/>
              </w:rPr>
              <w:t>Н</w:t>
            </w:r>
            <w:r w:rsidRPr="00342248">
              <w:rPr>
                <w:sz w:val="28"/>
                <w:szCs w:val="28"/>
                <w:highlight w:val="lightGray"/>
                <w:vertAlign w:val="subscript"/>
              </w:rPr>
              <w:t xml:space="preserve">э </w: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342248">
              <w:rPr>
                <w:sz w:val="28"/>
                <w:szCs w:val="28"/>
                <w:highlight w:val="lightGray"/>
              </w:rPr>
              <w:t>(2.15)</w:t>
            </w:r>
          </w:p>
        </w:tc>
      </w:tr>
    </w:tbl>
    <w:p w:rsidR="00F7219A" w:rsidRPr="00342248" w:rsidRDefault="00F7219A" w:rsidP="00F7219A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lastRenderedPageBreak/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D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количество рабочих дней в году.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D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24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норматив среднесуточной загрузки, час./день, Н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Таким образом, эффективный фонд времени работы оборудования 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ставит 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F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эф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=25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8=19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 час.</w:t>
      </w:r>
    </w:p>
    <w:p w:rsidR="00F7219A" w:rsidRPr="0055261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552618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a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 xml:space="preserve">j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=0,2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g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 xml:space="preserve">j 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=4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t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 (42 + 22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48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час.;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b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=22502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р.;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b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=22502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р.</w:t>
      </w:r>
    </w:p>
    <w:p w:rsidR="00F7219A" w:rsidRPr="00B807E1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B807E1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F7219A" w:rsidRPr="00342248" w:rsidRDefault="00F7219A" w:rsidP="00F7219A">
      <w:pPr>
        <w:ind w:firstLine="540"/>
        <w:jc w:val="center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С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а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=0,02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((28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500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490)/1982) р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 = 108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,3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р.</w:t>
      </w:r>
    </w:p>
    <w:p w:rsidR="00F7219A" w:rsidRPr="00342248" w:rsidRDefault="00F7219A" w:rsidP="00F7219A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683"/>
        <w:gridCol w:w="89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0"/>
                <w:sz w:val="28"/>
                <w:szCs w:val="28"/>
                <w:highlight w:val="lightGray"/>
              </w:rPr>
              <w:object w:dxaOrig="1660" w:dyaOrig="700">
                <v:shape id="_x0000_i1027" type="#_x0000_t75" style="width:83.25pt;height:35.25pt" o:ole="">
                  <v:imagedata r:id="rId9" o:title=""/>
                </v:shape>
                <o:OLEObject Type="Embed" ProgID="Equation.3" ShapeID="_x0000_i1027" DrawAspect="Content" ObjectID="_1524939464" r:id="rId10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sz w:val="28"/>
                <w:szCs w:val="28"/>
                <w:highlight w:val="lightGray"/>
              </w:rPr>
              <w:t>(2.16)</w:t>
            </w:r>
          </w:p>
        </w:tc>
      </w:tr>
    </w:tbl>
    <w:p w:rsidR="00F7219A" w:rsidRPr="00342248" w:rsidRDefault="00F7219A" w:rsidP="00F7219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N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установленная мощность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-го вида технических средств, кВт;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t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– время работы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-го вида технических средств, час;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g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 xml:space="preserve">j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– коэффициент использования установленной мощности оборудов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ния;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– тариф на электроэнергию, руб./кВт ч.</w:t>
      </w:r>
    </w:p>
    <w:p w:rsidR="00F7219A" w:rsidRPr="00342248" w:rsidRDefault="00F7219A" w:rsidP="00F7219A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 настоящее время тариф на электроэнергию на данной территории 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ставляет 2,25 руб./кВт ч, установленная мощность для компьютера равна 0,2 кВт, таким образом затраты на силовую энергию для проекта составят З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0,2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480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2,25 руб. =</w:t>
      </w:r>
      <w:r w:rsidRPr="00342248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216 руб.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683"/>
        <w:gridCol w:w="893"/>
      </w:tblGrid>
      <w:tr w:rsidR="00F7219A" w:rsidRPr="00342248" w:rsidTr="001464E1">
        <w:tc>
          <w:tcPr>
            <w:tcW w:w="9108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2"/>
                <w:sz w:val="28"/>
                <w:szCs w:val="28"/>
                <w:highlight w:val="lightGray"/>
              </w:rPr>
              <w:object w:dxaOrig="1920" w:dyaOrig="740">
                <v:shape id="_x0000_i1028" type="#_x0000_t75" style="width:96pt;height:36.75pt" o:ole="">
                  <v:imagedata r:id="rId11" o:title=""/>
                </v:shape>
                <o:OLEObject Type="Embed" ProgID="Equation.3" ShapeID="_x0000_i1028" DrawAspect="Content" ObjectID="_1524939465" r:id="rId12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</w:tcPr>
          <w:p w:rsidR="00F7219A" w:rsidRPr="00342248" w:rsidRDefault="00F7219A" w:rsidP="001464E1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342248">
              <w:rPr>
                <w:sz w:val="28"/>
                <w:szCs w:val="28"/>
                <w:highlight w:val="lightGray"/>
              </w:rPr>
              <w:t>(2.17)</w:t>
            </w:r>
          </w:p>
        </w:tc>
      </w:tr>
    </w:tbl>
    <w:p w:rsidR="00F7219A" w:rsidRPr="00342248" w:rsidRDefault="00F7219A" w:rsidP="00F7219A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pi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- норматив затрат на ремонт (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pi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0,05).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текущий ремонт оборудования составят:</w:t>
      </w:r>
    </w:p>
    <w:p w:rsidR="00F7219A" w:rsidRPr="00342248" w:rsidRDefault="00F7219A" w:rsidP="00F7219A">
      <w:pPr>
        <w:numPr>
          <w:ilvl w:val="0"/>
          <w:numId w:val="1"/>
        </w:numPr>
        <w:tabs>
          <w:tab w:val="clear" w:pos="2084"/>
          <w:tab w:val="num" w:pos="720"/>
          <w:tab w:val="right" w:pos="864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для проекта З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рем1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ru-RU"/>
        </w:rPr>
        <w:t>=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(0,0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6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228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00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49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0) /199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4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</w:t>
      </w:r>
      <w:r w:rsidRPr="00342248">
        <w:rPr>
          <w:rFonts w:ascii="Times New Roman" w:hAnsi="Times New Roman" w:cs="Times New Roman"/>
          <w:bCs/>
          <w:sz w:val="28"/>
          <w:szCs w:val="28"/>
          <w:highlight w:val="lightGray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1,08 руб., 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 руб. (226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00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0,02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).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69059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69059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9059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 которые представлены в таблице #2.10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</w:p>
    <w:p w:rsidR="00F7219A" w:rsidRPr="00342248" w:rsidRDefault="00F7219A" w:rsidP="00F7219A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Накладные расходы для проекта:   </w:t>
      </w:r>
    </w:p>
    <w:p w:rsidR="00F7219A" w:rsidRDefault="00F7219A" w:rsidP="00F7219A">
      <w:pPr>
        <w:spacing w:after="0" w:line="360" w:lineRule="auto"/>
        <w:ind w:firstLine="540"/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н1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 (2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032,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+108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6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,32 +21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+2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9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1,08 +22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0,2 = 45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5,8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4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руб.</w:t>
      </w:r>
      <w:r>
        <w:t xml:space="preserve"> </w:t>
      </w:r>
    </w:p>
    <w:p w:rsidR="00F7219A" w:rsidRPr="00342248" w:rsidRDefault="00F7219A" w:rsidP="00F7219A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</w:p>
    <w:p w:rsidR="00DD5CEC" w:rsidRDefault="00DD5CEC"/>
    <w:sectPr w:rsidR="00DD5CEC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219A"/>
    <w:rsid w:val="00DD5CEC"/>
    <w:rsid w:val="00F72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F7219A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21">
    <w:name w:val="Body Text Indent 21"/>
    <w:basedOn w:val="Normal1"/>
    <w:rsid w:val="00F7219A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2016-05-16T18:31:00Z</dcterms:created>
  <dcterms:modified xsi:type="dcterms:W3CDTF">2016-05-16T18:31:00Z</dcterms:modified>
</cp:coreProperties>
</file>