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3C" w:rsidRPr="0077131A" w:rsidRDefault="00CC733C" w:rsidP="00CC733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</w:pPr>
      <w:r w:rsidRPr="0077131A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>3 ЭКСПЕРИМЕНТАЛЬНОЕ ИССЛЕДОВАНИ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>Е</w:t>
      </w:r>
      <w:r w:rsidRPr="0077131A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CC733C" w:rsidRPr="00E2768E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2015г., после чего выполнено сравнение с реальными цифрами продаж за 2015г. Исходная информация представлена в табл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1.</w:t>
      </w:r>
    </w:p>
    <w:p w:rsidR="00CC733C" w:rsidRPr="002875D2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2875D2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  <w:lang w:val="ru-RU"/>
        </w:rPr>
        <w:t xml:space="preserve">Таблица 1. </w:t>
      </w:r>
    </w:p>
    <w:p w:rsidR="00CC733C" w:rsidRPr="002875D2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2875D2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7"/>
        <w:gridCol w:w="1270"/>
        <w:gridCol w:w="2710"/>
        <w:gridCol w:w="917"/>
        <w:gridCol w:w="1270"/>
        <w:gridCol w:w="2710"/>
      </w:tblGrid>
      <w:tr w:rsidR="00CC733C" w:rsidRPr="002875D2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2875D2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2875D2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2875D2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2875D2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2875D2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2875D2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2875D2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2875D2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817</w:t>
            </w: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4,40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июль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август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5078,33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август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5586,16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сентябрь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4507,20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сентябрь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4957,92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октябрь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2257,19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октябрь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2482,91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ноябрь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3400,69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ноябрь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3740,76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декабрь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2968,71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декабрь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3265,58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январь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2147,14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январь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2361,85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февраль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1325,56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февраль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1458,12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март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2290,95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март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2520,05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апрель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2953,34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апрель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3248,67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май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4216,28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май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4637,91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июнь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8227,569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июнь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</w:tr>
    </w:tbl>
    <w:p w:rsidR="00CC733C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CC733C" w:rsidRPr="00E2768E" w:rsidRDefault="00CC733C" w:rsidP="00CC73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CC733C" w:rsidRPr="00E2768E" w:rsidRDefault="00CC733C" w:rsidP="00CC73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Реализуе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вышеописанный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расчета прогноза. Для провед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испытания алгоритма на практике была выбрана среда MS </w:t>
      </w:r>
      <w:proofErr w:type="spellStart"/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Excel</w:t>
      </w:r>
      <w:proofErr w:type="spellEnd"/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 которая берет на себя выполнение рутинной работы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CC733C" w:rsidRPr="00E2768E" w:rsidRDefault="00CC733C" w:rsidP="00CC73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,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CC733C" w:rsidRPr="00E2768E" w:rsidRDefault="00CC733C" w:rsidP="00CC73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знач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выч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фактических значений объёмов продаж, в результ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 получ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ены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величины сезонной компоненты, пример результатов расчета изображен на рис.4.</w:t>
      </w:r>
    </w:p>
    <w:p w:rsidR="00CC733C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proofErr w:type="spellStart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Таблица</w:t>
      </w:r>
      <w:proofErr w:type="spellEnd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 xml:space="preserve"> 2. 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proofErr w:type="spellStart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Расчёт</w:t>
      </w:r>
      <w:proofErr w:type="spellEnd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значений</w:t>
      </w:r>
      <w:proofErr w:type="spellEnd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сезонной</w:t>
      </w:r>
      <w:proofErr w:type="spellEnd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компоненты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5"/>
        <w:gridCol w:w="2058"/>
        <w:gridCol w:w="2319"/>
        <w:gridCol w:w="2991"/>
      </w:tblGrid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lastRenderedPageBreak/>
              <w:t>Месяцы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</w:t>
            </w:r>
            <w:proofErr w:type="spellEnd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 xml:space="preserve"> </w:t>
            </w: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продаж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</w:t>
            </w:r>
            <w:proofErr w:type="spellEnd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 xml:space="preserve"> </w:t>
            </w: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тренда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Сезонная</w:t>
            </w:r>
            <w:proofErr w:type="spellEnd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 xml:space="preserve"> </w:t>
            </w: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компонента</w:t>
            </w:r>
            <w:proofErr w:type="spellEnd"/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7617,2674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557,1326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6104,0156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-1025,686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4420,3206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86,885473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3004,1224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-746,92323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2086,745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1313,95235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1741,0644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1227,65338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1924,9246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222,217979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2519,8016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-1194,2342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3364,7154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-1073,7593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4285,39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-1332,0489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5118,6614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-902,37664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5732,1336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2495,43589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7617,2674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1374,5726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6104,0156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-517,85304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4420,3206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537,60608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3004,1224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-521,20332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2086,745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1654,02209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1741,0644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1524,52515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1924,9246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436,932237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2519,8016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-1061,6775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3364,7154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-844,6637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4285,39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-1036,7148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5118,6614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-480,74817</w:t>
            </w:r>
          </w:p>
        </w:tc>
      </w:tr>
      <w:tr w:rsidR="00CC733C" w:rsidRPr="007D75A8" w:rsidTr="00BA009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5732,1336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3318,19284</w:t>
            </w:r>
          </w:p>
        </w:tc>
      </w:tr>
    </w:tbl>
    <w:p w:rsidR="00CC733C" w:rsidRPr="00CB566E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  <w:lang w:val="ru-RU"/>
        </w:rPr>
      </w:pPr>
      <w:r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Сезонная компонента корректируется таким образом, чтобы их сумма ровн</w:t>
      </w:r>
      <w:r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лась нулю. 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</w:p>
    <w:p w:rsidR="00CC733C" w:rsidRPr="007D75A8" w:rsidRDefault="00CC733C" w:rsidP="00CC733C">
      <w:pP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lastRenderedPageBreak/>
        <w:t xml:space="preserve">Таблица 3. 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Расчёт средних значений сезонной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6"/>
        <w:gridCol w:w="1437"/>
        <w:gridCol w:w="1717"/>
        <w:gridCol w:w="1540"/>
        <w:gridCol w:w="1717"/>
        <w:gridCol w:w="2232"/>
      </w:tblGrid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Месяцы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 xml:space="preserve">1-й </w:t>
            </w: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сезон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 xml:space="preserve">2-й </w:t>
            </w: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сезон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Итого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Среднее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Сезонная</w:t>
            </w:r>
            <w:proofErr w:type="spellEnd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 xml:space="preserve"> </w:t>
            </w: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компонента</w:t>
            </w:r>
            <w:proofErr w:type="spellEnd"/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557,1326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1374,5726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1931,7052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965,8526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-1025,686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-517,853035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-1543,539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-771,7695155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86,885473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537,60608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624,491553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312,2457765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-746,92323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-521,203316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-1268,1265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-634,0632745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1313,9524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1654,022089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2967,97444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1483,987221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1227,6534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1524,525154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2752,17853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1376,089265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222,21798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436,932237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659,150216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329,575108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-1194,2342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-1061,677479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-2255,9117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-1127,955849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-1073,7593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-844,663701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-1918,423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-959,2115055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-1332,0489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-1036,714798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-2368,7637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-1184,381853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-902,37664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-480,748169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-1383,1248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-691,5624065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2495,4359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3318,192838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5813,62873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2906,814363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Сумма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2005,61993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3. Ра</w:t>
      </w: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сч</w:t>
      </w: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ет</w:t>
      </w: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ошибки модели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как разницы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proofErr w:type="spellStart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Таблица</w:t>
      </w:r>
      <w:proofErr w:type="spellEnd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 xml:space="preserve"> 4. 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proofErr w:type="spellStart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Расчёт</w:t>
      </w:r>
      <w:proofErr w:type="spellEnd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ошибок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1933"/>
        <w:gridCol w:w="2242"/>
        <w:gridCol w:w="4688"/>
      </w:tblGrid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</w:t>
            </w:r>
            <w:proofErr w:type="spellEnd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 xml:space="preserve"> </w:t>
            </w: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продаж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</w:t>
            </w:r>
            <w:proofErr w:type="spellEnd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 xml:space="preserve"> </w:t>
            </w: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модели</w:t>
            </w:r>
            <w:proofErr w:type="spellEnd"/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Отклонения</w:t>
            </w:r>
            <w:proofErr w:type="spellEnd"/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-241,585006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-86,7814863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-58,2253093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54,27503571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-2,89987379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18,69910521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59,77786521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100,8566247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52,58718971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19,46793921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-43,6792433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-244,24348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575,8549942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421,0514747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392,4952977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279,9949527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337,1698622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315,5708832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274,4921232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233,4133637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281,6827987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314,8020492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377,9492317</w:t>
            </w:r>
          </w:p>
        </w:tc>
      </w:tr>
      <w:tr w:rsidR="00CC733C" w:rsidRPr="007D75A8" w:rsidTr="00BA00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733C" w:rsidRPr="007D75A8" w:rsidRDefault="00CC733C" w:rsidP="00BA00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578,5134687</w:t>
            </w:r>
          </w:p>
        </w:tc>
      </w:tr>
    </w:tbl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Наход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ится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среднеквадратическ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ая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ошибк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а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модели (Е) по формуле: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highlight w:val="lightGray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highlight w:val="lightGray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highlight w:val="lightGray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highlight w:val="lightGray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где: 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Т 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− трендовое значение объёма продаж; 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S</w:t>
      </w:r>
      <w:r w:rsidRPr="007D75A8">
        <w:rPr>
          <w:rFonts w:ascii="Times New Roman" w:eastAsia="Times New Roman" w:hAnsi="Times New Roman" w:cs="Times New Roman"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– сезонная компонента; 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О − 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отклонения модели от фактических значений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Е = </w:t>
      </w:r>
      <w:r w:rsidRPr="007D75A8">
        <w:rPr>
          <w:rFonts w:ascii="Times New Roman" w:eastAsia="Times New Roman" w:hAnsi="Times New Roman" w:cs="Times New Roman"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0,003739 или 0.37 %</w:t>
      </w:r>
    </w:p>
    <w:p w:rsidR="00CC733C" w:rsidRPr="008327BD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  <w:t>По результатам, полученным при расчете среднеквадратичной  ошибки можно сделать вывод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о том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в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ную аппроксимацию фактических данных, то есть она действительно от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бражает 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lastRenderedPageBreak/>
        <w:t>экономические тенденции, позволяющие определить объём продаж, что свидетельствуе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т о способности построения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высокоточн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ого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прогноз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.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Теперь 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:</w:t>
      </w:r>
    </w:p>
    <w:p w:rsidR="00CC733C" w:rsidRPr="007D75A8" w:rsidRDefault="00CC733C" w:rsidP="00CC73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F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=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T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+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S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±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E</w:t>
      </w:r>
    </w:p>
    <w:p w:rsidR="00CC733C" w:rsidRPr="008327BD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yellow"/>
          <w:shd w:val="clear" w:color="auto" w:fill="FFFFFF"/>
          <w:lang w:val="ru-RU"/>
        </w:rPr>
        <w:t>На рисунке 1 изображена построенная модель.</w:t>
      </w:r>
    </w:p>
    <w:p w:rsidR="00CC733C" w:rsidRPr="008327BD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  <w:t xml:space="preserve">5. </w:t>
      </w:r>
      <w:r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Используя построенную модель</w:t>
      </w: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,</w:t>
      </w:r>
      <w:r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 xml:space="preserve"> рас</w:t>
      </w: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с</w:t>
      </w:r>
      <w:r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читывается прогноз объёмов продаж. Для уменьшения влияния прошедших тенденций на точность результатов, помимо трендового анализа применяется экспоненциальное сгл</w:t>
      </w:r>
      <w:r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а</w:t>
      </w:r>
      <w:r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живание. Это позволит не упустить новые тенденции: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</m:t>
          </m:r>
        </m:oMath>
      </m:oMathPara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где: 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t</m:t>
        </m:r>
      </m:oMath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− прогнозное значение объёма продаж; 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1</m:t>
        </m:r>
      </m:oMath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 – фактическое значение объёма продаж в предыдущем году; 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t</m:t>
        </m:r>
      </m:oMath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− значение модели; 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а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– константа сглаживания.</w:t>
      </w:r>
    </w:p>
    <w:p w:rsidR="00CC733C" w:rsidRPr="008327BD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т</w:t>
      </w:r>
      <w:r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</w:t>
      </w:r>
      <w:r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ции. То есть случай, когда главные характеристики колеблются с той же а</w:t>
      </w:r>
      <w:r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м</w:t>
      </w:r>
      <w:r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плитудой, что и раньше, свидетельствует об отсутствии фактов, предвеща</w:t>
      </w:r>
      <w:r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ю</w:t>
      </w:r>
      <w:r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щих грядущие  изменения сложившейся экономической ситуации.</w:t>
      </w:r>
    </w:p>
    <w:p w:rsidR="00CC733C" w:rsidRPr="007D75A8" w:rsidRDefault="00CC733C" w:rsidP="00CC73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lastRenderedPageBreak/>
        <w:drawing>
          <wp:inline distT="0" distB="0" distL="0" distR="0">
            <wp:extent cx="5734050" cy="4600575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33C" w:rsidRPr="007D75A8" w:rsidRDefault="00CC733C" w:rsidP="00CC73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Рис. 5. Модель прогноза объёма продаж</w:t>
      </w:r>
    </w:p>
    <w:p w:rsidR="00CC733C" w:rsidRPr="00D9097B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CC733C" w:rsidRPr="00D9097B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модели: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)</m:t>
          </m:r>
        </m:oMath>
      </m:oMathPara>
    </w:p>
    <w:p w:rsidR="00CC733C" w:rsidRPr="00D9097B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F_ф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t-1) соста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был построен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CC733C" w:rsidRPr="007D75A8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)</m:t>
          </m:r>
        </m:oMath>
      </m:oMathPara>
    </w:p>
    <w:p w:rsidR="00CC733C" w:rsidRPr="00D9097B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переменчивы. Д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нять построение прогноза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фактиче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Результаты проведенных исслед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ний показали, что максимальный 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период равен году, то 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значения, полученные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CC733C" w:rsidRPr="00D9097B" w:rsidRDefault="00CC733C" w:rsidP="00CC733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2.1 Точность прогнозов </w:t>
      </w:r>
    </w:p>
    <w:p w:rsidR="00CC733C" w:rsidRPr="00D9097B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Результаты  прогноза</w:t>
            </w: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июль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август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сентябрь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октябрь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ноябрь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декабрь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январь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февраль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март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апрель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май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CC733C" w:rsidRPr="007D75A8" w:rsidTr="00BA0091"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июнь</w:t>
            </w:r>
            <w:proofErr w:type="spellEnd"/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CC733C" w:rsidRPr="007D75A8" w:rsidRDefault="00CC733C" w:rsidP="00BA009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</w:tbl>
    <w:p w:rsidR="00CC733C" w:rsidRPr="007D75A8" w:rsidRDefault="00CC733C" w:rsidP="00CC733C">
      <w:pPr>
        <w:spacing w:after="0" w:line="360" w:lineRule="auto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</w:p>
    <w:p w:rsidR="00CC733C" w:rsidRPr="00D43AFE" w:rsidRDefault="00CC733C" w:rsidP="00CC73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Справедливо за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ьно работает и имеет 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поле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Зача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тую для начинающи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нимателей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такие ошибки обходятся довольно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дорог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как они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неоднократно приводили к закрытию перспективного м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лого или крупного бизнеса только из-за неправильных рас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четов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Так же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предприниматель 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расчета сезонных продаж,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поможет погас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снов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ываясь на вышесказа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ном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том,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полезность алгоритма высока 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его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пользование в данной системе оправдано.</w:t>
      </w:r>
    </w:p>
    <w:p w:rsidR="00E7753F" w:rsidRDefault="00E7753F"/>
    <w:sectPr w:rsidR="00E775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CC733C"/>
    <w:rsid w:val="00CC733C"/>
    <w:rsid w:val="00E77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33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1378</Words>
  <Characters>7856</Characters>
  <Application>Microsoft Office Word</Application>
  <DocSecurity>0</DocSecurity>
  <Lines>65</Lines>
  <Paragraphs>18</Paragraphs>
  <ScaleCrop>false</ScaleCrop>
  <Company/>
  <LinksUpToDate>false</LinksUpToDate>
  <CharactersWithSpaces>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</cp:revision>
  <dcterms:created xsi:type="dcterms:W3CDTF">2016-05-17T12:37:00Z</dcterms:created>
  <dcterms:modified xsi:type="dcterms:W3CDTF">2016-05-17T12:37:00Z</dcterms:modified>
</cp:coreProperties>
</file>