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Student ID: 25SF51115</w:t>
      </w:r>
    </w:p>
    <w:p>
      <w:pPr>
        <w:jc w:val="center"/>
      </w:pPr>
      <w:r>
        <w:rPr>
          <w:rFonts w:ascii="Times New Roman" w:hAnsi="Times New Roman" w:eastAsia="SimSun"/>
          <w:b w:val="0"/>
          <w:sz w:val="20"/>
        </w:rPr>
        <w:t>Supervisor / Course Instructor: Dr. Kuo-Kun Tseng</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Advanced Artificial Intelligence Course Laboratory</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360"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is written for the Advanced Artificial Intelligence course and connects MLLMs to structural, visual, language, generative, graph, multimodal, reinforcement, and agent intelligence. It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360" w:lineRule="auto" w:after="60"/>
        <w:jc w:val="both"/>
      </w:pPr>
      <w:r>
        <w:rPr>
          <w:rFonts w:ascii="Times New Roman" w:hAnsi="Times New Roman" w:eastAsia="SimSun"/>
          <w:b w:val="0"/>
          <w:sz w:val="20"/>
        </w:rPr>
        <w:t>Multimodal Intelligence, Large Language Models, Cross-Modal Fusion, Hallucination, Agent Intelligence</w:t>
      </w:r>
    </w:p>
    <w:p>
      <w:pPr>
        <w:spacing w:before="240" w:after="120"/>
      </w:pPr>
      <w:r>
        <w:rPr>
          <w:rFonts w:ascii="Times New Roman" w:hAnsi="Times New Roman" w:eastAsia="SimSun"/>
          <w:b/>
          <w:sz w:val="24"/>
        </w:rPr>
        <w:t>1. Introduction</w:t>
      </w:r>
    </w:p>
    <w:p>
      <w:pPr>
        <w:spacing w:line="360"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360"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360"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360"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Recent survey papers and community resources have also attempted to systematize this expanding field [23] [24] [25] [26]. No new benchmark scores are reported. Where benchmark names are discussed, the purpose is to explain what they evaluate and why they matter.</w:t>
      </w:r>
    </w:p>
    <w:p>
      <w:pPr>
        <w:spacing w:line="360"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main research challenge in MLLMs is not simply adding images to language models. The deeper problem is how to preserve visual evidence while benefiting from the abstraction and reasoning capacity of language models. Existing evidence indicates that many impressive demonstrations still depend on fragile interactions between visual encoders, connectors, prompts, and language priors. For this reason, the paper treats architecture, grounding, evaluation, and reproducibility as one connected problem rather than as separate topics.</w:t>
      </w:r>
    </w:p>
    <w:p>
      <w:pPr>
        <w:spacing w:before="240" w:after="120"/>
      </w:pPr>
      <w:r>
        <w:rPr>
          <w:rFonts w:ascii="Times New Roman" w:hAnsi="Times New Roman" w:eastAsia="SimSun"/>
          <w:b/>
          <w:sz w:val="24"/>
        </w:rPr>
        <w:t>2. Theoretical Foundation: Eight Core AI Intelligence Modules</w:t>
      </w:r>
    </w:p>
    <w:p>
      <w:pPr>
        <w:spacing w:line="360" w:lineRule="auto" w:after="60"/>
        <w:jc w:val="both"/>
      </w:pPr>
      <w:r>
        <w:rPr>
          <w:rFonts w:ascii="Times New Roman" w:hAnsi="Times New Roman" w:eastAsia="SimSun"/>
          <w:b w:val="0"/>
          <w:sz w:val="20"/>
        </w:rPr>
        <w:t>The Advanced Artificial Intelligence course is organized around eight connected intelligence modules: structural intelligence, visual intelligence, language intelligence, generative intelligence, graph intelligence, multimodal intelligence, reinforcement intelligence, and agent intelligence [27]. This survey focuses on multimodal large language models, but MLLMs depend on concepts from all eight modules. A course-aligned survey must therefore explain how MLLMs are positioned within the broader advanced AI system.</w:t>
      </w:r>
    </w:p>
    <w:p>
      <w:pPr>
        <w:spacing w:before="160" w:after="80"/>
      </w:pPr>
      <w:r>
        <w:rPr>
          <w:rFonts w:ascii="Times New Roman" w:hAnsi="Times New Roman" w:eastAsia="SimSun"/>
          <w:b/>
          <w:sz w:val="20"/>
        </w:rPr>
        <w:t>2.1 Structural Intelligence</w:t>
      </w:r>
    </w:p>
    <w:p>
      <w:pPr>
        <w:spacing w:line="360" w:lineRule="auto" w:after="60"/>
        <w:jc w:val="both"/>
      </w:pPr>
      <w:r>
        <w:rPr>
          <w:rFonts w:ascii="Times New Roman" w:hAnsi="Times New Roman" w:eastAsia="SimSun"/>
          <w:b w:val="0"/>
          <w:sz w:val="20"/>
        </w:rPr>
        <w:t>Structural intelligence concerns the basic neural architectures that support modern AI systems, including neurons, activation functions, multilayer perceptrons, convolutional networks, recurrent structures, backpropagation, matrix multiplication, and optimization [27]. For MLLMs, structural intelligence provides the computational substrate: visual encoders, projection layers, attention blocks, and language backbones are all built from these general neural-network principles.</w:t>
      </w:r>
    </w:p>
    <w:p>
      <w:pPr>
        <w:spacing w:before="160" w:after="80"/>
      </w:pPr>
      <w:r>
        <w:rPr>
          <w:rFonts w:ascii="Times New Roman" w:hAnsi="Times New Roman" w:eastAsia="SimSun"/>
          <w:b/>
          <w:sz w:val="20"/>
        </w:rPr>
        <w:t>2.2 Visual Intelligence</w:t>
      </w:r>
    </w:p>
    <w:p>
      <w:pPr>
        <w:spacing w:line="360" w:lineRule="auto" w:after="60"/>
        <w:jc w:val="both"/>
      </w:pPr>
      <w:r>
        <w:rPr>
          <w:rFonts w:ascii="Times New Roman" w:hAnsi="Times New Roman" w:eastAsia="SimSun"/>
          <w:b w:val="0"/>
          <w:sz w:val="20"/>
        </w:rPr>
        <w:t>Visual intelligence studies how machines perceive images and videos through CNNs, object detection, semantic segmentation, and vision transformers [27]. MLLMs inherit visual understanding from this module. A weak visual encoder limits the entire multimodal system, especially on small objects, spatial relations, OCR, diagrams, and document images. This is why MLLM research cannot be separated from progress in visual representation learning.</w:t>
      </w:r>
    </w:p>
    <w:p>
      <w:pPr>
        <w:spacing w:before="160" w:after="80"/>
      </w:pPr>
      <w:r>
        <w:rPr>
          <w:rFonts w:ascii="Times New Roman" w:hAnsi="Times New Roman" w:eastAsia="SimSun"/>
          <w:b/>
          <w:sz w:val="20"/>
        </w:rPr>
        <w:t>2.3 Language Intelligence</w:t>
      </w:r>
    </w:p>
    <w:p>
      <w:pPr>
        <w:spacing w:line="360" w:lineRule="auto" w:after="60"/>
        <w:jc w:val="both"/>
      </w:pPr>
      <w:r>
        <w:rPr>
          <w:rFonts w:ascii="Times New Roman" w:hAnsi="Times New Roman" w:eastAsia="SimSun"/>
          <w:b w:val="0"/>
          <w:sz w:val="20"/>
        </w:rPr>
        <w:t>Language intelligence covers sequence modeling, self-attention, Transformer architecture, and large language models [1] [2] [27]. MLLMs rely on language intelligence for instruction following, reasoning, dialogue, and long-form generation. However, language intelligence also introduces risk: strong textual priors can cause fluent but visually unsupported answers.</w:t>
      </w:r>
    </w:p>
    <w:p>
      <w:pPr>
        <w:spacing w:before="160" w:after="80"/>
      </w:pPr>
      <w:r>
        <w:rPr>
          <w:rFonts w:ascii="Times New Roman" w:hAnsi="Times New Roman" w:eastAsia="SimSun"/>
          <w:b/>
          <w:sz w:val="20"/>
        </w:rPr>
        <w:t>2.4 Generative Intelligence</w:t>
      </w:r>
    </w:p>
    <w:p>
      <w:pPr>
        <w:spacing w:line="360" w:lineRule="auto" w:after="60"/>
        <w:jc w:val="both"/>
      </w:pPr>
      <w:r>
        <w:rPr>
          <w:rFonts w:ascii="Times New Roman" w:hAnsi="Times New Roman" w:eastAsia="SimSun"/>
          <w:b w:val="0"/>
          <w:sz w:val="20"/>
        </w:rPr>
        <w:t>Generative intelligence includes VAE, GAN, diffusion models, autoregressive models, and hybrid generation paradigms [27]. MLLMs use generative modeling to produce natural-language answers and may also connect to image, video, or audio generators. Generative ability is useful only when it remains grounded in the input evidence; otherwise, it can amplify hallucination.</w:t>
      </w:r>
    </w:p>
    <w:p>
      <w:pPr>
        <w:spacing w:before="160" w:after="80"/>
      </w:pPr>
      <w:r>
        <w:rPr>
          <w:rFonts w:ascii="Times New Roman" w:hAnsi="Times New Roman" w:eastAsia="SimSun"/>
          <w:b/>
          <w:sz w:val="20"/>
        </w:rPr>
        <w:t>2.5 Graph Intelligence</w:t>
      </w:r>
    </w:p>
    <w:p>
      <w:pPr>
        <w:spacing w:line="360" w:lineRule="auto" w:after="60"/>
        <w:jc w:val="both"/>
      </w:pPr>
      <w:r>
        <w:rPr>
          <w:rFonts w:ascii="Times New Roman" w:hAnsi="Times New Roman" w:eastAsia="SimSun"/>
          <w:b w:val="0"/>
          <w:sz w:val="20"/>
        </w:rPr>
        <w:t>Graph intelligence studies non-Euclidean data, graph convolutional networks, graph attention networks, and graph representation learning [27]. Although many MLLMs process images as token sequences, graph intelligence remains relevant for scene graphs, knowledge graphs, document layouts, relation extraction, and structured reasoning over entities and attributes. Scene graphs are especially useful because they represent objects, attributes, and relations explicitly, making it easier to test whether an MLLM has grounded its answer in visible evidence. They also provide a bridge between visual perception and symbolic reasoning when tasks require spatial relations, object interactions, or multi-step scene understanding.</w:t>
      </w:r>
    </w:p>
    <w:p>
      <w:pPr>
        <w:spacing w:before="160" w:after="80"/>
      </w:pPr>
      <w:r>
        <w:rPr>
          <w:rFonts w:ascii="Times New Roman" w:hAnsi="Times New Roman" w:eastAsia="SimSun"/>
          <w:b/>
          <w:sz w:val="20"/>
        </w:rPr>
        <w:t>2.6 Multimodal Intelligence</w:t>
      </w:r>
    </w:p>
    <w:p>
      <w:pPr>
        <w:spacing w:line="360" w:lineRule="auto" w:after="60"/>
        <w:jc w:val="both"/>
      </w:pPr>
      <w:r>
        <w:rPr>
          <w:rFonts w:ascii="Times New Roman" w:hAnsi="Times New Roman" w:eastAsia="SimSun"/>
          <w:b w:val="0"/>
          <w:sz w:val="20"/>
        </w:rPr>
        <w:t>Multimodal intelligence is the central module of this survey. It studies how systems process and fuse text, images, audio, video, and other modalities [27]. MLLMs are a frontier form of multimodal intelligence because they connect perception modules to language models and attempt to support open-ended cross-modal reasoning.</w:t>
      </w:r>
    </w:p>
    <w:p>
      <w:pPr>
        <w:spacing w:before="160" w:after="80"/>
      </w:pPr>
      <w:r>
        <w:rPr>
          <w:rFonts w:ascii="Times New Roman" w:hAnsi="Times New Roman" w:eastAsia="SimSun"/>
          <w:b/>
          <w:sz w:val="20"/>
        </w:rPr>
        <w:t>2.7 Reinforcement Intelligence</w:t>
      </w:r>
    </w:p>
    <w:p>
      <w:pPr>
        <w:spacing w:line="360" w:lineRule="auto" w:after="60"/>
        <w:jc w:val="both"/>
      </w:pPr>
      <w:r>
        <w:rPr>
          <w:rFonts w:ascii="Times New Roman" w:hAnsi="Times New Roman" w:eastAsia="SimSun"/>
          <w:b w:val="0"/>
          <w:sz w:val="20"/>
        </w:rPr>
        <w:t>Reinforcement intelligence studies agents that learn through interaction, reward, and policy optimization, including DQN, PPO, multi-agent systems, and reinforcement fine-tuning [27]. MLLMs connect to this module through reinforcement learning from human feedback, safety alignment, tool-use policies, and future embodied or interactive multimodal agents.</w:t>
      </w:r>
    </w:p>
    <w:p>
      <w:pPr>
        <w:spacing w:before="160" w:after="80"/>
      </w:pPr>
      <w:r>
        <w:rPr>
          <w:rFonts w:ascii="Times New Roman" w:hAnsi="Times New Roman" w:eastAsia="SimSun"/>
          <w:b/>
          <w:sz w:val="20"/>
        </w:rPr>
        <w:t>2.8 Agent Intelligence</w:t>
      </w:r>
    </w:p>
    <w:p>
      <w:pPr>
        <w:spacing w:line="360" w:lineRule="auto" w:after="60"/>
        <w:jc w:val="both"/>
      </w:pPr>
      <w:r>
        <w:rPr>
          <w:rFonts w:ascii="Times New Roman" w:hAnsi="Times New Roman" w:eastAsia="SimSun"/>
          <w:b w:val="0"/>
          <w:sz w:val="20"/>
        </w:rPr>
        <w:t>Agent intelligence studies LLM-based systems that plan, use tools, call external resources, maintain memory, and execute workflows [27]. Modern MLLMs increasingly act as multimodal agents: they may inspect images, crop regions, read documents, query retrieval systems, call OCR tools, or control robots. This makes agent intelligence a natural extension of multimodal intelligence.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eight-module framework shows that MLLMs are not an isolated research topic. They are an integration point where visual intelligence supplies perception, language intelligence supplies reasoning, generative intelligence supplies output generation, structural intelligence supplies model architecture, graph intelligence supplies relational structure, reinforcement intelligence supplies alignment and interaction, and agent intelligence supplies workflow execution. This survey therefore treats MLLMs as a cross-module system rather than a single-model category.</w:t>
      </w:r>
    </w:p>
    <w:p>
      <w:pPr>
        <w:spacing w:before="240" w:after="120"/>
      </w:pPr>
      <w:r>
        <w:rPr>
          <w:rFonts w:ascii="Times New Roman" w:hAnsi="Times New Roman" w:eastAsia="SimSun"/>
          <w:b/>
          <w:sz w:val="24"/>
        </w:rPr>
        <w:t>3. In-Depth Investigation of the Target Direction: Multimodal Large Language Models</w:t>
      </w:r>
    </w:p>
    <w:p>
      <w:pPr>
        <w:spacing w:line="360"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360" w:lineRule="auto" w:after="60"/>
        <w:jc w:val="both"/>
      </w:pPr>
      <w:r>
        <w:rPr>
          <w:rFonts w:ascii="Times New Roman" w:hAnsi="Times New Roman" w:eastAsia="SimSun"/>
          <w:b w:val="0"/>
          <w:sz w:val="20"/>
        </w:rPr>
        <w:t>Vision-language representation learning provided the second foundation. Earlier attention-based visual question answering and captioning systems highlighted the value of bottom-up visual features before the current MLLM wave [28]. Transformer-based systems such as ViLBERT, LXMERT, UNITER, Oscar, VinVL, and OFA then studied cross-modal pretraining in more unified settings [29] [30] [31] [32] [33] [34].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360"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[35].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360"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360" w:lineRule="auto" w:after="60"/>
        <w:jc w:val="both"/>
      </w:pPr>
      <w:r>
        <w:rPr>
          <w:rFonts w:ascii="Times New Roman" w:hAnsi="Times New Roman" w:eastAsia="SimSun"/>
          <w:b w:val="0"/>
          <w:sz w:val="20"/>
        </w:rPr>
        <w:t>Recent systems have expanded the design space. PaLI and PaLM-E illustrate multilingual and embodied multimodal scaling [36] [37]. Kosmos-1 and Kosmos-2 emphasize aligning perception with language and grounding multimodal language models to the world [38] [39].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[40] [41] [42] [43] [44] [45]. InternVL studies scaling of vision foundation models and alignment for generic visual-linguistic tasks [46].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360" w:lineRule="auto" w:after="60"/>
        <w:jc w:val="both"/>
      </w:pPr>
      <w:r>
        <w:rPr>
          <w:rFonts w:ascii="Times New Roman" w:hAnsi="Times New Roman" w:eastAsia="SimSun"/>
          <w:b w:val="0"/>
          <w:sz w:val="20"/>
        </w:rPr>
        <w:t>Additional recent work broadens the field beyond still-image chat. GPT-4 and Gemini show the role of frontier-scale multimodal or multimodal-adjacent systems [47] [48]. OpenFlamingo and IDEFICS/OBELICS emphasize reproducible or openly described training infrastructure and interleaved image-text corpora [49] [50]. ImageBind explores shared embeddings across multiple modalities [51], while NExT-GPT, LLaMA-VID, and Video-ChatGPT extend the discussion toward any-to-any multimodality and video understanding [52] [53] [54]. Model composition research further asks whether separately trained multimodal experts can be combined rather than retrained from scratch [55].</w:t>
      </w:r>
    </w:p>
    <w:p>
      <w:pPr>
        <w:spacing w:line="360" w:lineRule="auto" w:after="60"/>
        <w:jc w:val="both"/>
      </w:pPr>
      <w:r>
        <w:rPr>
          <w:rFonts w:ascii="Times New Roman" w:hAnsi="Times New Roman" w:eastAsia="SimSun"/>
          <w:b w:val="0"/>
          <w:sz w:val="20"/>
        </w:rPr>
        <w:t>Evaluation research has also evolved. Early visual question answering benchmarks such as VQA [13], GQA [14], OK-VQA [15], A-OKVQA, and CLEVR tested specific combinations of perception, language, compositional reasoning, and external knowledge [56] [57]. TextVQA, DocVQA, and ChartQA extended evaluation toward visual text reading, document images, and chart reasoning [58] [59] [60]. ScienceQA introduced science-question reasoning with multimodal explanations [16]. Modern MLLM benchmarks such as MME, MMBench, MM-Vet, MMMU, SEED-Bench, and HallusionBench attempt to measure broader capability dimensions, generative comprehension, and hallucination or visual-illusion behavior [17] [18] [19] [20] [61] [62]. POPE focuses specifically on object hallucination [21], while MathVista evaluates mathematical reasoning in visual contexts [22]. This benchmark expansion reflects a key point: no single test can characterize an MLLM.</w:t>
      </w:r>
    </w:p>
    <w:p>
      <w:pPr>
        <w:spacing w:line="360" w:lineRule="auto" w:after="60"/>
        <w:jc w:val="both"/>
      </w:pPr>
      <w:r>
        <w:rPr>
          <w:rFonts w:ascii="Times New Roman" w:hAnsi="Times New Roman" w:eastAsia="SimSun"/>
          <w:b w:val="0"/>
          <w:sz w:val="20"/>
        </w:rPr>
        <w:t>This survey also includes a HITSZ-linked grounded evaluation perspective. CulturALL includes Wenjiang Luo among the authors and lists Baotian Hu with Harbin Institute of Technology, Shenzhen affiliation; it benchmarks multilingual and multicultural competence on grounded tasks [63]. This is relevant because MLLM evaluation is increasingly concerned not only with object recognition and English visual question answering, but also with cultural grounding, multilingual robustness, and task settings where visual or contextual evidence must be interpreted carefully.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related literature suggests a transition from task-specific vision-language systems to general multimodal interfaces. However, the transition is incomplete. Many open systems inherit strong image encoders and language models, but their connectors and training data often determine whether the final system is genuinely grounded. The literature also shows a reproducibility divide: open models support inspection and ablation, while frontier closed systems influence expectations but cannot be scientifically reproduced from public information alone.</w:t>
      </w:r>
    </w:p>
    <w:p>
      <w:pPr>
        <w:spacing w:before="160" w:after="80"/>
      </w:pPr>
      <w:r>
        <w:rPr>
          <w:rFonts w:ascii="Times New Roman" w:hAnsi="Times New Roman" w:eastAsia="SimSun"/>
          <w:b/>
          <w:sz w:val="20"/>
        </w:rPr>
        <w:t>3.1 Technical Foundation of Multimodal Large Language Models</w:t>
      </w:r>
    </w:p>
    <w:p>
      <w:pPr>
        <w:spacing w:line="360"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p(y | x_v, x_t) = \prod_{i=1}^{T} p(y_i | y_{&lt;i}, x_t, f_v(x_v)),</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360"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360"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360"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360"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most important theoretical issue is the visual-token bottleneck. A model cannot reason over evidence that has been discarded before the language model receives it. This survey therefore views connectors not as minor engineering components but as epistemic filters: they decide what the language model is allowed to know about the image. Future theory should explain not only how to align modalities, but also how to measure information loss, uncertainty, and evidence faithfulness during visual-to-language transfer.</w:t>
      </w:r>
    </w:p>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General MLLM architecture and information-flow bottleneck.</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3.2 Survey Methodology</w:t>
      </w:r>
    </w:p>
    <w:p>
      <w:pPr>
        <w:spacing w:before="160" w:after="80"/>
      </w:pPr>
      <w:r>
        <w:rPr>
          <w:rFonts w:ascii="Times New Roman" w:hAnsi="Times New Roman" w:eastAsia="SimSun"/>
          <w:b/>
          <w:sz w:val="20"/>
        </w:rPr>
        <w:t>3.2.1 Problem Definition</w:t>
      </w:r>
    </w:p>
    <w:p>
      <w:pPr>
        <w:spacing w:line="360"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360"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3.2.2 Literature Selection</w:t>
      </w:r>
    </w:p>
    <w:p>
      <w:pPr>
        <w:spacing w:line="360"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360"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3.2.3 Taxonomy Construction</w:t>
      </w:r>
    </w:p>
    <w:p>
      <w:pPr>
        <w:spacing w:line="360"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360"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3.2.4 Implementation Details</w:t>
      </w:r>
    </w:p>
    <w:p>
      <w:pPr>
        <w:spacing w:line="360"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methodology is intentionally conservative. It does not attempt to produce a leaderboard because no models were executed under controlled conditions. This is a strength rather than a weakness for a survey paper: it prevents unsupported empirical claims and focuses the contribution on organization, comparison, and reproducibility. The main limitation of the method is that qualitative comparison depends on the quality and representativeness of selected literature, so the bibliography must remain transparent and updateable.</w:t>
      </w:r>
    </w:p>
    <w:p>
      <w:pPr>
        <w:spacing w:before="240" w:after="120"/>
      </w:pPr>
      <w:r>
        <w:rPr>
          <w:rFonts w:ascii="Times New Roman" w:hAnsi="Times New Roman" w:eastAsia="SimSun"/>
          <w:b/>
          <w:sz w:val="24"/>
        </w:rPr>
        <w:t>4. Comparative Analysis and Frontier Research Progress</w:t>
      </w:r>
    </w:p>
    <w:p>
      <w:pPr>
        <w:spacing w:before="160" w:after="80"/>
      </w:pPr>
      <w:r>
        <w:rPr>
          <w:rFonts w:ascii="Times New Roman" w:hAnsi="Times New Roman" w:eastAsia="SimSun"/>
          <w:b/>
          <w:sz w:val="20"/>
        </w:rPr>
        <w:t>4.1 Architecture Taxonomy: Contrastive Representation Models</w:t>
      </w:r>
    </w:p>
    <w:p>
      <w:pPr>
        <w:spacing w:line="360"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360"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4.2 Architecture Taxonomy: Generative Vision-Language Pretraining</w:t>
      </w:r>
    </w:p>
    <w:p>
      <w:pPr>
        <w:spacing w:line="360" w:lineRule="auto" w:after="60"/>
        <w:jc w:val="both"/>
      </w:pPr>
      <w:r>
        <w:rPr>
          <w:rFonts w:ascii="Times New Roman" w:hAnsi="Times New Roman" w:eastAsia="SimSun"/>
          <w:b w:val="0"/>
          <w:sz w:val="20"/>
        </w:rPr>
        <w:t>BLIP introduced bootstrapping methods for unified vision-language understanding and generation [35]. Its core insight is that noisy web captions can be improved through caption generation and filtering, producing better supervision for downstream learning. This line of work bridges the gap between static representation learning and text generation.</w:t>
      </w:r>
    </w:p>
    <w:p>
      <w:pPr>
        <w:spacing w:line="360"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4.3 Architecture Taxonomy: Frozen-Backbone Connector Models</w:t>
      </w:r>
    </w:p>
    <w:p>
      <w:pPr>
        <w:spacing w:line="360"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360"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4.4 Architecture Taxonomy: Instruction-Tuned Open MLLMs</w:t>
      </w:r>
    </w:p>
    <w:p>
      <w:pPr>
        <w:spacing w:line="360"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360"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4.5 Architecture Taxonomy: Expanded Capability Models</w:t>
      </w:r>
    </w:p>
    <w:p>
      <w:pPr>
        <w:spacing w:line="360"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[46].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360"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4.6 Cross-Cutting Architecture Trade-Offs</w:t>
      </w:r>
    </w:p>
    <w:p>
      <w:pPr>
        <w:spacing w:line="360" w:lineRule="auto" w:after="60"/>
        <w:jc w:val="both"/>
      </w:pPr>
      <w:r>
        <w:rPr>
          <w:rFonts w:ascii="Times New Roman" w:hAnsi="Times New Roman" w:eastAsia="SimSun"/>
          <w:b w:val="0"/>
          <w:sz w:val="20"/>
        </w:rPr>
        <w:t>Across model families, the central architecture problem is evidence preservation. Visual encoders must retain fine-grained information for OCR, spatial relations, charts, diagrams, and counting. Connectors then decide how much of that evidence reaches the language model. A linear projection is efficient but may lose detail; Q-Former-style query modules are selective but can discard unexpected evidence; cross-attention is expressive but more expensive; visual-expert modules improve specialization but increase complexity.</w:t>
      </w:r>
    </w:p>
    <w:p>
      <w:pPr>
        <w:spacing w:line="360" w:lineRule="auto" w:after="60"/>
        <w:jc w:val="both"/>
      </w:pPr>
      <w:r>
        <w:rPr>
          <w:rFonts w:ascii="Times New Roman" w:hAnsi="Times New Roman" w:eastAsia="SimSun"/>
          <w:b w:val="0"/>
          <w:sz w:val="20"/>
        </w:rPr>
        <w:t>The language backbone supplies fluency, world knowledge, and reasoning, but it also introduces priors that can override weak visual evidence. This is why open and closed systems must be evaluated differently. Open models support inspection, ablation, and reproducible error analysis. Closed models may provide strong capability baselines, but their architecture, data, and alignment procedures cannot be independently verified. For a course survey, open reproducible systems are therefore more scientifically useful even when closed systems are practically influential.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Architecture design in MLLMs is a sequence of trade-offs. A simple projection connector is cheap but can lose visual detail. A query transformer improves selectivity but may hide what evidence was discarded. Cross-attention is expressive but expensive. Visual-expert modules preserve specialized perception but add system complexity. This survey argues that future architectures should be judged by evidence preservation, controllability, and auditability, not only by benchmark rank.</w:t>
      </w:r>
    </w:p>
    <w:p>
      <w:pPr>
        <w:jc w:val="center"/>
      </w:pPr>
      <w:r>
        <w:rPr>
          <w:rFonts w:ascii="Times New Roman" w:hAnsi="Times New Roman"/>
          <w:b/>
          <w:sz w:val="16"/>
        </w:rPr>
        <w:t>Table 1a. Representative MLLM architecture and openness comparison.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shd w:fill="D9EAF7"/>
          </w:tcPr>
          <w:p>
            <w:r/>
            <w:r>
              <w:rPr>
                <w:rFonts w:ascii="Times New Roman" w:hAnsi="Times New Roman" w:eastAsia="SimSun"/>
                <w:b/>
                <w:sz w:val="12"/>
              </w:rPr>
              <w:t>Model</w:t>
            </w:r>
          </w:p>
        </w:tc>
        <w:tc>
          <w:tcPr>
            <w:tcW w:type="dxa" w:w="1512"/>
            <w:shd w:fill="D9EAF7"/>
          </w:tcPr>
          <w:p>
            <w:r/>
            <w:r>
              <w:rPr>
                <w:rFonts w:ascii="Times New Roman" w:hAnsi="Times New Roman" w:eastAsia="SimSun"/>
                <w:b/>
                <w:sz w:val="12"/>
              </w:rPr>
              <w:t>Year</w:t>
            </w:r>
          </w:p>
        </w:tc>
        <w:tc>
          <w:tcPr>
            <w:tcW w:type="dxa" w:w="1512"/>
            <w:shd w:fill="D9EAF7"/>
          </w:tcPr>
          <w:p>
            <w:r/>
            <w:r>
              <w:rPr>
                <w:rFonts w:ascii="Times New Roman" w:hAnsi="Times New Roman" w:eastAsia="SimSun"/>
                <w:b/>
                <w:sz w:val="12"/>
              </w:rPr>
              <w:t>Vision Encoder</w:t>
            </w:r>
          </w:p>
        </w:tc>
        <w:tc>
          <w:tcPr>
            <w:tcW w:type="dxa" w:w="1512"/>
            <w:shd w:fill="D9EAF7"/>
          </w:tcPr>
          <w:p>
            <w:r/>
            <w:r>
              <w:rPr>
                <w:rFonts w:ascii="Times New Roman" w:hAnsi="Times New Roman" w:eastAsia="SimSun"/>
                <w:b/>
                <w:sz w:val="12"/>
              </w:rPr>
              <w:t>LLM Backbone</w:t>
            </w:r>
          </w:p>
        </w:tc>
        <w:tc>
          <w:tcPr>
            <w:tcW w:type="dxa" w:w="1512"/>
            <w:shd w:fill="D9EAF7"/>
          </w:tcPr>
          <w:p>
            <w:r/>
            <w:r>
              <w:rPr>
                <w:rFonts w:ascii="Times New Roman" w:hAnsi="Times New Roman" w:eastAsia="SimSun"/>
                <w:b/>
                <w:sz w:val="12"/>
              </w:rPr>
              <w:t>Connector</w:t>
            </w:r>
          </w:p>
        </w:tc>
        <w:tc>
          <w:tcPr>
            <w:tcW w:type="dxa" w:w="1512"/>
            <w:shd w:fill="D9EAF7"/>
          </w:tcPr>
          <w:p>
            <w:r/>
            <w:r>
              <w:rPr>
                <w:rFonts w:ascii="Times New Roman" w:hAnsi="Times New Roman" w:eastAsia="SimSun"/>
                <w:b/>
                <w:sz w:val="12"/>
              </w:rPr>
              <w:t>Open Source</w:t>
            </w:r>
          </w:p>
        </w:tc>
      </w:tr>
      <w:tr>
        <w:tc>
          <w:tcPr>
            <w:tcW w:type="dxa" w:w="1512"/>
          </w:tcPr>
          <w:p>
            <w:r/>
            <w:r>
              <w:rPr>
                <w:rFonts w:ascii="Times New Roman" w:hAnsi="Times New Roman" w:eastAsia="SimSun"/>
                <w:b w:val="0"/>
                <w:sz w:val="12"/>
              </w:rPr>
              <w:t>CLIP</w:t>
            </w:r>
          </w:p>
        </w:tc>
        <w:tc>
          <w:tcPr>
            <w:tcW w:type="dxa" w:w="1512"/>
          </w:tcPr>
          <w:p>
            <w:r/>
            <w:r>
              <w:rPr>
                <w:rFonts w:ascii="Times New Roman" w:hAnsi="Times New Roman" w:eastAsia="SimSun"/>
                <w:b w:val="0"/>
                <w:sz w:val="12"/>
              </w:rPr>
              <w:t>2021</w:t>
            </w:r>
          </w:p>
        </w:tc>
        <w:tc>
          <w:tcPr>
            <w:tcW w:type="dxa" w:w="1512"/>
          </w:tcPr>
          <w:p>
            <w:r/>
            <w:r>
              <w:rPr>
                <w:rFonts w:ascii="Times New Roman" w:hAnsi="Times New Roman" w:eastAsia="SimSun"/>
                <w:b w:val="0"/>
                <w:sz w:val="12"/>
              </w:rPr>
              <w:t>ResNet or Vision Transformer</w:t>
            </w:r>
          </w:p>
        </w:tc>
        <w:tc>
          <w:tcPr>
            <w:tcW w:type="dxa" w:w="1512"/>
          </w:tcPr>
          <w:p>
            <w:r/>
            <w:r>
              <w:rPr>
                <w:rFonts w:ascii="Times New Roman" w:hAnsi="Times New Roman" w:eastAsia="SimSun"/>
                <w:b w:val="0"/>
                <w:sz w:val="12"/>
              </w:rPr>
              <w:t>Text encoder</w:t>
            </w:r>
          </w:p>
        </w:tc>
        <w:tc>
          <w:tcPr>
            <w:tcW w:type="dxa" w:w="1512"/>
          </w:tcPr>
          <w:p>
            <w:r/>
            <w:r>
              <w:rPr>
                <w:rFonts w:ascii="Times New Roman" w:hAnsi="Times New Roman" w:eastAsia="SimSun"/>
                <w:b w:val="0"/>
                <w:sz w:val="12"/>
              </w:rPr>
              <w:t>Contrastive shared embedding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Flamingo</w:t>
            </w:r>
          </w:p>
        </w:tc>
        <w:tc>
          <w:tcPr>
            <w:tcW w:type="dxa" w:w="1512"/>
          </w:tcPr>
          <w:p>
            <w:r/>
            <w:r>
              <w:rPr>
                <w:rFonts w:ascii="Times New Roman" w:hAnsi="Times New Roman" w:eastAsia="SimSun"/>
                <w:b w:val="0"/>
                <w:sz w:val="12"/>
              </w:rPr>
              <w:t>2022</w:t>
            </w:r>
          </w:p>
        </w:tc>
        <w:tc>
          <w:tcPr>
            <w:tcW w:type="dxa" w:w="1512"/>
          </w:tcPr>
          <w:p>
            <w:r/>
            <w:r>
              <w:rPr>
                <w:rFonts w:ascii="Times New Roman" w:hAnsi="Times New Roman" w:eastAsia="SimSun"/>
                <w:b w:val="0"/>
                <w:sz w:val="12"/>
              </w:rPr>
              <w:t>Perceiver-style visual resampler</w:t>
            </w:r>
          </w:p>
        </w:tc>
        <w:tc>
          <w:tcPr>
            <w:tcW w:type="dxa" w:w="1512"/>
          </w:tcPr>
          <w:p>
            <w:r/>
            <w:r>
              <w:rPr>
                <w:rFonts w:ascii="Times New Roman" w:hAnsi="Times New Roman" w:eastAsia="SimSun"/>
                <w:b w:val="0"/>
                <w:sz w:val="12"/>
              </w:rPr>
              <w:t>Chinchilla-family language model</w:t>
            </w:r>
          </w:p>
        </w:tc>
        <w:tc>
          <w:tcPr>
            <w:tcW w:type="dxa" w:w="1512"/>
          </w:tcPr>
          <w:p>
            <w:r/>
            <w:r>
              <w:rPr>
                <w:rFonts w:ascii="Times New Roman" w:hAnsi="Times New Roman" w:eastAsia="SimSun"/>
                <w:b w:val="0"/>
                <w:sz w:val="12"/>
              </w:rPr>
              <w:t>Gated cross-attention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BLIP-2</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Frozen LLM</w:t>
            </w:r>
          </w:p>
        </w:tc>
        <w:tc>
          <w:tcPr>
            <w:tcW w:type="dxa" w:w="1512"/>
          </w:tcPr>
          <w:p>
            <w:r/>
            <w:r>
              <w:rPr>
                <w:rFonts w:ascii="Times New Roman" w:hAnsi="Times New Roman" w:eastAsia="SimSun"/>
                <w:b w:val="0"/>
                <w:sz w:val="12"/>
              </w:rPr>
              <w:t>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InstructBLIP</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Vicuna or FlanT5-style LLM</w:t>
            </w:r>
          </w:p>
        </w:tc>
        <w:tc>
          <w:tcPr>
            <w:tcW w:type="dxa" w:w="1512"/>
          </w:tcPr>
          <w:p>
            <w:r/>
            <w:r>
              <w:rPr>
                <w:rFonts w:ascii="Times New Roman" w:hAnsi="Times New Roman" w:eastAsia="SimSun"/>
                <w:b w:val="0"/>
                <w:sz w:val="12"/>
              </w:rPr>
              <w:t>Q-Former with instruction tuning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LLaVA</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CLIP ViT</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MiniGPT-4</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Transformer with Q-Former</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 after 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Qwen-VL</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Vision-language encoder</w:t>
            </w:r>
          </w:p>
        </w:tc>
        <w:tc>
          <w:tcPr>
            <w:tcW w:type="dxa" w:w="1512"/>
          </w:tcPr>
          <w:p>
            <w:r/>
            <w:r>
              <w:rPr>
                <w:rFonts w:ascii="Times New Roman" w:hAnsi="Times New Roman" w:eastAsia="SimSun"/>
                <w:b w:val="0"/>
                <w:sz w:val="12"/>
              </w:rPr>
              <w:t>Qwen language model</w:t>
            </w:r>
          </w:p>
        </w:tc>
        <w:tc>
          <w:tcPr>
            <w:tcW w:type="dxa" w:w="1512"/>
          </w:tcPr>
          <w:p>
            <w:r/>
            <w:r>
              <w:rPr>
                <w:rFonts w:ascii="Times New Roman" w:hAnsi="Times New Roman" w:eastAsia="SimSun"/>
                <w:b w:val="0"/>
                <w:sz w:val="12"/>
              </w:rPr>
              <w:t>Multimodal adapter</w:t>
            </w:r>
          </w:p>
        </w:tc>
        <w:tc>
          <w:tcPr>
            <w:tcW w:type="dxa" w:w="1512"/>
          </w:tcPr>
          <w:p>
            <w:r/>
            <w:r>
              <w:rPr>
                <w:rFonts w:ascii="Times New Roman" w:hAnsi="Times New Roman" w:eastAsia="SimSun"/>
                <w:b w:val="0"/>
                <w:sz w:val="12"/>
              </w:rPr>
              <w:t>Partly</w:t>
            </w:r>
          </w:p>
        </w:tc>
      </w:tr>
      <w:tr>
        <w:tc>
          <w:tcPr>
            <w:tcW w:type="dxa" w:w="1512"/>
          </w:tcPr>
          <w:p>
            <w:r/>
            <w:r>
              <w:rPr>
                <w:rFonts w:ascii="Times New Roman" w:hAnsi="Times New Roman" w:eastAsia="SimSun"/>
                <w:b w:val="0"/>
                <w:sz w:val="12"/>
              </w:rPr>
              <w:t>InternVL</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Scaled vision foundation model</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Vision-language alignment module</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CogVLM</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Visual expert module</w:t>
            </w:r>
          </w:p>
        </w:tc>
        <w:tc>
          <w:tcPr>
            <w:tcW w:type="dxa" w:w="1512"/>
          </w:tcPr>
          <w:p>
            <w:r/>
            <w:r>
              <w:rPr>
                <w:rFonts w:ascii="Times New Roman" w:hAnsi="Times New Roman" w:eastAsia="SimSun"/>
                <w:b w:val="0"/>
                <w:sz w:val="12"/>
              </w:rPr>
              <w:t>Pretrained language model</w:t>
            </w:r>
          </w:p>
        </w:tc>
        <w:tc>
          <w:tcPr>
            <w:tcW w:type="dxa" w:w="1512"/>
          </w:tcPr>
          <w:p>
            <w:r/>
            <w:r>
              <w:rPr>
                <w:rFonts w:ascii="Times New Roman" w:hAnsi="Times New Roman" w:eastAsia="SimSun"/>
                <w:b w:val="0"/>
                <w:sz w:val="12"/>
              </w:rPr>
              <w:t>Visual expert integration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GPT-4V</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Gemini</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Native multimodal system design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Ferret</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encoder with region grounding</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Grounding-aware connector</w:t>
            </w:r>
          </w:p>
        </w:tc>
        <w:tc>
          <w:tcPr>
            <w:tcW w:type="dxa" w:w="1512"/>
          </w:tcPr>
          <w:p>
            <w:r/>
            <w:r>
              <w:rPr>
                <w:rFonts w:ascii="Times New Roman" w:hAnsi="Times New Roman" w:eastAsia="SimSun"/>
                <w:b w:val="0"/>
                <w:sz w:val="12"/>
              </w:rPr>
              <w:t>Yes</w:t>
            </w:r>
          </w:p>
        </w:tc>
      </w:tr>
    </w:tbl>
    <w:p>
      <w:pPr>
        <w:jc w:val="center"/>
      </w:pPr>
      <w:r>
        <w:rPr>
          <w:rFonts w:ascii="Times New Roman" w:hAnsi="Times New Roman" w:eastAsia="SimSun"/>
          <w:b w:val="0"/>
          <w:sz w:val="16"/>
        </w:rPr>
        <w:t>Source: Compiled by the author based on cited literature and course materials.</w:t>
      </w:r>
    </w:p>
    <w:p>
      <w:pPr>
        <w:jc w:val="center"/>
      </w:pPr>
      <w:r>
        <w:rPr>
          <w:rFonts w:ascii="Times New Roman" w:hAnsi="Times New Roman"/>
          <w:b/>
          <w:sz w:val="16"/>
        </w:rPr>
        <w:t>Table 1b. Representative MLLM resource demand, scenario, and limitation comparison.</w:t>
      </w:r>
    </w:p>
    <w:tbl>
      <w:tblPr>
        <w:tblStyle w:val="TableGrid"/>
        <w:tblW w:type="auto" w:w="0"/>
        <w:tblLayout w:type="autofit"/>
        <w:tblLook w:firstColumn="1" w:firstRow="1" w:lastColumn="0" w:lastRow="0" w:noHBand="0" w:noVBand="1" w:val="04A0"/>
      </w:tblPr>
      <w:tblGrid>
        <w:gridCol w:w="1814"/>
        <w:gridCol w:w="1814"/>
        <w:gridCol w:w="1814"/>
        <w:gridCol w:w="1814"/>
        <w:gridCol w:w="1814"/>
      </w:tblGrid>
      <w:tr>
        <w:tc>
          <w:tcPr>
            <w:tcW w:type="dxa" w:w="1814"/>
            <w:shd w:fill="D9EAF7"/>
          </w:tcPr>
          <w:p>
            <w:r/>
            <w:r>
              <w:rPr>
                <w:rFonts w:ascii="Times New Roman" w:hAnsi="Times New Roman" w:eastAsia="SimSun"/>
                <w:b/>
                <w:sz w:val="12"/>
              </w:rPr>
              <w:t>Model</w:t>
            </w:r>
          </w:p>
        </w:tc>
        <w:tc>
          <w:tcPr>
            <w:tcW w:type="dxa" w:w="1814"/>
            <w:shd w:fill="D9EAF7"/>
          </w:tcPr>
          <w:p>
            <w:r/>
            <w:r>
              <w:rPr>
                <w:rFonts w:ascii="Times New Roman" w:hAnsi="Times New Roman" w:eastAsia="SimSun"/>
                <w:b/>
                <w:sz w:val="12"/>
              </w:rPr>
              <w:t>Complexity and Resource Demand</w:t>
            </w:r>
          </w:p>
        </w:tc>
        <w:tc>
          <w:tcPr>
            <w:tcW w:type="dxa" w:w="1814"/>
            <w:shd w:fill="D9EAF7"/>
          </w:tcPr>
          <w:p>
            <w:r/>
            <w:r>
              <w:rPr>
                <w:rFonts w:ascii="Times New Roman" w:hAnsi="Times New Roman" w:eastAsia="SimSun"/>
                <w:b/>
                <w:sz w:val="12"/>
              </w:rPr>
              <w:t>Applicable Scenario</w:t>
            </w:r>
          </w:p>
        </w:tc>
        <w:tc>
          <w:tcPr>
            <w:tcW w:type="dxa" w:w="1814"/>
            <w:shd w:fill="D9EAF7"/>
          </w:tcPr>
          <w:p>
            <w:r/>
            <w:r>
              <w:rPr>
                <w:rFonts w:ascii="Times New Roman" w:hAnsi="Times New Roman" w:eastAsia="SimSun"/>
                <w:b/>
                <w:sz w:val="12"/>
              </w:rPr>
              <w:t>Major Strength</w:t>
            </w:r>
          </w:p>
        </w:tc>
        <w:tc>
          <w:tcPr>
            <w:tcW w:type="dxa" w:w="1814"/>
            <w:shd w:fill="D9EAF7"/>
          </w:tcPr>
          <w:p>
            <w:r/>
            <w:r>
              <w:rPr>
                <w:rFonts w:ascii="Times New Roman" w:hAnsi="Times New Roman" w:eastAsia="SimSun"/>
                <w:b/>
                <w:sz w:val="12"/>
              </w:rPr>
              <w:t>Major Weakness</w:t>
            </w:r>
          </w:p>
        </w:tc>
      </w:tr>
      <w:tr>
        <w:tc>
          <w:tcPr>
            <w:tcW w:type="dxa" w:w="1814"/>
          </w:tcPr>
          <w:p>
            <w:r/>
            <w:r>
              <w:rPr>
                <w:rFonts w:ascii="Times New Roman" w:hAnsi="Times New Roman" w:eastAsia="SimSun"/>
                <w:b w:val="0"/>
                <w:sz w:val="12"/>
              </w:rPr>
              <w:t>CLIP</w:t>
            </w:r>
          </w:p>
        </w:tc>
        <w:tc>
          <w:tcPr>
            <w:tcW w:type="dxa" w:w="1814"/>
          </w:tcPr>
          <w:p>
            <w:r/>
            <w:r>
              <w:rPr>
                <w:rFonts w:ascii="Times New Roman" w:hAnsi="Times New Roman" w:eastAsia="SimSun"/>
                <w:b w:val="0"/>
                <w:sz w:val="12"/>
              </w:rPr>
              <w:t>Moderate inference cost; dual encoder retrieval/classification</w:t>
            </w:r>
          </w:p>
        </w:tc>
        <w:tc>
          <w:tcPr>
            <w:tcW w:type="dxa" w:w="1814"/>
          </w:tcPr>
          <w:p>
            <w:r/>
            <w:r>
              <w:rPr>
                <w:rFonts w:ascii="Times New Roman" w:hAnsi="Times New Roman" w:eastAsia="SimSun"/>
                <w:b w:val="0"/>
                <w:sz w:val="12"/>
              </w:rPr>
              <w:t>Open-vocabulary retrieval and representation learning</w:t>
            </w:r>
          </w:p>
        </w:tc>
        <w:tc>
          <w:tcPr>
            <w:tcW w:type="dxa" w:w="1814"/>
          </w:tcPr>
          <w:p>
            <w:r/>
            <w:r>
              <w:rPr>
                <w:rFonts w:ascii="Times New Roman" w:hAnsi="Times New Roman" w:eastAsia="SimSun"/>
                <w:b w:val="0"/>
                <w:sz w:val="12"/>
              </w:rPr>
              <w:t>Strong open-vocabulary image-text alignment</w:t>
            </w:r>
          </w:p>
        </w:tc>
        <w:tc>
          <w:tcPr>
            <w:tcW w:type="dxa" w:w="1814"/>
          </w:tcPr>
          <w:p>
            <w:r/>
            <w:r>
              <w:rPr>
                <w:rFonts w:ascii="Times New Roman" w:hAnsi="Times New Roman" w:eastAsia="SimSun"/>
                <w:b w:val="0"/>
                <w:sz w:val="12"/>
              </w:rPr>
              <w:t>Not a generative conversational MLLM</w:t>
            </w:r>
          </w:p>
        </w:tc>
      </w:tr>
      <w:tr>
        <w:tc>
          <w:tcPr>
            <w:tcW w:type="dxa" w:w="1814"/>
          </w:tcPr>
          <w:p>
            <w:r/>
            <w:r>
              <w:rPr>
                <w:rFonts w:ascii="Times New Roman" w:hAnsi="Times New Roman" w:eastAsia="SimSun"/>
                <w:b w:val="0"/>
                <w:sz w:val="12"/>
              </w:rPr>
              <w:t>Flamingo</w:t>
            </w:r>
          </w:p>
        </w:tc>
        <w:tc>
          <w:tcPr>
            <w:tcW w:type="dxa" w:w="1814"/>
          </w:tcPr>
          <w:p>
            <w:r/>
            <w:r>
              <w:rPr>
                <w:rFonts w:ascii="Times New Roman" w:hAnsi="Times New Roman" w:eastAsia="SimSun"/>
                <w:b w:val="0"/>
                <w:sz w:val="12"/>
              </w:rPr>
              <w:t>Very high training and inference resource demand</w:t>
            </w:r>
          </w:p>
        </w:tc>
        <w:tc>
          <w:tcPr>
            <w:tcW w:type="dxa" w:w="1814"/>
          </w:tcPr>
          <w:p>
            <w:r/>
            <w:r>
              <w:rPr>
                <w:rFonts w:ascii="Times New Roman" w:hAnsi="Times New Roman" w:eastAsia="SimSun"/>
                <w:b w:val="0"/>
                <w:sz w:val="12"/>
              </w:rPr>
              <w:t>Few-shot image/video-text tasks</w:t>
            </w:r>
          </w:p>
        </w:tc>
        <w:tc>
          <w:tcPr>
            <w:tcW w:type="dxa" w:w="1814"/>
          </w:tcPr>
          <w:p>
            <w:r/>
            <w:r>
              <w:rPr>
                <w:rFonts w:ascii="Times New Roman" w:hAnsi="Times New Roman" w:eastAsia="SimSun"/>
                <w:b w:val="0"/>
                <w:sz w:val="12"/>
              </w:rPr>
              <w:t>Strong few-shot interleaved image/video-text learning</w:t>
            </w:r>
          </w:p>
        </w:tc>
        <w:tc>
          <w:tcPr>
            <w:tcW w:type="dxa" w:w="1814"/>
          </w:tcPr>
          <w:p>
            <w:r/>
            <w:r>
              <w:rPr>
                <w:rFonts w:ascii="Times New Roman" w:hAnsi="Times New Roman" w:eastAsia="SimSun"/>
                <w:b w:val="0"/>
                <w:sz w:val="12"/>
              </w:rPr>
              <w:t>Closed weights and limited reproducibility</w:t>
            </w:r>
          </w:p>
        </w:tc>
      </w:tr>
      <w:tr>
        <w:tc>
          <w:tcPr>
            <w:tcW w:type="dxa" w:w="1814"/>
          </w:tcPr>
          <w:p>
            <w:r/>
            <w:r>
              <w:rPr>
                <w:rFonts w:ascii="Times New Roman" w:hAnsi="Times New Roman" w:eastAsia="SimSun"/>
                <w:b w:val="0"/>
                <w:sz w:val="12"/>
              </w:rPr>
              <w:t>BLIP-2</w:t>
            </w:r>
          </w:p>
        </w:tc>
        <w:tc>
          <w:tcPr>
            <w:tcW w:type="dxa" w:w="1814"/>
          </w:tcPr>
          <w:p>
            <w:r/>
            <w:r>
              <w:rPr>
                <w:rFonts w:ascii="Times New Roman" w:hAnsi="Times New Roman" w:eastAsia="SimSun"/>
                <w:b w:val="0"/>
                <w:sz w:val="12"/>
              </w:rPr>
              <w:t>Lower training cost than full end-to-end MLLM</w:t>
            </w:r>
          </w:p>
        </w:tc>
        <w:tc>
          <w:tcPr>
            <w:tcW w:type="dxa" w:w="1814"/>
          </w:tcPr>
          <w:p>
            <w:r/>
            <w:r>
              <w:rPr>
                <w:rFonts w:ascii="Times New Roman" w:hAnsi="Times New Roman" w:eastAsia="SimSun"/>
                <w:b w:val="0"/>
                <w:sz w:val="12"/>
              </w:rPr>
              <w:t>Efficient image-to-text generation and VQA</w:t>
            </w:r>
          </w:p>
        </w:tc>
        <w:tc>
          <w:tcPr>
            <w:tcW w:type="dxa" w:w="1814"/>
          </w:tcPr>
          <w:p>
            <w:r/>
            <w:r>
              <w:rPr>
                <w:rFonts w:ascii="Times New Roman" w:hAnsi="Times New Roman" w:eastAsia="SimSun"/>
                <w:b w:val="0"/>
                <w:sz w:val="12"/>
              </w:rPr>
              <w:t>Efficient bridge between vision encoders and LLMs</w:t>
            </w:r>
          </w:p>
        </w:tc>
        <w:tc>
          <w:tcPr>
            <w:tcW w:type="dxa" w:w="1814"/>
          </w:tcPr>
          <w:p>
            <w:r/>
            <w:r>
              <w:rPr>
                <w:rFonts w:ascii="Times New Roman" w:hAnsi="Times New Roman" w:eastAsia="SimSun"/>
                <w:b w:val="0"/>
                <w:sz w:val="12"/>
              </w:rPr>
              <w:t>Connector may compress away fine visual detail</w:t>
            </w:r>
          </w:p>
        </w:tc>
      </w:tr>
      <w:tr>
        <w:tc>
          <w:tcPr>
            <w:tcW w:type="dxa" w:w="1814"/>
          </w:tcPr>
          <w:p>
            <w:r/>
            <w:r>
              <w:rPr>
                <w:rFonts w:ascii="Times New Roman" w:hAnsi="Times New Roman" w:eastAsia="SimSun"/>
                <w:b w:val="0"/>
                <w:sz w:val="12"/>
              </w:rPr>
              <w:t>InstructBLIP</w:t>
            </w:r>
          </w:p>
        </w:tc>
        <w:tc>
          <w:tcPr>
            <w:tcW w:type="dxa" w:w="1814"/>
          </w:tcPr>
          <w:p>
            <w:r/>
            <w:r>
              <w:rPr>
                <w:rFonts w:ascii="Times New Roman" w:hAnsi="Times New Roman" w:eastAsia="SimSun"/>
                <w:b w:val="0"/>
                <w:sz w:val="12"/>
              </w:rPr>
              <w:t>Moderate adaptation cost; depends on LLM scale</w:t>
            </w:r>
          </w:p>
        </w:tc>
        <w:tc>
          <w:tcPr>
            <w:tcW w:type="dxa" w:w="1814"/>
          </w:tcPr>
          <w:p>
            <w:r/>
            <w:r>
              <w:rPr>
                <w:rFonts w:ascii="Times New Roman" w:hAnsi="Times New Roman" w:eastAsia="SimSun"/>
                <w:b w:val="0"/>
                <w:sz w:val="12"/>
              </w:rPr>
              <w:t>Instruction-following visual QA and dialogue</w:t>
            </w:r>
          </w:p>
        </w:tc>
        <w:tc>
          <w:tcPr>
            <w:tcW w:type="dxa" w:w="1814"/>
          </w:tcPr>
          <w:p>
            <w:r/>
            <w:r>
              <w:rPr>
                <w:rFonts w:ascii="Times New Roman" w:hAnsi="Times New Roman" w:eastAsia="SimSun"/>
                <w:b w:val="0"/>
                <w:sz w:val="12"/>
              </w:rPr>
              <w:t>Better instruction following than BLIP-2</w:t>
            </w:r>
          </w:p>
        </w:tc>
        <w:tc>
          <w:tcPr>
            <w:tcW w:type="dxa" w:w="1814"/>
          </w:tcPr>
          <w:p>
            <w:r/>
            <w:r>
              <w:rPr>
                <w:rFonts w:ascii="Times New Roman" w:hAnsi="Times New Roman" w:eastAsia="SimSun"/>
                <w:b w:val="0"/>
                <w:sz w:val="12"/>
              </w:rPr>
              <w:t>Still sensitive to instruction-data quality</w:t>
            </w:r>
          </w:p>
        </w:tc>
      </w:tr>
      <w:tr>
        <w:tc>
          <w:tcPr>
            <w:tcW w:type="dxa" w:w="1814"/>
          </w:tcPr>
          <w:p>
            <w:r/>
            <w:r>
              <w:rPr>
                <w:rFonts w:ascii="Times New Roman" w:hAnsi="Times New Roman" w:eastAsia="SimSun"/>
                <w:b w:val="0"/>
                <w:sz w:val="12"/>
              </w:rPr>
              <w:t>LLaVA</w:t>
            </w:r>
          </w:p>
        </w:tc>
        <w:tc>
          <w:tcPr>
            <w:tcW w:type="dxa" w:w="1814"/>
          </w:tcPr>
          <w:p>
            <w:r/>
            <w:r>
              <w:rPr>
                <w:rFonts w:ascii="Times New Roman" w:hAnsi="Times New Roman" w:eastAsia="SimSun"/>
                <w:b w:val="0"/>
                <w:sz w:val="12"/>
              </w:rPr>
              <w:t>Relatively efficient open alignment recipe</w:t>
            </w:r>
          </w:p>
        </w:tc>
        <w:tc>
          <w:tcPr>
            <w:tcW w:type="dxa" w:w="1814"/>
          </w:tcPr>
          <w:p>
            <w:r/>
            <w:r>
              <w:rPr>
                <w:rFonts w:ascii="Times New Roman" w:hAnsi="Times New Roman" w:eastAsia="SimSun"/>
                <w:b w:val="0"/>
                <w:sz w:val="12"/>
              </w:rPr>
              <w:t>Open visual assistant baseline</w:t>
            </w:r>
          </w:p>
        </w:tc>
        <w:tc>
          <w:tcPr>
            <w:tcW w:type="dxa" w:w="1814"/>
          </w:tcPr>
          <w:p>
            <w:r/>
            <w:r>
              <w:rPr>
                <w:rFonts w:ascii="Times New Roman" w:hAnsi="Times New Roman" w:eastAsia="SimSun"/>
                <w:b w:val="0"/>
                <w:sz w:val="12"/>
              </w:rPr>
              <w:t>Simple and influential open visual instruction tuning baseline</w:t>
            </w:r>
          </w:p>
        </w:tc>
        <w:tc>
          <w:tcPr>
            <w:tcW w:type="dxa" w:w="1814"/>
          </w:tcPr>
          <w:p>
            <w:r/>
            <w:r>
              <w:rPr>
                <w:rFonts w:ascii="Times New Roman" w:hAnsi="Times New Roman" w:eastAsia="SimSun"/>
                <w:b w:val="0"/>
                <w:sz w:val="12"/>
              </w:rPr>
              <w:t>Can hallucinate when visual grounding is weak</w:t>
            </w:r>
          </w:p>
        </w:tc>
      </w:tr>
      <w:tr>
        <w:tc>
          <w:tcPr>
            <w:tcW w:type="dxa" w:w="1814"/>
          </w:tcPr>
          <w:p>
            <w:r/>
            <w:r>
              <w:rPr>
                <w:rFonts w:ascii="Times New Roman" w:hAnsi="Times New Roman" w:eastAsia="SimSun"/>
                <w:b w:val="0"/>
                <w:sz w:val="12"/>
              </w:rPr>
              <w:t>MiniGPT-4</w:t>
            </w:r>
          </w:p>
        </w:tc>
        <w:tc>
          <w:tcPr>
            <w:tcW w:type="dxa" w:w="1814"/>
          </w:tcPr>
          <w:p>
            <w:r/>
            <w:r>
              <w:rPr>
                <w:rFonts w:ascii="Times New Roman" w:hAnsi="Times New Roman" w:eastAsia="SimSun"/>
                <w:b w:val="0"/>
                <w:sz w:val="12"/>
              </w:rPr>
              <w:t>Moderate cost with frozen components</w:t>
            </w:r>
          </w:p>
        </w:tc>
        <w:tc>
          <w:tcPr>
            <w:tcW w:type="dxa" w:w="1814"/>
          </w:tcPr>
          <w:p>
            <w:r/>
            <w:r>
              <w:rPr>
                <w:rFonts w:ascii="Times New Roman" w:hAnsi="Times New Roman" w:eastAsia="SimSun"/>
                <w:b w:val="0"/>
                <w:sz w:val="12"/>
              </w:rPr>
              <w:t>Image dialogue and demonstration systems</w:t>
            </w:r>
          </w:p>
        </w:tc>
        <w:tc>
          <w:tcPr>
            <w:tcW w:type="dxa" w:w="1814"/>
          </w:tcPr>
          <w:p>
            <w:r/>
            <w:r>
              <w:rPr>
                <w:rFonts w:ascii="Times New Roman" w:hAnsi="Times New Roman" w:eastAsia="SimSun"/>
                <w:b w:val="0"/>
                <w:sz w:val="12"/>
              </w:rPr>
              <w:t>Compact alignment recipe for image dialogue</w:t>
            </w:r>
          </w:p>
        </w:tc>
        <w:tc>
          <w:tcPr>
            <w:tcW w:type="dxa" w:w="1814"/>
          </w:tcPr>
          <w:p>
            <w:r/>
            <w:r>
              <w:rPr>
                <w:rFonts w:ascii="Times New Roman" w:hAnsi="Times New Roman" w:eastAsia="SimSun"/>
                <w:b w:val="0"/>
                <w:sz w:val="12"/>
              </w:rPr>
              <w:t>Limited fine-grained grounding and OCR reliability</w:t>
            </w:r>
          </w:p>
        </w:tc>
      </w:tr>
      <w:tr>
        <w:tc>
          <w:tcPr>
            <w:tcW w:type="dxa" w:w="1814"/>
          </w:tcPr>
          <w:p>
            <w:r/>
            <w:r>
              <w:rPr>
                <w:rFonts w:ascii="Times New Roman" w:hAnsi="Times New Roman" w:eastAsia="SimSun"/>
                <w:b w:val="0"/>
                <w:sz w:val="12"/>
              </w:rPr>
              <w:t>Qwen-VL</w:t>
            </w:r>
          </w:p>
        </w:tc>
        <w:tc>
          <w:tcPr>
            <w:tcW w:type="dxa" w:w="1814"/>
          </w:tcPr>
          <w:p>
            <w:r/>
            <w:r>
              <w:rPr>
                <w:rFonts w:ascii="Times New Roman" w:hAnsi="Times New Roman" w:eastAsia="SimSun"/>
                <w:b w:val="0"/>
                <w:sz w:val="12"/>
              </w:rPr>
              <w:t>High capability with significant pretraining resources</w:t>
            </w:r>
          </w:p>
        </w:tc>
        <w:tc>
          <w:tcPr>
            <w:tcW w:type="dxa" w:w="1814"/>
          </w:tcPr>
          <w:p>
            <w:r/>
            <w:r>
              <w:rPr>
                <w:rFonts w:ascii="Times New Roman" w:hAnsi="Times New Roman" w:eastAsia="SimSun"/>
                <w:b w:val="0"/>
                <w:sz w:val="12"/>
              </w:rPr>
              <w:t>OCR localization and visual dialogue</w:t>
            </w:r>
          </w:p>
        </w:tc>
        <w:tc>
          <w:tcPr>
            <w:tcW w:type="dxa" w:w="1814"/>
          </w:tcPr>
          <w:p>
            <w:r/>
            <w:r>
              <w:rPr>
                <w:rFonts w:ascii="Times New Roman" w:hAnsi="Times New Roman" w:eastAsia="SimSun"/>
                <w:b w:val="0"/>
                <w:sz w:val="12"/>
              </w:rPr>
              <w:t>Good OCR localization and general visual dialogue</w:t>
            </w:r>
          </w:p>
        </w:tc>
        <w:tc>
          <w:tcPr>
            <w:tcW w:type="dxa" w:w="1814"/>
          </w:tcPr>
          <w:p>
            <w:r/>
            <w:r>
              <w:rPr>
                <w:rFonts w:ascii="Times New Roman" w:hAnsi="Times New Roman" w:eastAsia="SimSun"/>
                <w:b w:val="0"/>
                <w:sz w:val="12"/>
              </w:rPr>
              <w:t>Training details and data scale are difficult to fully reproduce</w:t>
            </w:r>
          </w:p>
        </w:tc>
      </w:tr>
      <w:tr>
        <w:tc>
          <w:tcPr>
            <w:tcW w:type="dxa" w:w="1814"/>
          </w:tcPr>
          <w:p>
            <w:r/>
            <w:r>
              <w:rPr>
                <w:rFonts w:ascii="Times New Roman" w:hAnsi="Times New Roman" w:eastAsia="SimSun"/>
                <w:b w:val="0"/>
                <w:sz w:val="12"/>
              </w:rPr>
              <w:t>InternVL</w:t>
            </w:r>
          </w:p>
        </w:tc>
        <w:tc>
          <w:tcPr>
            <w:tcW w:type="dxa" w:w="1814"/>
          </w:tcPr>
          <w:p>
            <w:r/>
            <w:r>
              <w:rPr>
                <w:rFonts w:ascii="Times New Roman" w:hAnsi="Times New Roman" w:eastAsia="SimSun"/>
                <w:b w:val="0"/>
                <w:sz w:val="12"/>
              </w:rPr>
              <w:t>High resource demand due to scale</w:t>
            </w:r>
          </w:p>
        </w:tc>
        <w:tc>
          <w:tcPr>
            <w:tcW w:type="dxa" w:w="1814"/>
          </w:tcPr>
          <w:p>
            <w:r/>
            <w:r>
              <w:rPr>
                <w:rFonts w:ascii="Times New Roman" w:hAnsi="Times New Roman" w:eastAsia="SimSun"/>
                <w:b w:val="0"/>
                <w:sz w:val="12"/>
              </w:rPr>
              <w:t>Generic visual-linguistic tasks</w:t>
            </w:r>
          </w:p>
        </w:tc>
        <w:tc>
          <w:tcPr>
            <w:tcW w:type="dxa" w:w="1814"/>
          </w:tcPr>
          <w:p>
            <w:r/>
            <w:r>
              <w:rPr>
                <w:rFonts w:ascii="Times New Roman" w:hAnsi="Times New Roman" w:eastAsia="SimSun"/>
                <w:b w:val="0"/>
                <w:sz w:val="12"/>
              </w:rPr>
              <w:t>Strong generic visual-linguistic capability</w:t>
            </w:r>
          </w:p>
        </w:tc>
        <w:tc>
          <w:tcPr>
            <w:tcW w:type="dxa" w:w="1814"/>
          </w:tcPr>
          <w:p>
            <w:r/>
            <w:r>
              <w:rPr>
                <w:rFonts w:ascii="Times New Roman" w:hAnsi="Times New Roman" w:eastAsia="SimSun"/>
                <w:b w:val="0"/>
                <w:sz w:val="12"/>
              </w:rPr>
              <w:t>Large-scale training makes reproduction costly</w:t>
            </w:r>
          </w:p>
        </w:tc>
      </w:tr>
      <w:tr>
        <w:tc>
          <w:tcPr>
            <w:tcW w:type="dxa" w:w="1814"/>
          </w:tcPr>
          <w:p>
            <w:r/>
            <w:r>
              <w:rPr>
                <w:rFonts w:ascii="Times New Roman" w:hAnsi="Times New Roman" w:eastAsia="SimSun"/>
                <w:b w:val="0"/>
                <w:sz w:val="12"/>
              </w:rPr>
              <w:t>CogVLM</w:t>
            </w:r>
          </w:p>
        </w:tc>
        <w:tc>
          <w:tcPr>
            <w:tcW w:type="dxa" w:w="1814"/>
          </w:tcPr>
          <w:p>
            <w:r/>
            <w:r>
              <w:rPr>
                <w:rFonts w:ascii="Times New Roman" w:hAnsi="Times New Roman" w:eastAsia="SimSun"/>
                <w:b w:val="0"/>
                <w:sz w:val="12"/>
              </w:rPr>
              <w:t>High architectural complexity and memory demand</w:t>
            </w:r>
          </w:p>
        </w:tc>
        <w:tc>
          <w:tcPr>
            <w:tcW w:type="dxa" w:w="1814"/>
          </w:tcPr>
          <w:p>
            <w:r/>
            <w:r>
              <w:rPr>
                <w:rFonts w:ascii="Times New Roman" w:hAnsi="Times New Roman" w:eastAsia="SimSun"/>
                <w:b w:val="0"/>
                <w:sz w:val="12"/>
              </w:rPr>
              <w:t>Visual expert reasoning and open MLLM research</w:t>
            </w:r>
          </w:p>
        </w:tc>
        <w:tc>
          <w:tcPr>
            <w:tcW w:type="dxa" w:w="1814"/>
          </w:tcPr>
          <w:p>
            <w:r/>
            <w:r>
              <w:rPr>
                <w:rFonts w:ascii="Times New Roman" w:hAnsi="Times New Roman" w:eastAsia="SimSun"/>
                <w:b w:val="0"/>
                <w:sz w:val="12"/>
              </w:rPr>
              <w:t>Preserves language ability while adding visual expertise</w:t>
            </w:r>
          </w:p>
        </w:tc>
        <w:tc>
          <w:tcPr>
            <w:tcW w:type="dxa" w:w="1814"/>
          </w:tcPr>
          <w:p>
            <w:r/>
            <w:r>
              <w:rPr>
                <w:rFonts w:ascii="Times New Roman" w:hAnsi="Times New Roman" w:eastAsia="SimSun"/>
                <w:b w:val="0"/>
                <w:sz w:val="12"/>
              </w:rPr>
              <w:t>Architecture is more complex than projection-based models</w:t>
            </w:r>
          </w:p>
        </w:tc>
      </w:tr>
      <w:tr>
        <w:tc>
          <w:tcPr>
            <w:tcW w:type="dxa" w:w="1814"/>
          </w:tcPr>
          <w:p>
            <w:r/>
            <w:r>
              <w:rPr>
                <w:rFonts w:ascii="Times New Roman" w:hAnsi="Times New Roman" w:eastAsia="SimSun"/>
                <w:b w:val="0"/>
                <w:sz w:val="12"/>
              </w:rPr>
              <w:t>GPT-4V</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closed multimodal assistant</w:t>
            </w:r>
          </w:p>
        </w:tc>
        <w:tc>
          <w:tcPr>
            <w:tcW w:type="dxa" w:w="1814"/>
          </w:tcPr>
          <w:p>
            <w:r/>
            <w:r>
              <w:rPr>
                <w:rFonts w:ascii="Times New Roman" w:hAnsi="Times New Roman" w:eastAsia="SimSun"/>
                <w:b w:val="0"/>
                <w:sz w:val="12"/>
              </w:rPr>
              <w:t>High-capability frontier multimodal assistant</w:t>
            </w:r>
          </w:p>
        </w:tc>
        <w:tc>
          <w:tcPr>
            <w:tcW w:type="dxa" w:w="1814"/>
          </w:tcPr>
          <w:p>
            <w:r/>
            <w:r>
              <w:rPr>
                <w:rFonts w:ascii="Times New Roman" w:hAnsi="Times New Roman" w:eastAsia="SimSun"/>
                <w:b w:val="0"/>
                <w:sz w:val="12"/>
              </w:rPr>
              <w:t>Closed architecture data and training process</w:t>
            </w:r>
          </w:p>
        </w:tc>
      </w:tr>
      <w:tr>
        <w:tc>
          <w:tcPr>
            <w:tcW w:type="dxa" w:w="1814"/>
          </w:tcPr>
          <w:p>
            <w:r/>
            <w:r>
              <w:rPr>
                <w:rFonts w:ascii="Times New Roman" w:hAnsi="Times New Roman" w:eastAsia="SimSun"/>
                <w:b w:val="0"/>
                <w:sz w:val="12"/>
              </w:rPr>
              <w:t>Gemini</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multimodal applications</w:t>
            </w:r>
          </w:p>
        </w:tc>
        <w:tc>
          <w:tcPr>
            <w:tcW w:type="dxa" w:w="1814"/>
          </w:tcPr>
          <w:p>
            <w:r/>
            <w:r>
              <w:rPr>
                <w:rFonts w:ascii="Times New Roman" w:hAnsi="Times New Roman" w:eastAsia="SimSun"/>
                <w:b w:val="0"/>
                <w:sz w:val="12"/>
              </w:rPr>
              <w:t>Strong frontier multimodal model family</w:t>
            </w:r>
          </w:p>
        </w:tc>
        <w:tc>
          <w:tcPr>
            <w:tcW w:type="dxa" w:w="1814"/>
          </w:tcPr>
          <w:p>
            <w:r/>
            <w:r>
              <w:rPr>
                <w:rFonts w:ascii="Times New Roman" w:hAnsi="Times New Roman" w:eastAsia="SimSun"/>
                <w:b w:val="0"/>
                <w:sz w:val="12"/>
              </w:rPr>
              <w:t>Closed training details limit independent analysis</w:t>
            </w:r>
          </w:p>
        </w:tc>
      </w:tr>
      <w:tr>
        <w:tc>
          <w:tcPr>
            <w:tcW w:type="dxa" w:w="1814"/>
          </w:tcPr>
          <w:p>
            <w:r/>
            <w:r>
              <w:rPr>
                <w:rFonts w:ascii="Times New Roman" w:hAnsi="Times New Roman" w:eastAsia="SimSun"/>
                <w:b w:val="0"/>
                <w:sz w:val="12"/>
              </w:rPr>
              <w:t>Ferret</w:t>
            </w:r>
          </w:p>
        </w:tc>
        <w:tc>
          <w:tcPr>
            <w:tcW w:type="dxa" w:w="1814"/>
          </w:tcPr>
          <w:p>
            <w:r/>
            <w:r>
              <w:rPr>
                <w:rFonts w:ascii="Times New Roman" w:hAnsi="Times New Roman" w:eastAsia="SimSun"/>
                <w:b w:val="0"/>
                <w:sz w:val="12"/>
              </w:rPr>
              <w:t>Moderate to high due to region grounding</w:t>
            </w:r>
          </w:p>
        </w:tc>
        <w:tc>
          <w:tcPr>
            <w:tcW w:type="dxa" w:w="1814"/>
          </w:tcPr>
          <w:p>
            <w:r/>
            <w:r>
              <w:rPr>
                <w:rFonts w:ascii="Times New Roman" w:hAnsi="Times New Roman" w:eastAsia="SimSun"/>
                <w:b w:val="0"/>
                <w:sz w:val="12"/>
              </w:rPr>
              <w:t>Referential dialogue and spatial grounding</w:t>
            </w:r>
          </w:p>
        </w:tc>
        <w:tc>
          <w:tcPr>
            <w:tcW w:type="dxa" w:w="1814"/>
          </w:tcPr>
          <w:p>
            <w:r/>
            <w:r>
              <w:rPr>
                <w:rFonts w:ascii="Times New Roman" w:hAnsi="Times New Roman" w:eastAsia="SimSun"/>
                <w:b w:val="0"/>
                <w:sz w:val="12"/>
              </w:rPr>
              <w:t>Supports referring and grounding at flexible granularity</w:t>
            </w:r>
          </w:p>
        </w:tc>
        <w:tc>
          <w:tcPr>
            <w:tcW w:type="dxa" w:w="1814"/>
          </w:tcPr>
          <w:p>
            <w:r/>
            <w:r>
              <w:rPr>
                <w:rFonts w:ascii="Times New Roman" w:hAnsi="Times New Roman" w:eastAsia="SimSun"/>
                <w:b w:val="0"/>
                <w:sz w:val="12"/>
              </w:rPr>
              <w:t>Requires reliable region-level annotation and grounding</w:t>
            </w:r>
          </w:p>
        </w:tc>
      </w:tr>
    </w:tbl>
    <w:p>
      <w:pPr>
        <w:jc w:val="center"/>
      </w:pPr>
      <w:r>
        <w:rPr>
          <w:rFonts w:ascii="Times New Roman" w:hAnsi="Times New Roman" w:eastAsia="SimSun"/>
          <w:b w:val="0"/>
          <w:sz w:val="16"/>
        </w:rPr>
        <w:t>Source: Compiled by the author based on cited literature and course materials.</w:t>
      </w:r>
    </w:p>
    <w:p>
      <w:pPr>
        <w:jc w:val="center"/>
      </w:pPr>
      <w:r>
        <w:rPr>
          <w:rFonts w:ascii="Times New Roman" w:hAnsi="Times New Roman"/>
          <w:b/>
          <w:sz w:val="16"/>
        </w:rPr>
        <w:t>Table 2. Representative MLLM architecture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stage</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main pattern</w:t>
            </w:r>
          </w:p>
        </w:tc>
        <w:tc>
          <w:tcPr>
            <w:tcW w:type="dxa" w:w="2268"/>
            <w:shd w:fill="D9EAF7"/>
          </w:tcPr>
          <w:p>
            <w:r/>
            <w:r>
              <w:rPr>
                <w:rFonts w:ascii="Times New Roman" w:hAnsi="Times New Roman" w:eastAsia="SimSun"/>
                <w:b/>
                <w:sz w:val="14"/>
              </w:rPr>
              <w:t>role in survey</w:t>
            </w:r>
          </w:p>
        </w:tc>
      </w:tr>
      <w:tr>
        <w:tc>
          <w:tcPr>
            <w:tcW w:type="dxa" w:w="2268"/>
          </w:tcPr>
          <w:p>
            <w:r/>
            <w:r>
              <w:rPr>
                <w:rFonts w:ascii="Times New Roman" w:hAnsi="Times New Roman" w:eastAsia="SimSun"/>
                <w:b w:val="0"/>
                <w:sz w:val="14"/>
              </w:rPr>
              <w:t>Pre-LLM VLP</w:t>
            </w:r>
          </w:p>
        </w:tc>
        <w:tc>
          <w:tcPr>
            <w:tcW w:type="dxa" w:w="2268"/>
          </w:tcPr>
          <w:p>
            <w:r/>
            <w:r>
              <w:rPr>
                <w:rFonts w:ascii="Times New Roman" w:hAnsi="Times New Roman" w:eastAsia="SimSun"/>
                <w:b w:val="0"/>
                <w:sz w:val="14"/>
              </w:rPr>
              <w:t>ViLBERT, LXMERT, UNITER, Oscar, VinVL</w:t>
            </w:r>
          </w:p>
        </w:tc>
        <w:tc>
          <w:tcPr>
            <w:tcW w:type="dxa" w:w="2268"/>
          </w:tcPr>
          <w:p>
            <w:r/>
            <w:r>
              <w:rPr>
                <w:rFonts w:ascii="Times New Roman" w:hAnsi="Times New Roman" w:eastAsia="SimSun"/>
                <w:b w:val="0"/>
                <w:sz w:val="14"/>
              </w:rPr>
              <w:t>cross-modal encoder pretraining</w:t>
            </w:r>
          </w:p>
        </w:tc>
        <w:tc>
          <w:tcPr>
            <w:tcW w:type="dxa" w:w="2268"/>
          </w:tcPr>
          <w:p>
            <w:r/>
            <w:r>
              <w:rPr>
                <w:rFonts w:ascii="Times New Roman" w:hAnsi="Times New Roman" w:eastAsia="SimSun"/>
                <w:b w:val="0"/>
                <w:sz w:val="14"/>
              </w:rPr>
              <w:t>foundation for image-text representation learning</w:t>
            </w:r>
          </w:p>
        </w:tc>
      </w:tr>
      <w:tr>
        <w:tc>
          <w:tcPr>
            <w:tcW w:type="dxa" w:w="2268"/>
          </w:tcPr>
          <w:p>
            <w:r/>
            <w:r>
              <w:rPr>
                <w:rFonts w:ascii="Times New Roman" w:hAnsi="Times New Roman" w:eastAsia="SimSun"/>
                <w:b w:val="0"/>
                <w:sz w:val="14"/>
              </w:rPr>
              <w:t>Open-vocabulary alignment</w:t>
            </w:r>
          </w:p>
        </w:tc>
        <w:tc>
          <w:tcPr>
            <w:tcW w:type="dxa" w:w="2268"/>
          </w:tcPr>
          <w:p>
            <w:r/>
            <w:r>
              <w:rPr>
                <w:rFonts w:ascii="Times New Roman" w:hAnsi="Times New Roman" w:eastAsia="SimSun"/>
                <w:b w:val="0"/>
                <w:sz w:val="14"/>
              </w:rPr>
              <w:t>CLIP, ALIGN, OFA, PaLI</w:t>
            </w:r>
          </w:p>
        </w:tc>
        <w:tc>
          <w:tcPr>
            <w:tcW w:type="dxa" w:w="2268"/>
          </w:tcPr>
          <w:p>
            <w:r/>
            <w:r>
              <w:rPr>
                <w:rFonts w:ascii="Times New Roman" w:hAnsi="Times New Roman" w:eastAsia="SimSun"/>
                <w:b w:val="0"/>
                <w:sz w:val="14"/>
              </w:rPr>
              <w:t>contrastive or sequence-to-sequence scaling</w:t>
            </w:r>
          </w:p>
        </w:tc>
        <w:tc>
          <w:tcPr>
            <w:tcW w:type="dxa" w:w="2268"/>
          </w:tcPr>
          <w:p>
            <w:r/>
            <w:r>
              <w:rPr>
                <w:rFonts w:ascii="Times New Roman" w:hAnsi="Times New Roman" w:eastAsia="SimSun"/>
                <w:b w:val="0"/>
                <w:sz w:val="14"/>
              </w:rPr>
              <w:t>transferable visual-language representations</w:t>
            </w:r>
          </w:p>
        </w:tc>
      </w:tr>
      <w:tr>
        <w:tc>
          <w:tcPr>
            <w:tcW w:type="dxa" w:w="2268"/>
          </w:tcPr>
          <w:p>
            <w:r/>
            <w:r>
              <w:rPr>
                <w:rFonts w:ascii="Times New Roman" w:hAnsi="Times New Roman" w:eastAsia="SimSun"/>
                <w:b w:val="0"/>
                <w:sz w:val="14"/>
              </w:rPr>
              <w:t>Frozen-connector MLLMs</w:t>
            </w:r>
          </w:p>
        </w:tc>
        <w:tc>
          <w:tcPr>
            <w:tcW w:type="dxa" w:w="2268"/>
          </w:tcPr>
          <w:p>
            <w:r/>
            <w:r>
              <w:rPr>
                <w:rFonts w:ascii="Times New Roman" w:hAnsi="Times New Roman" w:eastAsia="SimSun"/>
                <w:b w:val="0"/>
                <w:sz w:val="14"/>
              </w:rPr>
              <w:t>Flamingo, BLIP-2, MiniGPT-4</w:t>
            </w:r>
          </w:p>
        </w:tc>
        <w:tc>
          <w:tcPr>
            <w:tcW w:type="dxa" w:w="2268"/>
          </w:tcPr>
          <w:p>
            <w:r/>
            <w:r>
              <w:rPr>
                <w:rFonts w:ascii="Times New Roman" w:hAnsi="Times New Roman" w:eastAsia="SimSun"/>
                <w:b w:val="0"/>
                <w:sz w:val="14"/>
              </w:rPr>
              <w:t>vision encoder connected to frozen or partly frozen LLM</w:t>
            </w:r>
          </w:p>
        </w:tc>
        <w:tc>
          <w:tcPr>
            <w:tcW w:type="dxa" w:w="2268"/>
          </w:tcPr>
          <w:p>
            <w:r/>
            <w:r>
              <w:rPr>
                <w:rFonts w:ascii="Times New Roman" w:hAnsi="Times New Roman" w:eastAsia="SimSun"/>
                <w:b w:val="0"/>
                <w:sz w:val="14"/>
              </w:rPr>
              <w:t>efficient multimodal generation and few-shot adaptation</w:t>
            </w:r>
          </w:p>
        </w:tc>
      </w:tr>
      <w:tr>
        <w:tc>
          <w:tcPr>
            <w:tcW w:type="dxa" w:w="2268"/>
          </w:tcPr>
          <w:p>
            <w:r/>
            <w:r>
              <w:rPr>
                <w:rFonts w:ascii="Times New Roman" w:hAnsi="Times New Roman" w:eastAsia="SimSun"/>
                <w:b w:val="0"/>
                <w:sz w:val="14"/>
              </w:rPr>
              <w:t>Instruction-tuned MLLMs</w:t>
            </w:r>
          </w:p>
        </w:tc>
        <w:tc>
          <w:tcPr>
            <w:tcW w:type="dxa" w:w="2268"/>
          </w:tcPr>
          <w:p>
            <w:r/>
            <w:r>
              <w:rPr>
                <w:rFonts w:ascii="Times New Roman" w:hAnsi="Times New Roman" w:eastAsia="SimSun"/>
                <w:b w:val="0"/>
                <w:sz w:val="14"/>
              </w:rPr>
              <w:t>InstructBLIP, LLaVA, Qwen-VL, mPLUG-Owl</w:t>
            </w:r>
          </w:p>
        </w:tc>
        <w:tc>
          <w:tcPr>
            <w:tcW w:type="dxa" w:w="2268"/>
          </w:tcPr>
          <w:p>
            <w:r/>
            <w:r>
              <w:rPr>
                <w:rFonts w:ascii="Times New Roman" w:hAnsi="Times New Roman" w:eastAsia="SimSun"/>
                <w:b w:val="0"/>
                <w:sz w:val="14"/>
              </w:rPr>
              <w:t>visual instruction tuning and alignment</w:t>
            </w:r>
          </w:p>
        </w:tc>
        <w:tc>
          <w:tcPr>
            <w:tcW w:type="dxa" w:w="2268"/>
          </w:tcPr>
          <w:p>
            <w:r/>
            <w:r>
              <w:rPr>
                <w:rFonts w:ascii="Times New Roman" w:hAnsi="Times New Roman" w:eastAsia="SimSun"/>
                <w:b w:val="0"/>
                <w:sz w:val="14"/>
              </w:rPr>
              <w:t>assistant-style multimodal interaction</w:t>
            </w:r>
          </w:p>
        </w:tc>
      </w:tr>
      <w:tr>
        <w:tc>
          <w:tcPr>
            <w:tcW w:type="dxa" w:w="2268"/>
          </w:tcPr>
          <w:p>
            <w:r/>
            <w:r>
              <w:rPr>
                <w:rFonts w:ascii="Times New Roman" w:hAnsi="Times New Roman" w:eastAsia="SimSun"/>
                <w:b w:val="0"/>
                <w:sz w:val="14"/>
              </w:rPr>
              <w:t>Grounded and visual-expert MLLMs</w:t>
            </w:r>
          </w:p>
        </w:tc>
        <w:tc>
          <w:tcPr>
            <w:tcW w:type="dxa" w:w="2268"/>
          </w:tcPr>
          <w:p>
            <w:r/>
            <w:r>
              <w:rPr>
                <w:rFonts w:ascii="Times New Roman" w:hAnsi="Times New Roman" w:eastAsia="SimSun"/>
                <w:b w:val="0"/>
                <w:sz w:val="14"/>
              </w:rPr>
              <w:t>Kosmos-2, Shikra, Ferret, CogVLM, InternVL</w:t>
            </w:r>
          </w:p>
        </w:tc>
        <w:tc>
          <w:tcPr>
            <w:tcW w:type="dxa" w:w="2268"/>
          </w:tcPr>
          <w:p>
            <w:r/>
            <w:r>
              <w:rPr>
                <w:rFonts w:ascii="Times New Roman" w:hAnsi="Times New Roman" w:eastAsia="SimSun"/>
                <w:b w:val="0"/>
                <w:sz w:val="14"/>
              </w:rPr>
              <w:t>grounding, localization, expert modules, and scale</w:t>
            </w:r>
          </w:p>
        </w:tc>
        <w:tc>
          <w:tcPr>
            <w:tcW w:type="dxa" w:w="2268"/>
          </w:tcPr>
          <w:p>
            <w:r/>
            <w:r>
              <w:rPr>
                <w:rFonts w:ascii="Times New Roman" w:hAnsi="Times New Roman" w:eastAsia="SimSun"/>
                <w:b w:val="0"/>
                <w:sz w:val="14"/>
              </w:rPr>
              <w:t>fine-grained visual evidence and grounding reliability</w:t>
            </w:r>
          </w:p>
        </w:tc>
      </w:tr>
      <w:tr>
        <w:tc>
          <w:tcPr>
            <w:tcW w:type="dxa" w:w="2268"/>
          </w:tcPr>
          <w:p>
            <w:r/>
            <w:r>
              <w:rPr>
                <w:rFonts w:ascii="Times New Roman" w:hAnsi="Times New Roman" w:eastAsia="SimSun"/>
                <w:b w:val="0"/>
                <w:sz w:val="14"/>
              </w:rPr>
              <w:t>Expanded modality systems</w:t>
            </w:r>
          </w:p>
        </w:tc>
        <w:tc>
          <w:tcPr>
            <w:tcW w:type="dxa" w:w="2268"/>
          </w:tcPr>
          <w:p>
            <w:r/>
            <w:r>
              <w:rPr>
                <w:rFonts w:ascii="Times New Roman" w:hAnsi="Times New Roman" w:eastAsia="SimSun"/>
                <w:b w:val="0"/>
                <w:sz w:val="14"/>
              </w:rPr>
              <w:t>PaLM-E, Video-LLaVA, Visual ChatGPT, GPT-4V</w:t>
            </w:r>
          </w:p>
        </w:tc>
        <w:tc>
          <w:tcPr>
            <w:tcW w:type="dxa" w:w="2268"/>
          </w:tcPr>
          <w:p>
            <w:r/>
            <w:r>
              <w:rPr>
                <w:rFonts w:ascii="Times New Roman" w:hAnsi="Times New Roman" w:eastAsia="SimSun"/>
                <w:b w:val="0"/>
                <w:sz w:val="14"/>
              </w:rPr>
              <w:t>embodiment, video, tool use, or closed frontier alignment</w:t>
            </w:r>
          </w:p>
        </w:tc>
        <w:tc>
          <w:tcPr>
            <w:tcW w:type="dxa" w:w="2268"/>
          </w:tcPr>
          <w:p>
            <w:r/>
            <w:r>
              <w:rPr>
                <w:rFonts w:ascii="Times New Roman" w:hAnsi="Times New Roman" w:eastAsia="SimSun"/>
                <w:b w:val="0"/>
                <w:sz w:val="14"/>
              </w:rPr>
              <w:t>broader deployment and reproducibility trade-offs</w:t>
            </w:r>
          </w:p>
        </w:tc>
      </w:tr>
    </w:tbl>
    <w:p>
      <w:pPr>
        <w:jc w:val="center"/>
      </w:pPr>
      <w:r>
        <w:rPr>
          <w:rFonts w:ascii="Times New Roman" w:hAnsi="Times New Roman" w:eastAsia="SimSun"/>
          <w:b w:val="0"/>
          <w:sz w:val="16"/>
        </w:rPr>
        <w:t>Source: Compiled by the author based on cited literature and course materials.</w:t>
      </w:r>
    </w:p>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connector_tradeoff_diagram.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Connector trade-offs in MLLM design.</w:t>
      </w:r>
    </w:p>
    <w:p>
      <w:pPr>
        <w:jc w:val="center"/>
      </w:pPr>
      <w:r>
        <w:rPr>
          <w:rFonts w:ascii="Times New Roman" w:hAnsi="Times New Roman" w:eastAsia="SimSun"/>
          <w:b w:val="0"/>
          <w:sz w:val="16"/>
        </w:rPr>
        <w:t>Source: Generated by the author using repository scripts from structured survey metadata.</w:t>
      </w:r>
    </w:p>
    <w:p>
      <w:pPr>
        <w:jc w:val="center"/>
      </w:pPr>
      <w:r>
        <w:drawing>
          <wp:inline xmlns:a="http://schemas.openxmlformats.org/drawingml/2006/main" xmlns:pic="http://schemas.openxmlformats.org/drawingml/2006/picture">
            <wp:extent cx="4248000" cy="2055484"/>
            <wp:docPr id="3" name="Picture 3"/>
            <wp:cNvGraphicFramePr>
              <a:graphicFrameLocks noChangeAspect="1"/>
            </wp:cNvGraphicFramePr>
            <a:graphic>
              <a:graphicData uri="http://schemas.openxmlformats.org/drawingml/2006/picture">
                <pic:pic>
                  <pic:nvPicPr>
                    <pic:cNvPr id="0" name="model_timeline.png"/>
                    <pic:cNvPicPr/>
                  </pic:nvPicPr>
                  <pic:blipFill>
                    <a:blip r:embed="rId12"/>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3. Timeline distribution of representative MLLM-related models.</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4.7 Training Paradigms</w:t>
      </w:r>
    </w:p>
    <w:p>
      <w:pPr>
        <w:spacing w:before="160" w:after="80"/>
      </w:pPr>
      <w:r>
        <w:rPr>
          <w:rFonts w:ascii="Times New Roman" w:hAnsi="Times New Roman" w:eastAsia="SimSun"/>
          <w:b/>
          <w:sz w:val="20"/>
        </w:rPr>
        <w:t>4.7.1 Image-Text Contrastive Pretraining</w:t>
      </w:r>
    </w:p>
    <w:p>
      <w:pPr>
        <w:spacing w:line="360"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4.7.2 Captioning and Generative Pretraining</w:t>
      </w:r>
    </w:p>
    <w:p>
      <w:pPr>
        <w:spacing w:line="360"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[35].</w:t>
      </w:r>
    </w:p>
    <w:p>
      <w:pPr>
        <w:spacing w:before="160" w:after="80"/>
      </w:pPr>
      <w:r>
        <w:rPr>
          <w:rFonts w:ascii="Times New Roman" w:hAnsi="Times New Roman" w:eastAsia="SimSun"/>
          <w:b/>
          <w:sz w:val="20"/>
        </w:rPr>
        <w:t>4.7.3 Connector Alignment</w:t>
      </w:r>
    </w:p>
    <w:p>
      <w:pPr>
        <w:spacing w:line="360"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4.7.4 Visual Instruction Tuning</w:t>
      </w:r>
    </w:p>
    <w:p>
      <w:pPr>
        <w:spacing w:line="360"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360"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line="360" w:lineRule="auto" w:after="60"/>
        <w:jc w:val="both"/>
      </w:pPr>
      <w:r>
        <w:rPr>
          <w:rFonts w:ascii="Times New Roman" w:hAnsi="Times New Roman" w:eastAsia="SimSun"/>
          <w:b w:val="0"/>
          <w:sz w:val="20"/>
        </w:rPr>
        <w:t>Parameter-efficient and feedback-based alignment methods also influence how open MLLMs are adapted. LoRA and QLoRA reduce the cost of fine-tuning large backbones by updating low-rank or quantized adaptation parameters rather than all weights [64] [65]. Human-feedback instruction following, developed first in text-only settings, remains relevant because multimodal assistants must learn when to answer, refuse, or express uncertainty [66]. Reasoning-oriented prompting and multimodal chain-of-thought studies further show why MLLM outputs should be evaluated for reasoning quality, not only final answer strings [67] [68].</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Training paradigms reveal a tension between scale and supervision quality. More image-text data can improve coverage, but weak captions rarely teach exact grounding, OCR, or uncertainty. Instruction tuning improves usability but can teach a model to sound confident even when the visual evidence is weak. This survey argues that the next stage of MLLM training should combine scalable pretraining with explicit evidence supervision, uncertainty calibration, and negative examples where the correct response is to refuse or state that the image is insufficient.</w:t>
      </w:r>
    </w:p>
    <w:p>
      <w:pPr>
        <w:spacing w:before="160" w:after="80"/>
      </w:pPr>
      <w:r>
        <w:rPr>
          <w:rFonts w:ascii="Times New Roman" w:hAnsi="Times New Roman" w:eastAsia="SimSun"/>
          <w:b/>
          <w:sz w:val="20"/>
        </w:rPr>
        <w:t>4.7.5 Safety and Refusal Alignment</w:t>
      </w:r>
    </w:p>
    <w:p>
      <w:pPr>
        <w:spacing w:line="360"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160" w:after="80"/>
      </w:pPr>
      <w:r>
        <w:rPr>
          <w:rFonts w:ascii="Times New Roman" w:hAnsi="Times New Roman" w:eastAsia="SimSun"/>
          <w:b/>
          <w:sz w:val="20"/>
        </w:rPr>
        <w:t>4.8 Benchmark Evaluation and Comparative Analysis</w:t>
      </w:r>
    </w:p>
    <w:p>
      <w:pPr>
        <w:spacing w:before="160" w:after="80"/>
      </w:pPr>
      <w:r>
        <w:rPr>
          <w:rFonts w:ascii="Times New Roman" w:hAnsi="Times New Roman" w:eastAsia="SimSun"/>
          <w:b/>
          <w:sz w:val="20"/>
        </w:rPr>
        <w:t>4.8.1 Classical VQA Benchmarks</w:t>
      </w:r>
    </w:p>
    <w:p>
      <w:pPr>
        <w:spacing w:line="360"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4.8.2 Educational and Scientific Reasoning</w:t>
      </w:r>
    </w:p>
    <w:p>
      <w:pPr>
        <w:spacing w:line="360"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4.8.3 Broad MLLM Diagnostic Benchmarks</w:t>
      </w:r>
    </w:p>
    <w:p>
      <w:pPr>
        <w:spacing w:line="360"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4.8.4 Expert-Domain and Mathematical Reasoning</w:t>
      </w:r>
    </w:p>
    <w:p>
      <w:pPr>
        <w:spacing w:line="360"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4.8.5 Hallucination Evaluation</w:t>
      </w:r>
    </w:p>
    <w:p>
      <w:pPr>
        <w:spacing w:line="360"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360"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3. Representative MLLM benchmark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benchmark group</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primary capability</w:t>
            </w:r>
          </w:p>
        </w:tc>
        <w:tc>
          <w:tcPr>
            <w:tcW w:type="dxa" w:w="2268"/>
            <w:shd w:fill="D9EAF7"/>
          </w:tcPr>
          <w:p>
            <w:r/>
            <w:r>
              <w:rPr>
                <w:rFonts w:ascii="Times New Roman" w:hAnsi="Times New Roman" w:eastAsia="SimSun"/>
                <w:b/>
                <w:sz w:val="14"/>
              </w:rPr>
              <w:t>evaluation risk</w:t>
            </w:r>
          </w:p>
        </w:tc>
      </w:tr>
      <w:tr>
        <w:tc>
          <w:tcPr>
            <w:tcW w:type="dxa" w:w="2268"/>
          </w:tcPr>
          <w:p>
            <w:r/>
            <w:r>
              <w:rPr>
                <w:rFonts w:ascii="Times New Roman" w:hAnsi="Times New Roman" w:eastAsia="SimSun"/>
                <w:b w:val="0"/>
                <w:sz w:val="14"/>
              </w:rPr>
              <w:t>General VQA</w:t>
            </w:r>
          </w:p>
        </w:tc>
        <w:tc>
          <w:tcPr>
            <w:tcW w:type="dxa" w:w="2268"/>
          </w:tcPr>
          <w:p>
            <w:r/>
            <w:r>
              <w:rPr>
                <w:rFonts w:ascii="Times New Roman" w:hAnsi="Times New Roman" w:eastAsia="SimSun"/>
                <w:b w:val="0"/>
                <w:sz w:val="14"/>
              </w:rPr>
              <w:t>VQA, GQA, OK-VQA</w:t>
            </w:r>
          </w:p>
        </w:tc>
        <w:tc>
          <w:tcPr>
            <w:tcW w:type="dxa" w:w="2268"/>
          </w:tcPr>
          <w:p>
            <w:r/>
            <w:r>
              <w:rPr>
                <w:rFonts w:ascii="Times New Roman" w:hAnsi="Times New Roman" w:eastAsia="SimSun"/>
                <w:b w:val="0"/>
                <w:sz w:val="14"/>
              </w:rPr>
              <w:t>image-conditioned question answering</w:t>
            </w:r>
          </w:p>
        </w:tc>
        <w:tc>
          <w:tcPr>
            <w:tcW w:type="dxa" w:w="2268"/>
          </w:tcPr>
          <w:p>
            <w:r/>
            <w:r>
              <w:rPr>
                <w:rFonts w:ascii="Times New Roman" w:hAnsi="Times New Roman" w:eastAsia="SimSun"/>
                <w:b w:val="0"/>
                <w:sz w:val="14"/>
              </w:rPr>
              <w:t>language priors and dataset bias</w:t>
            </w:r>
          </w:p>
        </w:tc>
      </w:tr>
      <w:tr>
        <w:tc>
          <w:tcPr>
            <w:tcW w:type="dxa" w:w="2268"/>
          </w:tcPr>
          <w:p>
            <w:r/>
            <w:r>
              <w:rPr>
                <w:rFonts w:ascii="Times New Roman" w:hAnsi="Times New Roman" w:eastAsia="SimSun"/>
                <w:b w:val="0"/>
                <w:sz w:val="14"/>
              </w:rPr>
              <w:t>OCR and chart reasoning</w:t>
            </w:r>
          </w:p>
        </w:tc>
        <w:tc>
          <w:tcPr>
            <w:tcW w:type="dxa" w:w="2268"/>
          </w:tcPr>
          <w:p>
            <w:r/>
            <w:r>
              <w:rPr>
                <w:rFonts w:ascii="Times New Roman" w:hAnsi="Times New Roman" w:eastAsia="SimSun"/>
                <w:b w:val="0"/>
                <w:sz w:val="14"/>
              </w:rPr>
              <w:t>TextVQA, ChartQA</w:t>
            </w:r>
          </w:p>
        </w:tc>
        <w:tc>
          <w:tcPr>
            <w:tcW w:type="dxa" w:w="2268"/>
          </w:tcPr>
          <w:p>
            <w:r/>
            <w:r>
              <w:rPr>
                <w:rFonts w:ascii="Times New Roman" w:hAnsi="Times New Roman" w:eastAsia="SimSun"/>
                <w:b w:val="0"/>
                <w:sz w:val="14"/>
              </w:rPr>
              <w:t>reading scene text and structured graphics</w:t>
            </w:r>
          </w:p>
        </w:tc>
        <w:tc>
          <w:tcPr>
            <w:tcW w:type="dxa" w:w="2268"/>
          </w:tcPr>
          <w:p>
            <w:r/>
            <w:r>
              <w:rPr>
                <w:rFonts w:ascii="Times New Roman" w:hAnsi="Times New Roman" w:eastAsia="SimSun"/>
                <w:b w:val="0"/>
                <w:sz w:val="14"/>
              </w:rPr>
              <w:t>small text, chart parsing, and answer normalization</w:t>
            </w:r>
          </w:p>
        </w:tc>
      </w:tr>
      <w:tr>
        <w:tc>
          <w:tcPr>
            <w:tcW w:type="dxa" w:w="2268"/>
          </w:tcPr>
          <w:p>
            <w:r/>
            <w:r>
              <w:rPr>
                <w:rFonts w:ascii="Times New Roman" w:hAnsi="Times New Roman" w:eastAsia="SimSun"/>
                <w:b w:val="0"/>
                <w:sz w:val="14"/>
              </w:rPr>
              <w:t>Science and mathematics</w:t>
            </w:r>
          </w:p>
        </w:tc>
        <w:tc>
          <w:tcPr>
            <w:tcW w:type="dxa" w:w="2268"/>
          </w:tcPr>
          <w:p>
            <w:r/>
            <w:r>
              <w:rPr>
                <w:rFonts w:ascii="Times New Roman" w:hAnsi="Times New Roman" w:eastAsia="SimSun"/>
                <w:b w:val="0"/>
                <w:sz w:val="14"/>
              </w:rPr>
              <w:t>ScienceQA, MathVista</w:t>
            </w:r>
          </w:p>
        </w:tc>
        <w:tc>
          <w:tcPr>
            <w:tcW w:type="dxa" w:w="2268"/>
          </w:tcPr>
          <w:p>
            <w:r/>
            <w:r>
              <w:rPr>
                <w:rFonts w:ascii="Times New Roman" w:hAnsi="Times New Roman" w:eastAsia="SimSun"/>
                <w:b w:val="0"/>
                <w:sz w:val="14"/>
              </w:rPr>
              <w:t>diagram-grounded and visual mathematical reasoning</w:t>
            </w:r>
          </w:p>
        </w:tc>
        <w:tc>
          <w:tcPr>
            <w:tcW w:type="dxa" w:w="2268"/>
          </w:tcPr>
          <w:p>
            <w:r/>
            <w:r>
              <w:rPr>
                <w:rFonts w:ascii="Times New Roman" w:hAnsi="Times New Roman" w:eastAsia="SimSun"/>
                <w:b w:val="0"/>
                <w:sz w:val="14"/>
              </w:rPr>
              <w:t>fluent but unsupported reasoning</w:t>
            </w:r>
          </w:p>
        </w:tc>
      </w:tr>
      <w:tr>
        <w:tc>
          <w:tcPr>
            <w:tcW w:type="dxa" w:w="2268"/>
          </w:tcPr>
          <w:p>
            <w:r/>
            <w:r>
              <w:rPr>
                <w:rFonts w:ascii="Times New Roman" w:hAnsi="Times New Roman" w:eastAsia="SimSun"/>
                <w:b w:val="0"/>
                <w:sz w:val="14"/>
              </w:rPr>
              <w:t>Broad diagnostics</w:t>
            </w:r>
          </w:p>
        </w:tc>
        <w:tc>
          <w:tcPr>
            <w:tcW w:type="dxa" w:w="2268"/>
          </w:tcPr>
          <w:p>
            <w:r/>
            <w:r>
              <w:rPr>
                <w:rFonts w:ascii="Times New Roman" w:hAnsi="Times New Roman" w:eastAsia="SimSun"/>
                <w:b w:val="0"/>
                <w:sz w:val="14"/>
              </w:rPr>
              <w:t>MME, MMBench, MM-Vet</w:t>
            </w:r>
          </w:p>
        </w:tc>
        <w:tc>
          <w:tcPr>
            <w:tcW w:type="dxa" w:w="2268"/>
          </w:tcPr>
          <w:p>
            <w:r/>
            <w:r>
              <w:rPr>
                <w:rFonts w:ascii="Times New Roman" w:hAnsi="Times New Roman" w:eastAsia="SimSun"/>
                <w:b w:val="0"/>
                <w:sz w:val="14"/>
              </w:rPr>
              <w:t>perception, cognition, and integrated skills</w:t>
            </w:r>
          </w:p>
        </w:tc>
        <w:tc>
          <w:tcPr>
            <w:tcW w:type="dxa" w:w="2268"/>
          </w:tcPr>
          <w:p>
            <w:r/>
            <w:r>
              <w:rPr>
                <w:rFonts w:ascii="Times New Roman" w:hAnsi="Times New Roman" w:eastAsia="SimSun"/>
                <w:b w:val="0"/>
                <w:sz w:val="14"/>
              </w:rPr>
              <w:t>prompt sensitivity and scoring differences</w:t>
            </w:r>
          </w:p>
        </w:tc>
      </w:tr>
      <w:tr>
        <w:tc>
          <w:tcPr>
            <w:tcW w:type="dxa" w:w="2268"/>
          </w:tcPr>
          <w:p>
            <w:r/>
            <w:r>
              <w:rPr>
                <w:rFonts w:ascii="Times New Roman" w:hAnsi="Times New Roman" w:eastAsia="SimSun"/>
                <w:b w:val="0"/>
                <w:sz w:val="14"/>
              </w:rPr>
              <w:t>Hallucination checks</w:t>
            </w:r>
          </w:p>
        </w:tc>
        <w:tc>
          <w:tcPr>
            <w:tcW w:type="dxa" w:w="2268"/>
          </w:tcPr>
          <w:p>
            <w:r/>
            <w:r>
              <w:rPr>
                <w:rFonts w:ascii="Times New Roman" w:hAnsi="Times New Roman" w:eastAsia="SimSun"/>
                <w:b w:val="0"/>
                <w:sz w:val="14"/>
              </w:rPr>
              <w:t>POPE</w:t>
            </w:r>
          </w:p>
        </w:tc>
        <w:tc>
          <w:tcPr>
            <w:tcW w:type="dxa" w:w="2268"/>
          </w:tcPr>
          <w:p>
            <w:r/>
            <w:r>
              <w:rPr>
                <w:rFonts w:ascii="Times New Roman" w:hAnsi="Times New Roman" w:eastAsia="SimSun"/>
                <w:b w:val="0"/>
                <w:sz w:val="14"/>
              </w:rPr>
              <w:t>detecting unsupported object claims</w:t>
            </w:r>
          </w:p>
        </w:tc>
        <w:tc>
          <w:tcPr>
            <w:tcW w:type="dxa" w:w="2268"/>
          </w:tcPr>
          <w:p>
            <w:r/>
            <w:r>
              <w:rPr>
                <w:rFonts w:ascii="Times New Roman" w:hAnsi="Times New Roman" w:eastAsia="SimSun"/>
                <w:b w:val="0"/>
                <w:sz w:val="14"/>
              </w:rPr>
              <w:t>coverage beyond object presence remains limited</w:t>
            </w:r>
          </w:p>
        </w:tc>
      </w:tr>
      <w:tr>
        <w:tc>
          <w:tcPr>
            <w:tcW w:type="dxa" w:w="2268"/>
          </w:tcPr>
          <w:p>
            <w:r/>
            <w:r>
              <w:rPr>
                <w:rFonts w:ascii="Times New Roman" w:hAnsi="Times New Roman" w:eastAsia="SimSun"/>
                <w:b w:val="0"/>
                <w:sz w:val="14"/>
              </w:rPr>
              <w:t>Expert-domain reasoning</w:t>
            </w:r>
          </w:p>
        </w:tc>
        <w:tc>
          <w:tcPr>
            <w:tcW w:type="dxa" w:w="2268"/>
          </w:tcPr>
          <w:p>
            <w:r/>
            <w:r>
              <w:rPr>
                <w:rFonts w:ascii="Times New Roman" w:hAnsi="Times New Roman" w:eastAsia="SimSun"/>
                <w:b w:val="0"/>
                <w:sz w:val="14"/>
              </w:rPr>
              <w:t>MMMU</w:t>
            </w:r>
          </w:p>
        </w:tc>
        <w:tc>
          <w:tcPr>
            <w:tcW w:type="dxa" w:w="2268"/>
          </w:tcPr>
          <w:p>
            <w:r/>
            <w:r>
              <w:rPr>
                <w:rFonts w:ascii="Times New Roman" w:hAnsi="Times New Roman" w:eastAsia="SimSun"/>
                <w:b w:val="0"/>
                <w:sz w:val="14"/>
              </w:rPr>
              <w:t>college-level multidisciplinary multimodal reasoning</w:t>
            </w:r>
          </w:p>
        </w:tc>
        <w:tc>
          <w:tcPr>
            <w:tcW w:type="dxa" w:w="2268"/>
          </w:tcPr>
          <w:p>
            <w:r/>
            <w:r>
              <w:rPr>
                <w:rFonts w:ascii="Times New Roman" w:hAnsi="Times New Roman" w:eastAsia="SimSun"/>
                <w:b w:val="0"/>
                <w:sz w:val="14"/>
              </w:rPr>
              <w:t>contamination and domain coverage</w:t>
            </w:r>
          </w:p>
        </w:tc>
      </w:tr>
    </w:tbl>
    <w:p>
      <w:pPr>
        <w:jc w:val="center"/>
      </w:pPr>
      <w:r>
        <w:rPr>
          <w:rFonts w:ascii="Times New Roman" w:hAnsi="Times New Roman" w:eastAsia="SimSun"/>
          <w:b w:val="0"/>
          <w:sz w:val="16"/>
        </w:rPr>
        <w:t>Source: Compiled by the author based on cited literature and course materials.</w:t>
      </w:r>
    </w:p>
    <w:p>
      <w:pPr>
        <w:jc w:val="center"/>
      </w:pPr>
      <w:r>
        <w:drawing>
          <wp:inline xmlns:a="http://schemas.openxmlformats.org/drawingml/2006/main" xmlns:pic="http://schemas.openxmlformats.org/drawingml/2006/picture">
            <wp:extent cx="4248000" cy="2055484"/>
            <wp:docPr id="4" name="Picture 4"/>
            <wp:cNvGraphicFramePr>
              <a:graphicFrameLocks noChangeAspect="1"/>
            </wp:cNvGraphicFramePr>
            <a:graphic>
              <a:graphicData uri="http://schemas.openxmlformats.org/drawingml/2006/picture">
                <pic:pic>
                  <pic:nvPicPr>
                    <pic:cNvPr id="0" name="benchmark_taxonomy_diagram.png"/>
                    <pic:cNvPicPr/>
                  </pic:nvPicPr>
                  <pic:blipFill>
                    <a:blip r:embed="rId13"/>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4. Benchmark taxonomy for MLLM evaluation.</w:t>
      </w:r>
    </w:p>
    <w:p>
      <w:pPr>
        <w:jc w:val="center"/>
      </w:pPr>
      <w:r>
        <w:rPr>
          <w:rFonts w:ascii="Times New Roman" w:hAnsi="Times New Roman" w:eastAsia="SimSun"/>
          <w:b w:val="0"/>
          <w:sz w:val="16"/>
        </w:rPr>
        <w:t>Source: Generated by the author using repository scripts from structured survey metadata.</w:t>
      </w:r>
    </w:p>
    <w:p>
      <w:pPr>
        <w:jc w:val="center"/>
      </w:pPr>
      <w:r>
        <w:drawing>
          <wp:inline xmlns:a="http://schemas.openxmlformats.org/drawingml/2006/main" xmlns:pic="http://schemas.openxmlformats.org/drawingml/2006/picture">
            <wp:extent cx="4248000" cy="2055484"/>
            <wp:docPr id="5" name="Picture 5"/>
            <wp:cNvGraphicFramePr>
              <a:graphicFrameLocks noChangeAspect="1"/>
            </wp:cNvGraphicFramePr>
            <a:graphic>
              <a:graphicData uri="http://schemas.openxmlformats.org/drawingml/2006/picture">
                <pic:pic>
                  <pic:nvPicPr>
                    <pic:cNvPr id="0" name="benchmark_timeline.png"/>
                    <pic:cNvPicPr/>
                  </pic:nvPicPr>
                  <pic:blipFill>
                    <a:blip r:embed="rId14"/>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5. Timeline distribution of representative MLLM benchmarks.</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4.8.6 Comparative Analysis Without Fabricated Scores</w:t>
      </w:r>
    </w:p>
    <w:p>
      <w:pPr>
        <w:spacing w:line="360"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360"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[46] [7]. Closed systems such as GPT-4V remain important external references but cannot be fully reproduced from public information [12].</w:t>
      </w:r>
    </w:p>
    <w:p>
      <w:pPr>
        <w:spacing w:before="160" w:after="80"/>
      </w:pPr>
      <w:r>
        <w:rPr>
          <w:rFonts w:ascii="Times New Roman" w:hAnsi="Times New Roman" w:eastAsia="SimSun"/>
          <w:b/>
          <w:sz w:val="20"/>
        </w:rPr>
        <w:t>4.8.7 Benchmark Design Risks</w:t>
      </w:r>
    </w:p>
    <w:p>
      <w:pPr>
        <w:spacing w:line="360"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360"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360"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360"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4.8.8 Error Taxonomy for MLLMs</w:t>
      </w:r>
    </w:p>
    <w:p>
      <w:pPr>
        <w:spacing w:line="360"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360"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360"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4.8.9 Reproducible Evaluation Protocol</w:t>
      </w:r>
    </w:p>
    <w:p>
      <w:pPr>
        <w:spacing w:line="360"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360"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benchmark literature suggests that MLLM evaluation is still more diagnostic than definitive. A model can perform well on a broad benchmark while still failing on OCR, grounding, or rare cultural contexts. Multiple-choice formats are convenient but may reward language priors; open-ended formats are realistic but harder to score reliably. This survey argues that future evaluation should report error categories, prompt settings, answer extraction rules, and uncertainty behavior alongside aggregate scores.</w:t>
      </w:r>
    </w:p>
    <w:p>
      <w:pPr>
        <w:spacing w:before="240" w:after="120"/>
      </w:pPr>
      <w:r>
        <w:rPr>
          <w:rFonts w:ascii="Times New Roman" w:hAnsi="Times New Roman" w:eastAsia="SimSun"/>
          <w:b/>
          <w:sz w:val="24"/>
        </w:rPr>
        <w:t>5. Discussion and Analysis</w:t>
      </w:r>
    </w:p>
    <w:p>
      <w:pPr>
        <w:spacing w:before="160" w:after="80"/>
      </w:pPr>
      <w:r>
        <w:rPr>
          <w:rFonts w:ascii="Times New Roman" w:hAnsi="Times New Roman" w:eastAsia="SimSun"/>
          <w:b/>
          <w:sz w:val="20"/>
        </w:rPr>
        <w:t>5.1 Hallucination Case Study</w:t>
      </w:r>
    </w:p>
    <w:p>
      <w:pPr>
        <w:spacing w:line="360" w:lineRule="auto" w:after="60"/>
        <w:jc w:val="both"/>
      </w:pPr>
      <w:r>
        <w:rPr>
          <w:rFonts w:ascii="Times New Roman" w:hAnsi="Times New Roman" w:eastAsia="SimSun"/>
          <w:b w:val="0"/>
          <w:sz w:val="20"/>
        </w:rPr>
        <w:t>Consider an illustrative image of a kitchen counter containing a bowl, a cup, and a cutting board, but no knife. If a user asks, "What sharp tools are visible?", a poorly grounded MLLM may answer, "A knife is visible on the counter," because knives are statistically common in kitchen scenes. This example is not an experimental result and is not claimed as a benchmark outcome. It illustrates a known failure mode: the language model's scene prior can override missing visual evidence.</w:t>
      </w:r>
    </w:p>
    <w:p>
      <w:pPr>
        <w:jc w:val="center"/>
      </w:pPr>
      <w:r>
        <w:drawing>
          <wp:inline xmlns:a="http://schemas.openxmlformats.org/drawingml/2006/main" xmlns:pic="http://schemas.openxmlformats.org/drawingml/2006/picture">
            <wp:extent cx="4248000" cy="2055484"/>
            <wp:docPr id="6" name="Picture 6"/>
            <wp:cNvGraphicFramePr>
              <a:graphicFrameLocks noChangeAspect="1"/>
            </wp:cNvGraphicFramePr>
            <a:graphic>
              <a:graphicData uri="http://schemas.openxmlformats.org/drawingml/2006/picture">
                <pic:pic>
                  <pic:nvPicPr>
                    <pic:cNvPr id="0" name="hallucination_illustration.png"/>
                    <pic:cNvPicPr/>
                  </pic:nvPicPr>
                  <pic:blipFill>
                    <a:blip r:embed="rId15"/>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6. Illustrative hallucination mechanism.</w:t>
      </w:r>
    </w:p>
    <w:p>
      <w:pPr>
        <w:jc w:val="center"/>
      </w:pPr>
      <w:r>
        <w:rPr>
          <w:rFonts w:ascii="Times New Roman" w:hAnsi="Times New Roman" w:eastAsia="SimSun"/>
          <w:b w:val="0"/>
          <w:sz w:val="16"/>
        </w:rPr>
        <w:t>Source: Generated by the author using repository scripts from structured survey metadata.</w:t>
      </w:r>
    </w:p>
    <w:p>
      <w:pPr>
        <w:spacing w:line="360" w:lineRule="auto" w:after="60"/>
        <w:jc w:val="both"/>
      </w:pPr>
      <w:r>
        <w:rPr>
          <w:rFonts w:ascii="Times New Roman" w:hAnsi="Times New Roman" w:eastAsia="SimSun"/>
          <w:b w:val="0"/>
          <w:sz w:val="20"/>
        </w:rPr>
        <w:t>The scientifically preferable answer would be: "I do not see a sharp tool in the image; the visible items appear to include a bowl, cup, and cutting board." This response is better because it separates visible evidence from plausible but unsupported inference. The case also shows why hallucination evaluation should include absent-object questions, uncertainty prompts, and checks for overconfident descriptions. A useful MLLM should be rewarded not only for naming visible content, but also for refusing to invent content.</w:t>
      </w:r>
    </w:p>
    <w:p>
      <w:pPr>
        <w:spacing w:before="160" w:after="80"/>
      </w:pPr>
      <w:r>
        <w:rPr>
          <w:rFonts w:ascii="Times New Roman" w:hAnsi="Times New Roman" w:eastAsia="SimSun"/>
          <w:b/>
          <w:sz w:val="20"/>
        </w:rPr>
        <w:t>5.2 OCR and Document Understanding Case Study</w:t>
      </w:r>
    </w:p>
    <w:p>
      <w:pPr>
        <w:spacing w:line="360" w:lineRule="auto" w:after="60"/>
        <w:jc w:val="both"/>
      </w:pPr>
      <w:r>
        <w:rPr>
          <w:rFonts w:ascii="Times New Roman" w:hAnsi="Times New Roman" w:eastAsia="SimSun"/>
          <w:b w:val="0"/>
          <w:sz w:val="20"/>
        </w:rPr>
        <w:t>Consider an illustrative document image containing a student ID number, a course title, and a submission deadline. If the text is small or blurred, an MLLM may produce a fluent but incorrect transcription. For example, it may confuse similar characters such as "0" and "O", or infer a plausible date from context rather than reading the actual document. This is again a conceptual example, not a reported experiment.</w:t>
      </w:r>
    </w:p>
    <w:p>
      <w:pPr>
        <w:jc w:val="center"/>
      </w:pPr>
      <w:r>
        <w:drawing>
          <wp:inline xmlns:a="http://schemas.openxmlformats.org/drawingml/2006/main" xmlns:pic="http://schemas.openxmlformats.org/drawingml/2006/picture">
            <wp:extent cx="4248000" cy="2055484"/>
            <wp:docPr id="7" name="Picture 7"/>
            <wp:cNvGraphicFramePr>
              <a:graphicFrameLocks noChangeAspect="1"/>
            </wp:cNvGraphicFramePr>
            <a:graphic>
              <a:graphicData uri="http://schemas.openxmlformats.org/drawingml/2006/picture">
                <pic:pic>
                  <pic:nvPicPr>
                    <pic:cNvPr id="0" name="grounding_workflow_diagram.png"/>
                    <pic:cNvPicPr/>
                  </pic:nvPicPr>
                  <pic:blipFill>
                    <a:blip r:embed="rId16"/>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7. Evidence-grounded response workflow.</w:t>
      </w:r>
    </w:p>
    <w:p>
      <w:pPr>
        <w:jc w:val="center"/>
      </w:pPr>
      <w:r>
        <w:rPr>
          <w:rFonts w:ascii="Times New Roman" w:hAnsi="Times New Roman" w:eastAsia="SimSun"/>
          <w:b w:val="0"/>
          <w:sz w:val="16"/>
        </w:rPr>
        <w:t>Source: Generated by the author using repository scripts from structured survey metadata.</w:t>
      </w:r>
    </w:p>
    <w:p>
      <w:pPr>
        <w:spacing w:line="360" w:lineRule="auto" w:after="60"/>
        <w:jc w:val="both"/>
      </w:pPr>
      <w:r>
        <w:rPr>
          <w:rFonts w:ascii="Times New Roman" w:hAnsi="Times New Roman" w:eastAsia="SimSun"/>
          <w:b w:val="0"/>
          <w:sz w:val="20"/>
        </w:rPr>
        <w:t>The correct system behavior should include uncertainty: "The course title appears to be visible, but the ID number is too small to read confidently." In document understanding, exactness matters more than fluency. A wrong ID number, amount, date, or email address can make the model practically unusable even if the surrounding explanation is coherent. This case motivates specialized OCR modules, high-resolution visual processing, document-specific benchmarks, and answer formats that expose confidence or cite visual evidence.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These case studies show why MLLM reliability cannot be reduced to general conversational quality. Hallucination and OCR errors are different: hallucination reflects unsupported semantic completion, while OCR failure reflects loss of fine-grained visual evidence. Both can produce fluent answers, and both can be hidden by natural language style. This survey argues that practical MLLM systems should expose evidence, uncertainty, and task-specific failure modes rather than presenting all answers as equally reliable.</w:t>
      </w:r>
    </w:p>
    <w:p>
      <w:pPr>
        <w:spacing w:before="160" w:after="80"/>
      </w:pPr>
      <w:r>
        <w:rPr>
          <w:rFonts w:ascii="Times New Roman" w:hAnsi="Times New Roman" w:eastAsia="SimSun"/>
          <w:b/>
          <w:sz w:val="20"/>
        </w:rPr>
        <w:t>5.3 Reproducibility Framework</w:t>
      </w:r>
    </w:p>
    <w:p>
      <w:pPr>
        <w:spacing w:before="160" w:after="80"/>
      </w:pPr>
      <w:r>
        <w:rPr>
          <w:rFonts w:ascii="Times New Roman" w:hAnsi="Times New Roman" w:eastAsia="SimSun"/>
          <w:b/>
          <w:sz w:val="20"/>
        </w:rPr>
        <w:t>5.3.1 What Reproducibility Means for a Survey</w:t>
      </w:r>
    </w:p>
    <w:p>
      <w:pPr>
        <w:spacing w:line="360"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360"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5.3.2 What Would Be Required for Original Experiments</w:t>
      </w:r>
    </w:p>
    <w:p>
      <w:pPr>
        <w:spacing w:line="360"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360"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5.3.3 Data and License Responsibility</w:t>
      </w:r>
    </w:p>
    <w:p>
      <w:pPr>
        <w:spacing w:line="360"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360"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5.3.4 Public Repository Status</w:t>
      </w:r>
    </w:p>
    <w:p>
      <w:pPr>
        <w:spacing w:line="360" w:lineRule="auto" w:after="60"/>
        <w:jc w:val="both"/>
      </w:pPr>
      <w:r>
        <w:rPr>
          <w:rFonts w:ascii="Times New Roman" w:hAnsi="Times New Roman" w:eastAsia="SimSun"/>
          <w:b w:val="0"/>
          <w:sz w:val="20"/>
        </w:rPr>
        <w:t>The public repository is `https://github.com/IssaIssa-tech/AI-final-report`. It contains the manuscript source, bibliography, scripts, structured tables, generated figures, presentation materials, and final submission files. This is part of research integrity: a reader should be able to open the link, inspect the code, and rerun the scripts that validate citations, regenerate tables and figures, and produce the formatted manuscript.</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For a survey paper, reproducibility means traceability. A reader should be able to determine why each reference is cited, how each table was generated, and how final formatting was produced. The current repository supports this goal through scripts for citation validation, table generation, figure generation, ChinaXiv formatting, layout comparison, and presentation generation. The main remaining reproducibility limitation is that the paper does not provide executable model experiments, because it does not claim any.</w:t>
      </w:r>
    </w:p>
    <w:p>
      <w:pPr>
        <w:spacing w:before="160" w:after="80"/>
      </w:pPr>
      <w:r>
        <w:rPr>
          <w:rFonts w:ascii="Times New Roman" w:hAnsi="Times New Roman" w:eastAsia="SimSun"/>
          <w:b/>
          <w:sz w:val="20"/>
        </w:rPr>
        <w:t>5.4 Ethical, Safety, and Deployment Considerations</w:t>
      </w:r>
    </w:p>
    <w:p>
      <w:pPr>
        <w:spacing w:line="360" w:lineRule="auto" w:after="60"/>
        <w:jc w:val="both"/>
      </w:pPr>
      <w:r>
        <w:rPr>
          <w:rFonts w:ascii="Times New Roman" w:hAnsi="Times New Roman" w:eastAsia="SimSun"/>
          <w:b w:val="0"/>
          <w:sz w:val="20"/>
        </w:rPr>
        <w:t>MLLMs raise safety issues because visual inputs may contain faces, identity documents, locations, medical information, private messages, or workplace data. A responsible system should avoid unnecessary sensitive inference and should disclose whether images are stored, sent to third-party APIs, or used for model improvement. In course-level research, the safest default is to use public datasets and documented examples rather than private images.</w:t>
      </w:r>
    </w:p>
    <w:p>
      <w:pPr>
        <w:spacing w:line="360" w:lineRule="auto" w:after="60"/>
        <w:jc w:val="both"/>
      </w:pPr>
      <w:r>
        <w:rPr>
          <w:rFonts w:ascii="Times New Roman" w:hAnsi="Times New Roman" w:eastAsia="SimSun"/>
          <w:b w:val="0"/>
          <w:sz w:val="20"/>
        </w:rPr>
        <w:t>Reliability is especially important in education, law, medicine, engineering, and public safety. In such settings, an MLLM should distinguish visible evidence from inference, state uncertainty, and recommend human review when appropriate. Bias is also multimodal: visual datasets may underrepresent regions, scripts, clothing styles, skin tones, or cultural practices, while language data may introduce stereotypes. Evaluation should therefore include diverse visual contexts and multilingual prompts.</w:t>
      </w:r>
    </w:p>
    <w:p>
      <w:pPr>
        <w:spacing w:line="360" w:lineRule="auto" w:after="60"/>
        <w:jc w:val="both"/>
      </w:pPr>
      <w:r>
        <w:rPr>
          <w:rFonts w:ascii="Times New Roman" w:hAnsi="Times New Roman" w:eastAsia="SimSun"/>
          <w:b w:val="0"/>
          <w:sz w:val="20"/>
        </w:rPr>
        <w:t>Privacy should be treated as a design requirement rather than an afterthought. Images can expose names, addresses, ID numbers, faces, locations, and institutional records even when the user asks a harmless question. A responsible deployment should minimize retention, mask sensitive regions where possible, and avoid drawing identity, health, or socioeconomic conclusions that are not required by the task. Cultural bias also requires direct evaluation: a model trained mostly on dominant languages and visual contexts may misinterpret clothing, food, signs, classroom materials, or local practices from underrepresented communities. For this reason, multilingual and multicultural benchmarks are not optional add-ons but part of trustworthy MLLM evaluation.</w:t>
      </w:r>
    </w:p>
    <w:p>
      <w:pPr>
        <w:spacing w:line="360" w:lineRule="auto" w:after="60"/>
        <w:jc w:val="both"/>
      </w:pPr>
      <w:r>
        <w:rPr>
          <w:rFonts w:ascii="Times New Roman" w:hAnsi="Times New Roman" w:eastAsia="SimSun"/>
          <w:b w:val="0"/>
          <w:sz w:val="20"/>
        </w:rPr>
        <w:t>Deployment should be layered. The task and risk level should be defined first; then the system should combine the MLLM with suitable tools such as OCR, retrieval, chart parsers, or symbolic solvers when exact evidence is required. Efficient connectors, quantization, and modular design are also important because universities and small laboratories cannot always reproduce frontier-scale training.</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ethical risk of MLLMs is amplified by the authority of visual evidence. Users may believe that a model "saw" something even when the answer was produced by prior knowledge or pattern completion. This survey argues that safe deployment requires calibrated uncertainty, visual evidence presentation, privacy-aware logging, and clear boundaries between assistance and professional judgment. In high-stakes settings, an MLLM should support human review rather than replace it.</w:t>
      </w:r>
    </w:p>
    <w:p>
      <w:pPr>
        <w:spacing w:before="160" w:after="80"/>
      </w:pPr>
      <w:r>
        <w:rPr>
          <w:rFonts w:ascii="Times New Roman" w:hAnsi="Times New Roman" w:eastAsia="SimSun"/>
          <w:b/>
          <w:sz w:val="20"/>
        </w:rPr>
        <w:t>5.5 Response to Research Questions and Course Reflection</w:t>
      </w:r>
    </w:p>
    <w:p>
      <w:pPr>
        <w:spacing w:line="360"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before="160" w:after="80"/>
      </w:pPr>
      <w:r>
        <w:rPr>
          <w:rFonts w:ascii="Times New Roman" w:hAnsi="Times New Roman" w:eastAsia="SimSun"/>
          <w:b/>
          <w:sz w:val="20"/>
        </w:rPr>
        <w:t>5.5.1 Response to Initial Research Questions</w:t>
      </w:r>
    </w:p>
    <w:p>
      <w:pPr>
        <w:spacing w:line="360" w:lineRule="auto" w:after="60"/>
        <w:jc w:val="both"/>
      </w:pPr>
      <w:r>
        <w:rPr>
          <w:rFonts w:ascii="Times New Roman" w:hAnsi="Times New Roman" w:eastAsia="SimSun"/>
          <w:b w:val="0"/>
          <w:sz w:val="20"/>
        </w:rPr>
        <w:t>This survey proposed four research questions. First, the dominant architecture patterns are contrastive dual encoders, frozen-backbone connector models, instruction-tuned open MLLMs, visual-expert models, and closed frontier systems. The literature suggests that no single architecture is universally best; each makes different trade-offs among efficiency, grounding, openness, and capability.</w:t>
      </w:r>
    </w:p>
    <w:p>
      <w:pPr>
        <w:spacing w:line="360" w:lineRule="auto" w:after="60"/>
        <w:jc w:val="both"/>
      </w:pPr>
      <w:r>
        <w:rPr>
          <w:rFonts w:ascii="Times New Roman" w:hAnsi="Times New Roman" w:eastAsia="SimSun"/>
          <w:b w:val="0"/>
          <w:sz w:val="20"/>
        </w:rPr>
        <w:t>Second, the main training and alignment paradigms are image-text contrastive pretraining, captioning and generative pretraining, connector alignment, visual instruction tuning, parameter-efficient adaptation, and safety/refusal alignment. Existing evidence indicates that instruction tuning improves usability, but it does not guarantee visual faithfulness.</w:t>
      </w:r>
    </w:p>
    <w:p>
      <w:pPr>
        <w:spacing w:line="360" w:lineRule="auto" w:after="60"/>
        <w:jc w:val="both"/>
      </w:pPr>
      <w:r>
        <w:rPr>
          <w:rFonts w:ascii="Times New Roman" w:hAnsi="Times New Roman" w:eastAsia="SimSun"/>
          <w:b w:val="0"/>
          <w:sz w:val="20"/>
        </w:rPr>
        <w:t>Third, benchmark families evaluate perception, OCR, document understanding, science reasoning, mathematical reasoning, hallucination, and expert-domain competence. However, benchmark results must be interpreted carefully because prompt design, answer extraction, data contamination, and scoring style can strongly affect conclusions.</w:t>
      </w:r>
    </w:p>
    <w:p>
      <w:pPr>
        <w:spacing w:line="360" w:lineRule="auto" w:after="60"/>
        <w:jc w:val="both"/>
      </w:pPr>
      <w:r>
        <w:rPr>
          <w:rFonts w:ascii="Times New Roman" w:hAnsi="Times New Roman" w:eastAsia="SimSun"/>
          <w:b w:val="0"/>
          <w:sz w:val="20"/>
        </w:rPr>
        <w:t>Fourth, trustworthy MLLM research requires reproducible references, transparent taxonomy construction, released scripts, clear code availability, and explicit distinction between survey analysis and executed experiments. This project answers that requirement through public scripts for validation, formatting, figure generation, and layout comparison.</w:t>
      </w:r>
    </w:p>
    <w:p>
      <w:pPr>
        <w:spacing w:before="160" w:after="80"/>
      </w:pPr>
      <w:r>
        <w:rPr>
          <w:rFonts w:ascii="Times New Roman" w:hAnsi="Times New Roman" w:eastAsia="SimSun"/>
          <w:b/>
          <w:sz w:val="20"/>
        </w:rPr>
        <w:t>5.5.2 Course Knowledge Reflection and Expansion</w:t>
      </w:r>
    </w:p>
    <w:p>
      <w:pPr>
        <w:spacing w:line="360" w:lineRule="auto" w:after="60"/>
        <w:jc w:val="both"/>
      </w:pPr>
      <w:r>
        <w:rPr>
          <w:rFonts w:ascii="Times New Roman" w:hAnsi="Times New Roman" w:eastAsia="SimSun"/>
          <w:b w:val="0"/>
          <w:sz w:val="20"/>
        </w:rPr>
        <w:t>The survey deepens understanding of the Advanced Artificial Intelligence course because MLLMs combine multiple course modules in one system. Structural intelligence explains the neural computation behind encoders, connectors, and language backbones. Visual intelligence explains the perception modules that convert images into features. Language intelligence explains Transformers and LLM reasoning. Generative intelligence explains output generation and the risk of hallucination. Graph intelligence provides tools for relational reasoning and scene/document structure. Multimodal intelligence explains cross-modal fusion. Reinforcement intelligence explains human-feedback alignment and refusal behavior. Agent intelligence explains tool use, planning, and multimodal workflows [27].</w:t>
      </w:r>
    </w:p>
    <w:p>
      <w:pPr>
        <w:spacing w:line="360" w:lineRule="auto" w:after="60"/>
        <w:jc w:val="both"/>
      </w:pPr>
      <w:r>
        <w:rPr>
          <w:rFonts w:ascii="Times New Roman" w:hAnsi="Times New Roman" w:eastAsia="SimSun"/>
          <w:b w:val="0"/>
          <w:sz w:val="20"/>
        </w:rPr>
        <w:t>This course-level view clarifies why MLLMs are a suitable final-report topic. They are not only an application of one module; they are a frontier integration of visual, language, generative, reinforcement, and agent intelligence. The report therefore demonstrates systematic course mastery while focusing the deeper investigation on multimodal intelligence.</w:t>
      </w:r>
    </w:p>
    <w:p>
      <w:pPr>
        <w:spacing w:line="360" w:lineRule="auto" w:after="60"/>
        <w:jc w:val="both"/>
      </w:pPr>
      <w:r>
        <w:rPr>
          <w:rFonts w:ascii="Times New Roman" w:hAnsi="Times New Roman" w:eastAsia="SimSun"/>
          <w:b w:val="0"/>
          <w:sz w:val="20"/>
        </w:rPr>
        <w:t>Through this survey, I learned that advanced AI systems should be evaluated as integrated pipelines rather than isolated models. I also learned that a convincing research report must separate reproducible evidence from attractive demonstrations, especially in a fast-moving field where fluent outputs can hide weak grounding.</w:t>
      </w:r>
    </w:p>
    <w:p>
      <w:pPr>
        <w:spacing w:line="360"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360"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360"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360"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line="360" w:lineRule="auto" w:after="60"/>
        <w:jc w:val="both"/>
      </w:pPr>
      <w:r>
        <w:rPr>
          <w:rFonts w:ascii="Times New Roman" w:hAnsi="Times New Roman" w:eastAsia="SimSun"/>
          <w:b w:val="0"/>
          <w:sz w:val="20"/>
        </w:rPr>
        <w:t>Emerging trends suggest that MLLMs are moving toward agentic multimodal systems, long-context video understanding, multimodal retrieval-augmented generation, embodied robotics, and domain-specific document intelligence. These trends will make evaluation harder because the system output may depend on tools, memory, retrieval sources, and multi-step planning rather than a single image-question pair. Industrial impact is likely to be strongest in document processing, education, design assistance, accessibility, medical triage support, robotics interfaces, and enterprise workflow automation. However, industrial adoption will depend less on isolated benchmark leadership and more on reliability, cost, data governance, explainability, and integration with existing systems.</w:t>
      </w:r>
    </w:p>
    <w:p>
      <w:pPr>
        <w:spacing w:line="360" w:lineRule="auto" w:after="60"/>
        <w:jc w:val="both"/>
      </w:pPr>
      <w:r>
        <w:rPr>
          <w:rFonts w:ascii="Times New Roman" w:hAnsi="Times New Roman" w:eastAsia="SimSun"/>
          <w:b w:val="0"/>
          <w:sz w:val="20"/>
        </w:rPr>
        <w:t>The unresolved research questions are concrete. How many visual tokens are necessary for a given task? When should a model request a higher-resolution crop? How can an MLLM cite visual evidence? How can benchmarks detect data contamination? How should uncertainty be represented in multimodal answers? How can small open models compete with closed frontier systems in specific domains? These questions indicate that MLLMs remain an open research area rather than a solved product category.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next phase of MLLM research should shift from "Can the model answer?" to "Can the model justify, localize, calibrate, and reproduce its answer?" A model that is slightly less fluent but more faithful may be more valuable than a model that is highly fluent but ungrounded. The central open problem is not only multimodal capability, but trustworthy multimodal capability.</w:t>
      </w:r>
    </w:p>
    <w:p>
      <w:pPr>
        <w:spacing w:before="160" w:after="80"/>
      </w:pPr>
      <w:r>
        <w:rPr>
          <w:rFonts w:ascii="Times New Roman" w:hAnsi="Times New Roman" w:eastAsia="SimSun"/>
          <w:b/>
          <w:sz w:val="20"/>
        </w:rPr>
        <w:t>5.6 Limitations</w:t>
      </w:r>
    </w:p>
    <w:p>
      <w:pPr>
        <w:spacing w:line="360"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360" w:lineRule="auto" w:after="60"/>
        <w:jc w:val="both"/>
      </w:pPr>
      <w:r>
        <w:rPr>
          <w:rFonts w:ascii="Times New Roman" w:hAnsi="Times New Roman" w:eastAsia="SimSun"/>
          <w:b w:val="0"/>
          <w:sz w:val="20"/>
        </w:rPr>
        <w:t>There are also reproducibility limitations. The public repository contains scripts for citation validation, table generation, figure generation, ChinaXiv formatting, layout comparison, and presentation generation, but it does not include benchmark datasets, model checkpoints, or training logs. This is appropriate for a survey but insufficient for an original experimental paper.</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limitations are deliberate boundaries. By not reporting new benchmark scores, the paper avoids unsupported empirical claims. By focusing mainly on image-language systems, it keeps the survey coherent for a master's course report. The trade-off is that the paper cannot fully cover audio, 3D, robotics, or long-video systems. Future extensions should treat those areas as separate sub-surveys rather than adding them superficially.</w:t>
      </w:r>
    </w:p>
    <w:p>
      <w:pPr>
        <w:spacing w:before="160" w:after="80"/>
      </w:pPr>
      <w:r>
        <w:rPr>
          <w:rFonts w:ascii="Times New Roman" w:hAnsi="Times New Roman" w:eastAsia="SimSun"/>
          <w:b/>
          <w:sz w:val="20"/>
        </w:rPr>
        <w:t>5.7 Learning Outcomes</w:t>
      </w:r>
    </w:p>
    <w:p>
      <w:pPr>
        <w:spacing w:line="360" w:lineRule="auto" w:after="60"/>
        <w:jc w:val="both"/>
      </w:pPr>
      <w:r>
        <w:rPr>
          <w:rFonts w:ascii="Times New Roman" w:hAnsi="Times New Roman" w:eastAsia="SimSun"/>
          <w:b w:val="0"/>
          <w:sz w:val="20"/>
        </w:rPr>
        <w:t>This report strengthened four learning outcomes from the Advanced Artificial Intelligence course. First, it connected the eight course intelligence modules to a single frontier topic, showing how structural, visual, language, generative, graph, multimodal, reinforcement, and agent intelligence interact in MLLM systems. Second, it improved the ability to read research papers critically by separating architecture claims, training claims, benchmark evidence, and deployment limitations. Third, it emphasized reproducibility as a scientific habit: citations, tables, figures, formatting, and code availability must be traceable rather than manually assembled at the last moment. Fourth, it clarified that professional AI research requires ethical judgment, especially when visual inputs contain private, cultural, or high-stakes information.</w:t>
      </w:r>
    </w:p>
    <w:p>
      <w:pPr>
        <w:spacing w:line="360" w:lineRule="auto" w:after="60"/>
        <w:jc w:val="both"/>
      </w:pPr>
      <w:r>
        <w:rPr>
          <w:rFonts w:ascii="Times New Roman" w:hAnsi="Times New Roman" w:eastAsia="SimSun"/>
          <w:b w:val="0"/>
          <w:sz w:val="20"/>
        </w:rPr>
        <w:t>The report did not include a live open-source MLLM demonstration because no controlled LLaVA or similar model run was executed with fixed model weights, input images, prompts, logs, and hardware details. Adding a demonstration without those artifacts would weaken the reproducibility standard of the paper. A future version can add a small qualitative demonstration only after saving the model identifier, prompt, test image, raw output, environment, and limitations.</w:t>
      </w:r>
    </w:p>
    <w:p>
      <w:pPr>
        <w:spacing w:before="240" w:after="120"/>
      </w:pPr>
      <w:r>
        <w:rPr>
          <w:rFonts w:ascii="Times New Roman" w:hAnsi="Times New Roman" w:eastAsia="SimSun"/>
          <w:b/>
          <w:sz w:val="24"/>
        </w:rPr>
        <w:t>6. Conclusion and Future Outlook</w:t>
      </w:r>
    </w:p>
    <w:p>
      <w:pPr>
        <w:spacing w:before="160" w:after="80"/>
      </w:pPr>
      <w:r>
        <w:rPr>
          <w:rFonts w:ascii="Times New Roman" w:hAnsi="Times New Roman" w:eastAsia="SimSun"/>
          <w:b/>
          <w:sz w:val="20"/>
        </w:rPr>
        <w:t>6.1 Conclusion</w:t>
      </w:r>
    </w:p>
    <w:p>
      <w:pPr>
        <w:spacing w:line="360"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360"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360"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main conclusion is that MLLMs should be evaluated as evidence-processing systems. Their value depends on whether they can connect visual input, language reasoning, uncertainty, and user intent without inventing unsupported content. This is why the paper emphasizes grounding, hallucination, reproducibility, and critical comparison rather than a simple chronology of models.</w:t>
      </w:r>
    </w:p>
    <w:p>
      <w:pPr>
        <w:spacing w:before="160" w:after="80"/>
      </w:pPr>
      <w:r>
        <w:rPr>
          <w:rFonts w:ascii="Times New Roman" w:hAnsi="Times New Roman" w:eastAsia="SimSun"/>
          <w:b/>
          <w:sz w:val="20"/>
        </w:rPr>
        <w:t>6.2 Future Work</w:t>
      </w:r>
    </w:p>
    <w:p>
      <w:pPr>
        <w:spacing w:line="360" w:lineRule="auto" w:after="60"/>
        <w:jc w:val="both"/>
      </w:pPr>
      <w:r>
        <w:rPr>
          <w:rFonts w:ascii="Times New Roman" w:hAnsi="Times New Roman" w:eastAsia="SimSun"/>
          <w:b w:val="0"/>
          <w:sz w:val="20"/>
        </w:rPr>
        <w:t>Future work should extend this survey in several concrete directions. First, adaptive visual token selection should be studied more deeply. Instead of compressing every image into a fixed number of tokens, an MLLM should allocate more visual capacity to regions containing text, small objects, diagrams, or uncertain evidence. Second, multimodal retrieval-augmented generation should connect model answers to external documents, image regions, OCR outputs, and domain databases so that responses can cite evidence rather than rely only on internal parameters.</w:t>
      </w:r>
    </w:p>
    <w:p>
      <w:pPr>
        <w:spacing w:line="360" w:lineRule="auto" w:after="60"/>
        <w:jc w:val="both"/>
      </w:pPr>
      <w:r>
        <w:rPr>
          <w:rFonts w:ascii="Times New Roman" w:hAnsi="Times New Roman" w:eastAsia="SimSun"/>
          <w:b w:val="0"/>
          <w:sz w:val="20"/>
        </w:rPr>
        <w:t>Third, agentic multimodal AI should be evaluated as a system problem. Future MLLMs may call OCR tools, crop images, search documents, use calculators, inspect videos, or control robots. This requires benchmarks that evaluate planning, tool choice, intermediate evidence, and final answer faithfulness. Fourth, uncertainty-aware MLLMs should express calibrated confidence and distinguish visible evidence from plausible inference. Fifth, long-context multimodal reasoning should address long videos, multi-page documents, slide decks, and scientific reports where information is distributed across many visual and textual elements.</w:t>
      </w:r>
    </w:p>
    <w:p>
      <w:pPr>
        <w:spacing w:line="360" w:lineRule="auto" w:after="60"/>
        <w:jc w:val="both"/>
      </w:pPr>
      <w:r>
        <w:rPr>
          <w:rFonts w:ascii="Times New Roman" w:hAnsi="Times New Roman" w:eastAsia="SimSun"/>
          <w:b w:val="0"/>
          <w:sz w:val="20"/>
        </w:rPr>
        <w:t>Sixth, efficient MLLMs remain essential for universities and small laboratories. Parameter-efficient tuning, quantization, sparse visual token routing, and modular connectors can reduce compute requirements while preserving useful capability. Seventh, robotics and embodied MLLMs should be studied with physical constraints, safety boundaries, and real-world feedback rather than only static image benchmarks. Finally, future versions of this project could add controlled experiments with open models, fixed prompts, raw outputs, and reproducible scoring scripts; until such experiments are actually executed, the paper should continue to avoid benchmark numbers.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future of MLLMs will likely be shaped by reliability rather than raw fluency. Adaptive visual computation, multimodal RAG, agentic tool use, uncertainty calibration, efficient adaptation, and robotics all point to the same requirement: the model must know what evidence it has, what evidence it lacks, and when to seek more information. This survey argues that these directions are more scientifically important than simply scaling the next leaderboard model.</w:t>
      </w:r>
    </w:p>
    <w:p>
      <w:pPr>
        <w:spacing w:before="240" w:after="120"/>
      </w:pPr>
      <w:r>
        <w:rPr>
          <w:rFonts w:ascii="Times New Roman" w:hAnsi="Times New Roman" w:eastAsia="SimSun"/>
          <w:b/>
          <w:sz w:val="24"/>
        </w:rPr>
        <w:t>Code Availability</w:t>
      </w:r>
    </w:p>
    <w:p>
      <w:pPr>
        <w:spacing w:line="360" w:lineRule="auto" w:after="60"/>
        <w:jc w:val="both"/>
      </w:pPr>
      <w:r>
        <w:rPr>
          <w:rFonts w:ascii="Times New Roman" w:hAnsi="Times New Roman" w:eastAsia="SimSun"/>
          <w:b w:val="0"/>
          <w:sz w:val="20"/>
        </w:rPr>
        <w:t>The intended public repository for this work is:</w:t>
      </w:r>
    </w:p>
    <w:p>
      <w:pPr>
        <w:spacing w:line="360" w:lineRule="auto" w:after="60"/>
        <w:jc w:val="both"/>
      </w:pPr>
      <w:r>
        <w:rPr>
          <w:rFonts w:ascii="Times New Roman" w:hAnsi="Times New Roman" w:eastAsia="SimSun"/>
          <w:b w:val="0"/>
          <w:sz w:val="20"/>
        </w:rPr>
        <w:t>https://github.com/IssaIssa-tech/AI-final-report</w:t>
      </w:r>
    </w:p>
    <w:p>
      <w:pPr>
        <w:spacing w:line="360" w:lineRule="auto" w:after="60"/>
        <w:jc w:val="both"/>
      </w:pPr>
      <w:r>
        <w:rPr>
          <w:rFonts w:ascii="Times New Roman" w:hAnsi="Times New Roman" w:eastAsia="SimSun"/>
          <w:b w:val="0"/>
          <w:sz w:val="20"/>
        </w:rPr>
        <w:t>The reproducibility package is publicly available in the GitHub repository. The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`paper/tables/model_comparison.csv`: comprehensive model comparison table</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`scripts/generate_figures.py`: figure generation script</w:t>
      </w:r>
    </w:p>
    <w:p>
      <w:pPr>
        <w:pStyle w:val="ListBullet"/>
      </w:pPr>
      <w:r>
        <w:rPr>
          <w:rFonts w:ascii="Times New Roman" w:hAnsi="Times New Roman" w:eastAsia="SimSun"/>
          <w:b w:val="0"/>
          <w:sz w:val="20"/>
        </w:rPr>
        <w:t>`scripts/format_chinaxiv.py`: ChinaXiv-style formatting script</w:t>
      </w:r>
    </w:p>
    <w:p>
      <w:pPr>
        <w:pStyle w:val="ListBullet"/>
      </w:pPr>
      <w:r>
        <w:rPr>
          <w:rFonts w:ascii="Times New Roman" w:hAnsi="Times New Roman" w:eastAsia="SimSun"/>
          <w:b w:val="0"/>
          <w:sz w:val="20"/>
        </w:rPr>
        <w:t>`scripts/compare_chinaxiv_layout.py`: layout comparison script</w:t>
      </w:r>
    </w:p>
    <w:p>
      <w:pPr>
        <w:pStyle w:val="ListBullet"/>
      </w:pPr>
      <w:r>
        <w:rPr>
          <w:rFonts w:ascii="Times New Roman" w:hAnsi="Times New Roman" w:eastAsia="SimSun"/>
          <w:b w:val="0"/>
          <w:sz w:val="20"/>
        </w:rPr>
        <w:t>`scripts/create_code_explanation_pptx.py`: presentation generation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student name, supervisor/course instructor, school, laboratory, abstract, keywords, six course-aligned chapters,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is populated with manuscript files, scripts, tables, figures, and presentation materials.</w:t>
      </w:r>
    </w:p>
    <w:p>
      <w:pPr>
        <w:spacing w:before="240" w:after="120"/>
      </w:pPr>
      <w:r>
        <w:rPr>
          <w:rFonts w:ascii="Times New Roman" w:hAnsi="Times New Roman" w:eastAsia="SimSun"/>
          <w:b/>
          <w:sz w:val="24"/>
        </w:rPr>
        <w:t>References</w:t>
      </w:r>
    </w:p>
    <w:p>
      <w:pPr>
        <w:spacing w:line="360"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360"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360"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360"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360"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360"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360"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360"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360"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360"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360"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360" w:lineRule="auto" w:after="60"/>
        <w:jc w:val="both"/>
      </w:pPr>
      <w:r>
        <w:rPr>
          <w:rFonts w:ascii="Times New Roman" w:hAnsi="Times New Roman" w:eastAsia="SimSun"/>
          <w:b w:val="0"/>
          <w:sz w:val="20"/>
        </w:rPr>
        <w:t>[12] OpenAI. GPT-4V(ision) System Card[R]. OpenAI, 2023. https://openai.com/research/gpt-4v-system-card</w:t>
      </w:r>
    </w:p>
    <w:p>
      <w:pPr>
        <w:spacing w:line="360"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360"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360"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360"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360"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360"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360"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360"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360"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360"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360" w:lineRule="auto" w:after="60"/>
        <w:jc w:val="both"/>
      </w:pPr>
      <w:r>
        <w:rPr>
          <w:rFonts w:ascii="Times New Roman" w:hAnsi="Times New Roman" w:eastAsia="SimSun"/>
          <w:b w:val="0"/>
          <w:sz w:val="20"/>
        </w:rPr>
        <w:t>[23] Yin Shukang, Fu Chaoyou, Zhao Sirui, et al. A Survey on Multimodal Large Language Models[J]. arXiv preprint arXiv:2306.13549, 2023.</w:t>
      </w:r>
    </w:p>
    <w:p>
      <w:pPr>
        <w:spacing w:line="360" w:lineRule="auto" w:after="60"/>
        <w:jc w:val="both"/>
      </w:pPr>
      <w:r>
        <w:rPr>
          <w:rFonts w:ascii="Times New Roman" w:hAnsi="Times New Roman" w:eastAsia="SimSun"/>
          <w:b w:val="0"/>
          <w:sz w:val="20"/>
        </w:rPr>
        <w:t>[24] Wu Jiayang, Gan Wensheng, Chen Zefeng, et al. Multimodal Large Language Models: A Survey[J]. arXiv preprint arXiv:2311.13165, 2023.</w:t>
      </w:r>
    </w:p>
    <w:p>
      <w:pPr>
        <w:spacing w:line="360" w:lineRule="auto" w:after="60"/>
        <w:jc w:val="both"/>
      </w:pPr>
      <w:r>
        <w:rPr>
          <w:rFonts w:ascii="Times New Roman" w:hAnsi="Times New Roman" w:eastAsia="SimSun"/>
          <w:b w:val="0"/>
          <w:sz w:val="20"/>
        </w:rPr>
        <w:t>[25] Caffagni Davide, Cocchi Federico, Barsellotti Luca, et al. The Revolution of Multimodal Large Language Models: A Survey[J]. arXiv preprint arXiv:2402.12451, 2024.</w:t>
      </w:r>
    </w:p>
    <w:p>
      <w:pPr>
        <w:spacing w:line="360" w:lineRule="auto" w:after="60"/>
        <w:jc w:val="both"/>
      </w:pPr>
      <w:r>
        <w:rPr>
          <w:rFonts w:ascii="Times New Roman" w:hAnsi="Times New Roman" w:eastAsia="SimSun"/>
          <w:b w:val="0"/>
          <w:sz w:val="20"/>
        </w:rPr>
        <w:t>[26] HITsz-TMG. Awesome Large Multimodal Reasoning Models[Z]. GitHub repository, 2025. https://github.com/HITsz-TMG/Awesome-Large-Multimodal-Reasoning-Models</w:t>
      </w:r>
    </w:p>
    <w:p>
      <w:pPr>
        <w:spacing w:line="360" w:lineRule="auto" w:after="60"/>
        <w:jc w:val="both"/>
      </w:pPr>
      <w:r>
        <w:rPr>
          <w:rFonts w:ascii="Times New Roman" w:hAnsi="Times New Roman" w:eastAsia="SimSun"/>
          <w:b w:val="0"/>
          <w:sz w:val="20"/>
        </w:rPr>
        <w:t>[27] Tseng Kuo-Kun, Course Teaching Group. Advanced Artificial Intelligence Course Teaching Materials[Z]. Harbin Institute of Technology, Shenzhen, School of Computer Science and Technology, 2026.</w:t>
      </w:r>
    </w:p>
    <w:p>
      <w:pPr>
        <w:spacing w:line="360" w:lineRule="auto" w:after="60"/>
        <w:jc w:val="both"/>
      </w:pPr>
      <w:r>
        <w:rPr>
          <w:rFonts w:ascii="Times New Roman" w:hAnsi="Times New Roman" w:eastAsia="SimSun"/>
          <w:b w:val="0"/>
          <w:sz w:val="20"/>
        </w:rPr>
        <w:t>[28] Anderson Peter, He Xiaodong, Buehler Chris, et al. Bottom-Up and Top-Down Attention for Image Captioning and Visual Question Answering[C]. IEEE Conference on Computer Vision and Pattern Recognition, 2018.</w:t>
      </w:r>
    </w:p>
    <w:p>
      <w:pPr>
        <w:spacing w:line="360" w:lineRule="auto" w:after="60"/>
        <w:jc w:val="both"/>
      </w:pPr>
      <w:r>
        <w:rPr>
          <w:rFonts w:ascii="Times New Roman" w:hAnsi="Times New Roman" w:eastAsia="SimSun"/>
          <w:b w:val="0"/>
          <w:sz w:val="20"/>
        </w:rPr>
        <w:t>[29] Lu Jiasen, Batra Dhruv, Parikh Devi, et al. ViLBERT: Pretraining Task-Agnostic Visiolinguistic Representations for Vision-and-Language Tasks[C]. Advances in Neural Information Processing Systems, 2019.</w:t>
      </w:r>
    </w:p>
    <w:p>
      <w:pPr>
        <w:spacing w:line="360" w:lineRule="auto" w:after="60"/>
        <w:jc w:val="both"/>
      </w:pPr>
      <w:r>
        <w:rPr>
          <w:rFonts w:ascii="Times New Roman" w:hAnsi="Times New Roman" w:eastAsia="SimSun"/>
          <w:b w:val="0"/>
          <w:sz w:val="20"/>
        </w:rPr>
        <w:t>[30]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360" w:lineRule="auto" w:after="60"/>
        <w:jc w:val="both"/>
      </w:pPr>
      <w:r>
        <w:rPr>
          <w:rFonts w:ascii="Times New Roman" w:hAnsi="Times New Roman" w:eastAsia="SimSun"/>
          <w:b w:val="0"/>
          <w:sz w:val="20"/>
        </w:rPr>
        <w:t>[31] Chen Yen-Chun, Li Linjie, Yu Licheng, et al. UNITER: UNiversal Image-TExt Representation Learning[C]. European Conference on Computer Vision, 2020.</w:t>
      </w:r>
    </w:p>
    <w:p>
      <w:pPr>
        <w:spacing w:line="360" w:lineRule="auto" w:after="60"/>
        <w:jc w:val="both"/>
      </w:pPr>
      <w:r>
        <w:rPr>
          <w:rFonts w:ascii="Times New Roman" w:hAnsi="Times New Roman" w:eastAsia="SimSun"/>
          <w:b w:val="0"/>
          <w:sz w:val="20"/>
        </w:rPr>
        <w:t>[32] Li Xiujun, Yin Xi, Li Chunyuan, et al. Oscar: Object-Semantics Aligned Pre-training for Vision-Language Tasks[C]. European Conference on Computer Vision, 2020.</w:t>
      </w:r>
    </w:p>
    <w:p>
      <w:pPr>
        <w:spacing w:line="360" w:lineRule="auto" w:after="60"/>
        <w:jc w:val="both"/>
      </w:pPr>
      <w:r>
        <w:rPr>
          <w:rFonts w:ascii="Times New Roman" w:hAnsi="Times New Roman" w:eastAsia="SimSun"/>
          <w:b w:val="0"/>
          <w:sz w:val="20"/>
        </w:rPr>
        <w:t>[33] Zhang Pengchuan, Li Xiujun, Hu Xiaowei, et al. VinVL: Revisiting Visual Representations in Vision-Language Models[C]. IEEE/CVF Conference on Computer Vision and Pattern Recognition, 2021.</w:t>
      </w:r>
    </w:p>
    <w:p>
      <w:pPr>
        <w:spacing w:line="360" w:lineRule="auto" w:after="60"/>
        <w:jc w:val="both"/>
      </w:pPr>
      <w:r>
        <w:rPr>
          <w:rFonts w:ascii="Times New Roman" w:hAnsi="Times New Roman" w:eastAsia="SimSun"/>
          <w:b w:val="0"/>
          <w:sz w:val="20"/>
        </w:rPr>
        <w:t>[34] Wang Peng, Yang An, Men Rui, et al. OFA: Unifying Architectures, Tasks, and Modalities Through a Simple Sequence-to-Sequence Learning Framework[C]. International Conference on Machine Learning, 2022.</w:t>
      </w:r>
    </w:p>
    <w:p>
      <w:pPr>
        <w:spacing w:line="360" w:lineRule="auto" w:after="60"/>
        <w:jc w:val="both"/>
      </w:pPr>
      <w:r>
        <w:rPr>
          <w:rFonts w:ascii="Times New Roman" w:hAnsi="Times New Roman" w:eastAsia="SimSun"/>
          <w:b w:val="0"/>
          <w:sz w:val="20"/>
        </w:rPr>
        <w:t>[35] Li Junnan, Li Dongxu, Xiong Caiming, et al. BLIP: Bootstrapping Language-Image Pre-training for Unified Vision-Language Understanding and Generation[C]. International Conference on Machine Learning, 2022.</w:t>
      </w:r>
    </w:p>
    <w:p>
      <w:pPr>
        <w:spacing w:line="360" w:lineRule="auto" w:after="60"/>
        <w:jc w:val="both"/>
      </w:pPr>
      <w:r>
        <w:rPr>
          <w:rFonts w:ascii="Times New Roman" w:hAnsi="Times New Roman" w:eastAsia="SimSun"/>
          <w:b w:val="0"/>
          <w:sz w:val="20"/>
        </w:rPr>
        <w:t>[36] Chen Xi, Wang Xiao, Changpinyo Soravit, et al. PaLI: A Jointly-Scaled Multilingual Language-Image Model[J]. arXiv preprint arXiv:2209.06794, 2022.</w:t>
      </w:r>
    </w:p>
    <w:p>
      <w:pPr>
        <w:spacing w:line="360" w:lineRule="auto" w:after="60"/>
        <w:jc w:val="both"/>
      </w:pPr>
      <w:r>
        <w:rPr>
          <w:rFonts w:ascii="Times New Roman" w:hAnsi="Times New Roman" w:eastAsia="SimSun"/>
          <w:b w:val="0"/>
          <w:sz w:val="20"/>
        </w:rPr>
        <w:t>[37] Driess Danny, Xia Fei, Sajjadi Mehdi S. M., et al. PaLM-E: An Embodied Multimodal Language Model[C]. International Conference on Machine Learning, 2023.</w:t>
      </w:r>
    </w:p>
    <w:p>
      <w:pPr>
        <w:spacing w:line="360" w:lineRule="auto" w:after="60"/>
        <w:jc w:val="both"/>
      </w:pPr>
      <w:r>
        <w:rPr>
          <w:rFonts w:ascii="Times New Roman" w:hAnsi="Times New Roman" w:eastAsia="SimSun"/>
          <w:b w:val="0"/>
          <w:sz w:val="20"/>
        </w:rPr>
        <w:t>[38] Huang Shaohan, Dong Li, Wang Wenhui, et al. Language Is Not All You Need: Aligning Perception with Language Models[J]. arXiv preprint arXiv:2302.14045, 2023.</w:t>
      </w:r>
    </w:p>
    <w:p>
      <w:pPr>
        <w:spacing w:line="360" w:lineRule="auto" w:after="60"/>
        <w:jc w:val="both"/>
      </w:pPr>
      <w:r>
        <w:rPr>
          <w:rFonts w:ascii="Times New Roman" w:hAnsi="Times New Roman" w:eastAsia="SimSun"/>
          <w:b w:val="0"/>
          <w:sz w:val="20"/>
        </w:rPr>
        <w:t>[39] Peng Zhiliang, Wang Wenhui, Dong Li, et al. Kosmos-2: Grounding Multimodal Large Language Models to the World[J]. arXiv preprint arXiv:2306.14824, 2023.</w:t>
      </w:r>
    </w:p>
    <w:p>
      <w:pPr>
        <w:spacing w:line="360" w:lineRule="auto" w:after="60"/>
        <w:jc w:val="both"/>
      </w:pPr>
      <w:r>
        <w:rPr>
          <w:rFonts w:ascii="Times New Roman" w:hAnsi="Times New Roman" w:eastAsia="SimSun"/>
          <w:b w:val="0"/>
          <w:sz w:val="20"/>
        </w:rPr>
        <w:t>[40] Ye Qinghao, Xu Haiyang, Xu Guohai, et al. mPLUG-Owl: Modularization Empowers Large Language Models with Multimodality[J]. arXiv preprint arXiv:2304.14178, 2023.</w:t>
      </w:r>
    </w:p>
    <w:p>
      <w:pPr>
        <w:spacing w:line="360" w:lineRule="auto" w:after="60"/>
        <w:jc w:val="both"/>
      </w:pPr>
      <w:r>
        <w:rPr>
          <w:rFonts w:ascii="Times New Roman" w:hAnsi="Times New Roman" w:eastAsia="SimSun"/>
          <w:b w:val="0"/>
          <w:sz w:val="20"/>
        </w:rPr>
        <w:t>[41] Chen Keqin, Zhang Zhao, Zeng Weili, et al. Shikra: Unleashing Multimodal LLM's Referential Dialogue Magic[J]. arXiv preprint arXiv:2306.15195, 2023.</w:t>
      </w:r>
    </w:p>
    <w:p>
      <w:pPr>
        <w:spacing w:line="360" w:lineRule="auto" w:after="60"/>
        <w:jc w:val="both"/>
      </w:pPr>
      <w:r>
        <w:rPr>
          <w:rFonts w:ascii="Times New Roman" w:hAnsi="Times New Roman" w:eastAsia="SimSun"/>
          <w:b w:val="0"/>
          <w:sz w:val="20"/>
        </w:rPr>
        <w:t>[42] You Haoxuan, Zhang Haotian, Gan Zhe, et al. Ferret: Refer and Ground Anything Anywhere at Any Granularity[C]. International Conference on Learning Representations, 2024.</w:t>
      </w:r>
    </w:p>
    <w:p>
      <w:pPr>
        <w:spacing w:line="360" w:lineRule="auto" w:after="60"/>
        <w:jc w:val="both"/>
      </w:pPr>
      <w:r>
        <w:rPr>
          <w:rFonts w:ascii="Times New Roman" w:hAnsi="Times New Roman" w:eastAsia="SimSun"/>
          <w:b w:val="0"/>
          <w:sz w:val="20"/>
        </w:rPr>
        <w:t>[43] Lin Ji, Yin Hongxu, Ping Wei, et al. VILA: On Pre-training for Visual Language Models[J]. arXiv preprint arXiv:2312.07533, 2023.</w:t>
      </w:r>
    </w:p>
    <w:p>
      <w:pPr>
        <w:spacing w:line="360" w:lineRule="auto" w:after="60"/>
        <w:jc w:val="both"/>
      </w:pPr>
      <w:r>
        <w:rPr>
          <w:rFonts w:ascii="Times New Roman" w:hAnsi="Times New Roman" w:eastAsia="SimSun"/>
          <w:b w:val="0"/>
          <w:sz w:val="20"/>
        </w:rPr>
        <w:t>[44] Lin Bin, Ye Yang, Zhu Bin, et al. Video-LLaVA: Learning United Visual Representation by Alignment Before Projection[C]. Conference on Empirical Methods in Natural Language Processing, 2024.</w:t>
      </w:r>
    </w:p>
    <w:p>
      <w:pPr>
        <w:spacing w:line="360" w:lineRule="auto" w:after="60"/>
        <w:jc w:val="both"/>
      </w:pPr>
      <w:r>
        <w:rPr>
          <w:rFonts w:ascii="Times New Roman" w:hAnsi="Times New Roman" w:eastAsia="SimSun"/>
          <w:b w:val="0"/>
          <w:sz w:val="20"/>
        </w:rPr>
        <w:t>[45] Wu Chenfei, Yin Shengming, Qi Weizhen, et al. Visual ChatGPT: Talking, Drawing and Editing with Visual Foundation Models[J]. arXiv preprint arXiv:2303.04671, 2023.</w:t>
      </w:r>
    </w:p>
    <w:p>
      <w:pPr>
        <w:spacing w:line="360" w:lineRule="auto" w:after="60"/>
        <w:jc w:val="both"/>
      </w:pPr>
      <w:r>
        <w:rPr>
          <w:rFonts w:ascii="Times New Roman" w:hAnsi="Times New Roman" w:eastAsia="SimSun"/>
          <w:b w:val="0"/>
          <w:sz w:val="20"/>
        </w:rPr>
        <w:t>[46] Chen Zhe, Wu Jiannan, Wang Wenhai, et al. InternVL: Scaling up Vision Foundation Models and Aligning for Generic Visual-Linguistic Tasks[C]. IEEE/CVF Conference on Computer Vision and Pattern Recognition, 2024.</w:t>
      </w:r>
    </w:p>
    <w:p>
      <w:pPr>
        <w:spacing w:line="360" w:lineRule="auto" w:after="60"/>
        <w:jc w:val="both"/>
      </w:pPr>
      <w:r>
        <w:rPr>
          <w:rFonts w:ascii="Times New Roman" w:hAnsi="Times New Roman" w:eastAsia="SimSun"/>
          <w:b w:val="0"/>
          <w:sz w:val="20"/>
        </w:rPr>
        <w:t>[47] Achiam Josh, Adler Steven, Agarwal Sandhini, et al. GPT-4 Technical Report[J]. arXiv preprint arXiv:2303.08774, 2023.</w:t>
      </w:r>
    </w:p>
    <w:p>
      <w:pPr>
        <w:spacing w:line="360" w:lineRule="auto" w:after="60"/>
        <w:jc w:val="both"/>
      </w:pPr>
      <w:r>
        <w:rPr>
          <w:rFonts w:ascii="Times New Roman" w:hAnsi="Times New Roman" w:eastAsia="SimSun"/>
          <w:b w:val="0"/>
          <w:sz w:val="20"/>
        </w:rPr>
        <w:t>[48] Anil Rohan, Borgeaud Sebastian, Wu Yonghui, et al. Gemini: A Family of Highly Capable Multimodal Models[J]. arXiv preprint arXiv:2312.11805, 2023.</w:t>
      </w:r>
    </w:p>
    <w:p>
      <w:pPr>
        <w:spacing w:line="360" w:lineRule="auto" w:after="60"/>
        <w:jc w:val="both"/>
      </w:pPr>
      <w:r>
        <w:rPr>
          <w:rFonts w:ascii="Times New Roman" w:hAnsi="Times New Roman" w:eastAsia="SimSun"/>
          <w:b w:val="0"/>
          <w:sz w:val="20"/>
        </w:rPr>
        <w:t>[49] Awadalla Anas, Gao Irena, Gardner Josh, et al. OpenFlamingo: An Open-Source Framework for Training Large Autoregressive Vision-Language Models[J]. arXiv preprint arXiv:2308.01390, 2023.</w:t>
      </w:r>
    </w:p>
    <w:p>
      <w:pPr>
        <w:spacing w:line="360" w:lineRule="auto" w:after="60"/>
        <w:jc w:val="both"/>
      </w:pPr>
      <w:r>
        <w:rPr>
          <w:rFonts w:ascii="Times New Roman" w:hAnsi="Times New Roman" w:eastAsia="SimSun"/>
          <w:b w:val="0"/>
          <w:sz w:val="20"/>
        </w:rPr>
        <w:t>[50] Laurencon Hugo, Saulnier Lucile, Tronchon Loic, et al. Obelics: An Open Web-Scale Filtered Dataset of Interleaved Image-Text Documents[J]. arXiv preprint arXiv:2306.16527, 2023.</w:t>
      </w:r>
    </w:p>
    <w:p>
      <w:pPr>
        <w:spacing w:line="360" w:lineRule="auto" w:after="60"/>
        <w:jc w:val="both"/>
      </w:pPr>
      <w:r>
        <w:rPr>
          <w:rFonts w:ascii="Times New Roman" w:hAnsi="Times New Roman" w:eastAsia="SimSun"/>
          <w:b w:val="0"/>
          <w:sz w:val="20"/>
        </w:rPr>
        <w:t>[51] Girdhar Rohit, El-Nouby Alaaeldin, Liu Zhuang, et al. ImageBind: One Embedding Space To Bind Them All[C]. IEEE/CVF Conference on Computer Vision and Pattern Recognition, 2023.</w:t>
      </w:r>
    </w:p>
    <w:p>
      <w:pPr>
        <w:spacing w:line="360" w:lineRule="auto" w:after="60"/>
        <w:jc w:val="both"/>
      </w:pPr>
      <w:r>
        <w:rPr>
          <w:rFonts w:ascii="Times New Roman" w:hAnsi="Times New Roman" w:eastAsia="SimSun"/>
          <w:b w:val="0"/>
          <w:sz w:val="20"/>
        </w:rPr>
        <w:t>[52] Wu Shengqiong, Fei Hao, Qu Leigang, et al. NExT-GPT: Any-to-Any Multimodal LLM[J]. arXiv preprint arXiv:2309.05519, 2023.</w:t>
      </w:r>
    </w:p>
    <w:p>
      <w:pPr>
        <w:spacing w:line="360" w:lineRule="auto" w:after="60"/>
        <w:jc w:val="both"/>
      </w:pPr>
      <w:r>
        <w:rPr>
          <w:rFonts w:ascii="Times New Roman" w:hAnsi="Times New Roman" w:eastAsia="SimSun"/>
          <w:b w:val="0"/>
          <w:sz w:val="20"/>
        </w:rPr>
        <w:t>[53] Li Yanwei, Wang Chengyao, Jia Jiaya. LLaMA-VID: An Image is Worth 2 Tokens in Large Language Models[J]. arXiv preprint arXiv:2311.17043, 2023.</w:t>
      </w:r>
    </w:p>
    <w:p>
      <w:pPr>
        <w:spacing w:line="360" w:lineRule="auto" w:after="60"/>
        <w:jc w:val="both"/>
      </w:pPr>
      <w:r>
        <w:rPr>
          <w:rFonts w:ascii="Times New Roman" w:hAnsi="Times New Roman" w:eastAsia="SimSun"/>
          <w:b w:val="0"/>
          <w:sz w:val="20"/>
        </w:rPr>
        <w:t>[54] Maaz Muhammad, Rasheed Hanoona, Khan Salman, et al. Video-ChatGPT: Towards Detailed Video Understanding via Large Vision and Language Models[J]. arXiv preprint arXiv:2306.05424, 2023.</w:t>
      </w:r>
    </w:p>
    <w:p>
      <w:pPr>
        <w:spacing w:line="360" w:lineRule="auto" w:after="60"/>
        <w:jc w:val="both"/>
      </w:pPr>
      <w:r>
        <w:rPr>
          <w:rFonts w:ascii="Times New Roman" w:hAnsi="Times New Roman" w:eastAsia="SimSun"/>
          <w:b w:val="0"/>
          <w:sz w:val="20"/>
        </w:rPr>
        <w:t>[55] Chen Chi, Du Yiyang, Fang Zheng, et al. Model Composition for Multimodal Large Language Models[C]. Proceedings of the 62nd Annual Meeting of the Association for Computational Linguistics, 2024.</w:t>
      </w:r>
    </w:p>
    <w:p>
      <w:pPr>
        <w:spacing w:line="360" w:lineRule="auto" w:after="60"/>
        <w:jc w:val="both"/>
      </w:pPr>
      <w:r>
        <w:rPr>
          <w:rFonts w:ascii="Times New Roman" w:hAnsi="Times New Roman" w:eastAsia="SimSun"/>
          <w:b w:val="0"/>
          <w:sz w:val="20"/>
        </w:rPr>
        <w:t>[56] Schwenk Dustin, Khandelwal Apoorv, Clark Christopher, et al. A-OKVQA: A Benchmark for Visual Question Answering Using World Knowledge[C]. European Conference on Computer Vision, 2022.</w:t>
      </w:r>
    </w:p>
    <w:p>
      <w:pPr>
        <w:spacing w:line="360" w:lineRule="auto" w:after="60"/>
        <w:jc w:val="both"/>
      </w:pPr>
      <w:r>
        <w:rPr>
          <w:rFonts w:ascii="Times New Roman" w:hAnsi="Times New Roman" w:eastAsia="SimSun"/>
          <w:b w:val="0"/>
          <w:sz w:val="20"/>
        </w:rPr>
        <w:t>[57] Johnson Justin, Hariharan Bharath, van der Maaten Laurens, et al. CLEVR: A Diagnostic Dataset for Compositional Language and Elementary Visual Reasoning[C]. IEEE Conference on Computer Vision and Pattern Recognition, 2017.</w:t>
      </w:r>
    </w:p>
    <w:p>
      <w:pPr>
        <w:spacing w:line="360" w:lineRule="auto" w:after="60"/>
        <w:jc w:val="both"/>
      </w:pPr>
      <w:r>
        <w:rPr>
          <w:rFonts w:ascii="Times New Roman" w:hAnsi="Times New Roman" w:eastAsia="SimSun"/>
          <w:b w:val="0"/>
          <w:sz w:val="20"/>
        </w:rPr>
        <w:t>[58] Singh Amanpreet, Natarajan Vivek, Shah Meet, et al. Towards VQA Models That Can Read[C]. IEEE/CVF Conference on Computer Vision and Pattern Recognition, 2019.</w:t>
      </w:r>
    </w:p>
    <w:p>
      <w:pPr>
        <w:spacing w:line="360" w:lineRule="auto" w:after="60"/>
        <w:jc w:val="both"/>
      </w:pPr>
      <w:r>
        <w:rPr>
          <w:rFonts w:ascii="Times New Roman" w:hAnsi="Times New Roman" w:eastAsia="SimSun"/>
          <w:b w:val="0"/>
          <w:sz w:val="20"/>
        </w:rPr>
        <w:t>[59] Mathew Minesh, Karatzas Dimosthenis, Jawahar C. V. DocVQA: A Dataset for VQA on Document Images[C]. IEEE Winter Conference on Applications of Computer Vision, 2021.</w:t>
      </w:r>
    </w:p>
    <w:p>
      <w:pPr>
        <w:spacing w:line="360" w:lineRule="auto" w:after="60"/>
        <w:jc w:val="both"/>
      </w:pPr>
      <w:r>
        <w:rPr>
          <w:rFonts w:ascii="Times New Roman" w:hAnsi="Times New Roman" w:eastAsia="SimSun"/>
          <w:b w:val="0"/>
          <w:sz w:val="20"/>
        </w:rPr>
        <w:t>[60] Masry Ahmed, Long Do Xuan, Tan Jia Qing, et al. ChartQA: A Benchmark for Question Answering about Charts with Visual and Logical Reasoning[C]. Findings of the Association for Computational Linguistics: ACL 2022, 2022.</w:t>
      </w:r>
    </w:p>
    <w:p>
      <w:pPr>
        <w:spacing w:line="360" w:lineRule="auto" w:after="60"/>
        <w:jc w:val="both"/>
      </w:pPr>
      <w:r>
        <w:rPr>
          <w:rFonts w:ascii="Times New Roman" w:hAnsi="Times New Roman" w:eastAsia="SimSun"/>
          <w:b w:val="0"/>
          <w:sz w:val="20"/>
        </w:rPr>
        <w:t>[61] Li Bohao, Wang Rui, Wang Guangzhi, et al. SEED-Bench: Benchmarking Multimodal LLMs with Generative Comprehension[J]. arXiv preprint arXiv:2307.16125, 2023.</w:t>
      </w:r>
    </w:p>
    <w:p>
      <w:pPr>
        <w:spacing w:line="360" w:lineRule="auto" w:after="60"/>
        <w:jc w:val="both"/>
      </w:pPr>
      <w:r>
        <w:rPr>
          <w:rFonts w:ascii="Times New Roman" w:hAnsi="Times New Roman" w:eastAsia="SimSun"/>
          <w:b w:val="0"/>
          <w:sz w:val="20"/>
        </w:rPr>
        <w:t>[62] Guan Tianrui, Liu Fuxiao, Wu Xiyang, et al. HallusionBench: An Advanced Diagnostic Suite for Entangled Language Hallucination and Visual Illusion in Large Vision-Language Models[J]. arXiv preprint arXiv:2310.14566, 2023.</w:t>
      </w:r>
    </w:p>
    <w:p>
      <w:pPr>
        <w:spacing w:line="360" w:lineRule="auto" w:after="60"/>
        <w:jc w:val="both"/>
      </w:pPr>
      <w:r>
        <w:rPr>
          <w:rFonts w:ascii="Times New Roman" w:hAnsi="Times New Roman" w:eastAsia="SimSun"/>
          <w:b w:val="0"/>
          <w:sz w:val="20"/>
        </w:rPr>
        <w:t>[63] Lin Peiqin, Lyu Chenyang, Luo Wenjiang, et al. CulturALL: Benchmarking Multilingual and Multicultural Competence of LLMs on Grounded Tasks[J]. arXiv preprint arXiv:2604.19262, 2026.</w:t>
      </w:r>
    </w:p>
    <w:p>
      <w:pPr>
        <w:spacing w:line="360" w:lineRule="auto" w:after="60"/>
        <w:jc w:val="both"/>
      </w:pPr>
      <w:r>
        <w:rPr>
          <w:rFonts w:ascii="Times New Roman" w:hAnsi="Times New Roman" w:eastAsia="SimSun"/>
          <w:b w:val="0"/>
          <w:sz w:val="20"/>
        </w:rPr>
        <w:t>[64] Hu Edward J., Shen Yelong, Wallis Phillip, et al. LoRA: Low-Rank Adaptation of Large Language Models[C]. International Conference on Learning Representations, 2022.</w:t>
      </w:r>
    </w:p>
    <w:p>
      <w:pPr>
        <w:spacing w:line="360" w:lineRule="auto" w:after="60"/>
        <w:jc w:val="both"/>
      </w:pPr>
      <w:r>
        <w:rPr>
          <w:rFonts w:ascii="Times New Roman" w:hAnsi="Times New Roman" w:eastAsia="SimSun"/>
          <w:b w:val="0"/>
          <w:sz w:val="20"/>
        </w:rPr>
        <w:t>[65] Dettmers Tim, Pagnoni Artidoro, Holtzman Ari, et al. QLoRA: Efficient Finetuning of Quantized LLMs[C]. Advances in Neural Information Processing Systems, 2024.</w:t>
      </w:r>
    </w:p>
    <w:p>
      <w:pPr>
        <w:spacing w:line="360" w:lineRule="auto" w:after="60"/>
        <w:jc w:val="both"/>
      </w:pPr>
      <w:r>
        <w:rPr>
          <w:rFonts w:ascii="Times New Roman" w:hAnsi="Times New Roman" w:eastAsia="SimSun"/>
          <w:b w:val="0"/>
          <w:sz w:val="20"/>
        </w:rPr>
        <w:t>[66] Ouyang Long, Wu Jeffrey, Jiang Xu, et al. Training Language Models to Follow Instructions with Human Feedback[C]. Advances in Neural Information Processing Systems, 2022.</w:t>
      </w:r>
    </w:p>
    <w:p>
      <w:pPr>
        <w:spacing w:line="360" w:lineRule="auto" w:after="60"/>
        <w:jc w:val="both"/>
      </w:pPr>
      <w:r>
        <w:rPr>
          <w:rFonts w:ascii="Times New Roman" w:hAnsi="Times New Roman" w:eastAsia="SimSun"/>
          <w:b w:val="0"/>
          <w:sz w:val="20"/>
        </w:rPr>
        <w:t>[67] Wei Jason, Wang Xuezhi, Schuurmans Dale, et al. Chain-of-Thought Prompting Elicits Reasoning in Large Language Models[C]. Advances in Neural Information Processing Systems, 2022.</w:t>
      </w:r>
    </w:p>
    <w:p>
      <w:pPr>
        <w:spacing w:line="360" w:lineRule="auto" w:after="60"/>
        <w:jc w:val="both"/>
      </w:pPr>
      <w:r>
        <w:rPr>
          <w:rFonts w:ascii="Times New Roman" w:hAnsi="Times New Roman" w:eastAsia="SimSun"/>
          <w:b w:val="0"/>
          <w:sz w:val="20"/>
        </w:rPr>
        <w:t>[68] Zhang Zhuosheng, Zhang Aston, Li Mu, et al. Multimodal Chain-of-Thought Reasoning in Language Models[J]. arXiv preprint arXiv:2302.00923, 2023.</w:t>
      </w:r>
    </w:p>
    <w:sectPr w:rsidR="00FC693F" w:rsidRPr="0006063C" w:rsidSect="00034616">
      <w:footerReference w:type="default" r:id="rId9"/>
      <w:pgSz w:w="11906" w:h="16838"/>
      <w:pgMar w:top="1417" w:right="1417" w:bottom="1417" w:left="1417"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