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52"/>
        <w:gridCol w:w="1792"/>
        <w:gridCol w:w="1462"/>
        <w:gridCol w:w="1768"/>
        <w:gridCol w:w="1707"/>
        <w:gridCol w:w="1161"/>
        <w:gridCol w:w="1438"/>
        <w:gridCol w:w="179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Cluster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ICC (ANOVA)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ICC (lmer)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sigma2 entre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sigma2 intra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n_bar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 clusters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Design effect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Comuna (comuna_regresion)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380.0815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1.9952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Comuna (comuna_ok)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402.2056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1.6618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Radio censal (sorteado)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2.2787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2,551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1.0130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Nota: ICC = sigma2_entre / (sigma2_entre + sigma2_intra) sobre log(dias_ult_cons). ANOVA de una vía (estimador de momentos) y modelo de intercepto aleatorio (lme4). Design effect = 1 + (n_bar - 1)*ICC (factor de Moulton). ICC de radio promediado entre iteraciones. Ref.: Snijders &amp; Bosker (2012) Cap. 3; Cameron &amp; Miller (2015, JHR); Angrist &amp; Pischke (MHE) Cap. 8.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2026-09-04T14:27:43Z</dcterms:modified>
  <cp:category/>
</cp:coreProperties>
</file>