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6"/>
        <w:gridCol w:w="2074"/>
        <w:gridCol w:w="961"/>
        <w:gridCol w:w="2024"/>
        <w:gridCol w:w="1388"/>
        <w:gridCol w:w="1474"/>
        <w:gridCol w:w="1132"/>
        <w:gridCol w:w="2122"/>
        <w:gridCol w:w="811"/>
        <w:gridCol w:w="12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Regresión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EE prom (viejo)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EE Rubin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sqrt(Ubar)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sqrt(B)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Aumento EE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FMI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 ajust.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1,796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1,832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1,649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1,577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1,816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1,639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1,748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1,770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1,658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1,596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1,750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Villa (dummy)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1,683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EE Rubin = sqrt(Ubar + (1+1/m)B). 'Aumento EE (%)' = cuánto agranda Rubin el EE respecto del promedio simple. FMI = fracción de información faltante = (1+1/m)B / T: proporción de la incertidumbre atribuible a la asignación individuo-&gt;radio. gl ajustados según Barnard &amp; Rubin (1999). m = número de iteraciones Monte Carlo válidas.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2026-09-04T14:27:45Z</dcterms:modified>
  <cp:category/>
</cp:coreProperties>
</file>