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1"/>
        <w:gridCol w:w="2420"/>
        <w:gridCol w:w="2460"/>
        <w:gridCol w:w="1944"/>
        <w:gridCol w:w="2673"/>
        <w:gridCol w:w="2567"/>
        <w:gridCol w:w="3251"/>
        <w:gridCol w:w="3318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1: Villa (sin controles)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2: + sociodemográfico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3: + FE comuna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4: + tiempo de transporte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5: + hacinamiento y NBI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6: interacción tiempo (log) × villa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7: interacción tiempo × villa + NBI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0.174**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0.174**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(0.080)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Género: 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0.363***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(0.048)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Hacinamiento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</w:tr>
      <w:tr>
        <w:trPr>
          <w:trHeight w:val="78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 Comuna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Observaciones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6275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 ajustado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Nota: coeficiente promedio entre iteraciones. EE de Rubin (1987) entre paréntesis: T = Ubar + (1+1/m)B, combinando la varianza intra-iteración (Ubar) y entre iteraciones (B) del Monte Carlo geográfico. p-valores con grados de libertad ajustados (Barnard-Rubin 1999). Para 0 observaciones villa con barrio identificado pero sin tiempo de transporte calculado a nivel de barrio, tiempo_transporte_cesac_t se imputa con el tiempo del radio censal sorteado en esa iteración (ver tiempo_imputado_por_radio). * p&lt;0.10, ** p&lt;0.05, *** p&lt;0.01. EE base clásicos. FE de comuna: comuna_ok.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2026-09-04T14:27:43Z</dcterms:modified>
  <cp:category/>
</cp:coreProperties>
</file>