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1"/>
        <w:gridCol w:w="2420"/>
        <w:gridCol w:w="2460"/>
        <w:gridCol w:w="1944"/>
        <w:gridCol w:w="2673"/>
        <w:gridCol w:w="2567"/>
        <w:gridCol w:w="3251"/>
        <w:gridCol w:w="3318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1: Villa (sin controles)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2: + sociodemográfico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3: + FE comuna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4: + tiempo de transporte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5: + hacinamiento y NBI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6: interacción tiempo (log) × villa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Reg 7: interacción tiempo × villa + NBI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Villa (dummy)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Género: 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(0.030)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(0.053)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Edad 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0.379***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(0.042)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Hacinamiento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(0.018)</w:t>
            </w:r>
          </w:p>
        </w:tc>
      </w:tr>
      <w:tr>
        <w:trPr>
          <w:trHeight w:val="7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NBI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(0.005)</w:t>
            </w:r>
          </w:p>
        </w:tc>
      </w:tr>
      <w:tr>
        <w:trPr>
          <w:trHeight w:val="78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transporte (log)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(0.039)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(0.046)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 Comuna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Sí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Observaciones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4423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R² ajustado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Nota: robustez restringida a comunas con presencia de villa (soporte común villa/no-villa). EE de Rubin (1987) entre paréntesis: T = Ubar + (1+1/m)B, combinando la varianza intra-iteración (Ubar) y entre iteraciones (B) del Monte Carlo geográfico. p-valores con grados de libertad ajustados (Barnard-Rubin 1999). Para 0 observaciones villa con barrio identificado pero sin tiempo de transporte calculado a nivel de barrio, tiempo_transporte_cesac_t se imputa con el tiempo del radio censal sorteado en esa iteración (ver tiempo_imputado_por_radio). * p&lt;0.10, ** p&lt;0.05, *** p&lt;0.01. EE base clusterizados por comuna_regresion. Comunas sin ninguna villa quedan excluidas (el contraste no está identificado allí).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2026-09-04T14:27:44Z</dcterms:modified>
  <cp:category/>
</cp:coreProperties>
</file>