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robustez restringida a comunas con presencia de villa (soporte común villa/no-villa).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comuna_ok. FE de comuna: comuna_ok. Comunas sin ninguna villa quedan excluidas (el contraste no está identificado allí).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2026-09-04T14:49:20Z</dcterms:modified>
  <cp:category/>
</cp:coreProperties>
</file>