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1"/>
        <w:gridCol w:w="2420"/>
        <w:gridCol w:w="2460"/>
        <w:gridCol w:w="1944"/>
        <w:gridCol w:w="2673"/>
        <w:gridCol w:w="2567"/>
        <w:gridCol w:w="3251"/>
        <w:gridCol w:w="3318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1: Villa (sin controles)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2: + sociodemográfico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3: + FE comuna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4: + tiempo de transporte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5: + hacinamiento y NBI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6: interacción tiempo (log) × villa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7: interacción tiempo × villa + NBI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Villa (dummy)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0.141**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0.189**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0.188**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0.147*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0.286***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(0.094)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Género: Masculino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0.236***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0.232***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0.225***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0.224***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(0.025)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Edad 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0.203***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0.213***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0.214***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0.216***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(0.073)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Edad 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0.326***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0.342***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0.345***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0.347***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0.357***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(0.071)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Hacinamiento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(0.023)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NBI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(0.006)</w:t>
            </w:r>
          </w:p>
        </w:tc>
      </w:tr>
      <w:tr>
        <w:trPr>
          <w:trHeight w:val="78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Tiempo transporte (log)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(0.042)</w:t>
            </w:r>
          </w:p>
        </w:tc>
      </w:tr>
      <w:tr>
        <w:trPr>
          <w:trHeight w:val="57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 Comuna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Observaciones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4423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R² ajustado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Nota: robustez en comunas con villa, reponderando por SIPW estabilizado del propensity villa~i.comuna. Pesos: villa=1 -&gt; p_bar/e_hat; villa=0 -&gt; (1-p_bar)/(1-e_hat), recorte de overlap a [0.01,0.99]. Reweighting DESCRIPTIVO (estandariza composición villa/no-villa por comuna), NO efecto causal. EE de Rubin (1987) entre paréntesis: T = Ubar + (1+1/m)B, combinando la varianza intra-iteración (Ubar) y entre iteraciones (B) del Monte Carlo geográfico. p-valores con grados de libertad ajustados (Barnard-Rubin 1999). Para 0 observaciones villa con barrio identificado pero sin tiempo de transporte calculado a nivel de barrio, tiempo_transporte_cesac_t se imputa con el tiempo del radio censal sorteado en esa iteración (ver tiempo_imputado_por_radio). * p&lt;0.10, ** p&lt;0.05, *** p&lt;0.01. EE base clusterizados por comuna_regresion. Ref.: Robins, Hernán &amp; Brumback (2000, Epidemiology); Imbens &amp; Wooldridge (2009, JEL).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2026-09-04T14:27:44Z</dcterms:modified>
  <cp:category/>
</cp:coreProperties>
</file>