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Tablas de resultados — Acceso a CESAC en villas de la CABA</w:t>
      </w:r>
    </w:p>
    <w:p>
      <w:r>
        <w:rPr>
          <w:i/>
          <w:sz w:val="26"/>
        </w:rPr>
        <w:t>Regresiones principales, análisis de robustez y diagnósticos de imputación múltiple</w:t>
      </w:r>
    </w:p>
    <w:p>
      <w:r>
        <w:rPr>
          <w:sz w:val="22"/>
        </w:rPr>
        <w:t>Este documento reúne, en un único archivo, las tablas originalmente generadas como archivos .docx individuales. Se listan a continuación en el orden en que aparecen:</w:t>
      </w:r>
    </w:p>
    <w:p>
      <w:pPr>
        <w:pStyle w:val="ListBullet"/>
      </w:pPr>
      <w:r>
        <w:rPr>
          <w:sz w:val="21"/>
        </w:rPr>
        <w:t>Tabla 1. Regresiones principales — tiempo de acceso a CESAC y Villa (EE clásicos, FE por comuna_regresion)</w:t>
      </w:r>
    </w:p>
    <w:p>
      <w:pPr>
        <w:pStyle w:val="ListBullet"/>
      </w:pPr>
      <w:r>
        <w:rPr>
          <w:sz w:val="21"/>
        </w:rPr>
        <w:t>Tabla 2. Regresiones — tiempo de acceso a CESAC y Villa (EE clusterizados por comuna_regresion, FE comuna_regresion)</w:t>
      </w:r>
    </w:p>
    <w:p>
      <w:pPr>
        <w:pStyle w:val="ListBullet"/>
      </w:pPr>
      <w:r>
        <w:rPr>
          <w:sz w:val="21"/>
        </w:rPr>
        <w:t>Tabla 3. Regresiones — tiempo de acceso a CESAC y Villa (EE clásicos, FE por comuna_ok)</w:t>
      </w:r>
    </w:p>
    <w:p>
      <w:pPr>
        <w:pStyle w:val="ListBullet"/>
      </w:pPr>
      <w:r>
        <w:rPr>
          <w:sz w:val="21"/>
        </w:rPr>
        <w:t>Tabla 4. Especificación principal — tiempo de acceso a CESAC y Villa (EE clusterizados por comuna_ok, FE comuna_ok)</w:t>
      </w:r>
    </w:p>
    <w:p>
      <w:pPr>
        <w:pStyle w:val="ListBullet"/>
      </w:pPr>
      <w:r>
        <w:rPr>
          <w:sz w:val="21"/>
        </w:rPr>
        <w:t>Tabla 5. Robustez — muestra restringida a comunas con villa (EE clusterizados por comuna_regresion, FE comuna_regresion)</w:t>
      </w:r>
    </w:p>
    <w:p>
      <w:pPr>
        <w:pStyle w:val="ListBullet"/>
      </w:pPr>
      <w:r>
        <w:rPr>
          <w:sz w:val="21"/>
        </w:rPr>
        <w:t>Tabla 6. Robustez — muestra restringida a comunas con villa (EE clusterizados por comuna_ok, FE comuna_ok)</w:t>
      </w:r>
    </w:p>
    <w:p>
      <w:pPr>
        <w:pStyle w:val="ListBullet"/>
      </w:pPr>
      <w:r>
        <w:rPr>
          <w:sz w:val="21"/>
        </w:rPr>
        <w:t>Tabla 7. Robustez — reponderación IPW estabilizada (comunas con villa; resultado descriptivo, no causal)</w:t>
      </w:r>
    </w:p>
    <w:p>
      <w:pPr>
        <w:pStyle w:val="ListBullet"/>
      </w:pPr>
      <w:r>
        <w:rPr>
          <w:sz w:val="21"/>
        </w:rPr>
        <w:t>Tabla 8. Diagnóstico de imputación múltiple (Rubin, 1987) — descomposición del error estándar y fracción de información faltante</w:t>
      </w:r>
    </w:p>
    <w:p>
      <w:pPr>
        <w:pStyle w:val="ListBullet"/>
      </w:pPr>
      <w:r>
        <w:rPr>
          <w:sz w:val="21"/>
        </w:rPr>
        <w:t>Tabla 9. Coeficiente de correlación intraclase (ICC) y efecto de diseño por nivel de clustering</w:t>
      </w:r>
    </w:p>
    <w:p>
      <w:r>
        <w:br w:type="page"/>
      </w:r>
    </w:p>
    <w:p>
      <w:pPr>
        <w:pStyle w:val="Heading2"/>
      </w:pPr>
      <w:r>
        <w:t>Tabla 1. Regresiones principales — tiempo de acceso a CESAC y Villa (EE clásicos, FE por comuna_regresion)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clásicos. FE de comuna: comuna_regresion.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2. Regresiones — tiempo de acceso a CESAC y Villa (EE clusterizados por comuna_regresion, FE comuna_regresion)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comuna_regresion. FE: comuna_regresion.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3. Regresiones — tiempo de acceso a CESAC y Villa (EE clásicos, FE por comuna_ok)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clásicos. FE de comuna: comuna_ok.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4. Especificación principal — tiempo de acceso a CESAC y Villa (EE clusterizados por comuna_ok, FE comuna_ok)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comuna_ok. FE de comuna: comuna_ok.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5. Robustez — muestra restringida a comunas con villa (EE clusterizados por comuna_regresion, FE comuna_regresion)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robustez restringida a comunas con presencia de villa (soporte común villa/no-villa).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comuna_regresion. Comunas sin ninguna villa quedan excluidas (el contraste no está identificado allí).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6. Robustez — muestra restringida a comunas con villa (EE clusterizados por comuna_ok, FE comuna_ok)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robustez restringida a comunas con presencia de villa (soporte común villa/no-villa).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comuna_ok. FE de comuna: comuna_ok. Comunas sin ninguna villa quedan excluidas (el contraste no está identificado allí).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7. Robustez — reponderación IPW estabilizada (comunas con villa; resultado descriptivo, no causal)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robustez en comunas con villa, reponderando por SIPW estabilizado del propensity villa~i.comuna. Pesos: villa=1 -&gt; p_bar/e_hat; villa=0 -&gt; (1-p_bar)/(1-e_hat), recorte de overlap a [0.01,0.99]. Reweighting DESCRIPTIVO (estandariza composición villa/no-villa por comuna), NO efecto causal.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comuna_regresion. Ref.: Robins, Hernán &amp; Brumback (2000, Epidemiology); Imbens &amp; Wooldridge (2009, JEL).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8. Diagnóstico de imputación múltiple (Rubin, 1987) — descomposición del error estándar y fracción de información faltante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6"/>
        <w:gridCol w:w="2074"/>
        <w:gridCol w:w="961"/>
        <w:gridCol w:w="2024"/>
        <w:gridCol w:w="1388"/>
        <w:gridCol w:w="1474"/>
        <w:gridCol w:w="1132"/>
        <w:gridCol w:w="2122"/>
        <w:gridCol w:w="811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Regresión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EE prom (viejo)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EE Rubin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sqrt(Ubar)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sqrt(B)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Aumento EE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FMI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 ajust.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1,796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1,649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1,816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1,639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1,658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1,596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1,750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EE Rubin = sqrt(Ubar + (1+1/m)B). 'Aumento EE (%)' = cuánto agranda Rubin el EE respecto del promedio simple. FMI = fracción de información faltante = (1+1/m)B / T: proporción de la incertidumbre atribuible a la asignación individuo-&gt;radio. gl ajustados según Barnard &amp; Rubin (1999). m = número de iteraciones Monte Carlo válidas.</w:t>
            </w:r>
          </w:p>
        </w:tc>
      </w:tr>
    </w:tbl>
    <w:p/>
    <w:p>
      <w:r>
        <w:br w:type="page"/>
      </w:r>
    </w:p>
    <w:p>
      <w:pPr>
        <w:pStyle w:val="Heading2"/>
      </w:pPr>
      <w:r>
        <w:t>Tabla 9. Coeficiente de correlación intraclase (ICC) y efecto de diseño por nivel de clustering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52"/>
        <w:gridCol w:w="1792"/>
        <w:gridCol w:w="1462"/>
        <w:gridCol w:w="1768"/>
        <w:gridCol w:w="1707"/>
        <w:gridCol w:w="1161"/>
        <w:gridCol w:w="1438"/>
        <w:gridCol w:w="17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ICC (ANOVA)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ICC (lmer)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sigma2 entre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sigma2 intra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n_bar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 clusters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Design effect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Comuna (comuna_regresion)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380.0815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Comuna (comuna_ok)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402.2056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1.6618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Radio censal (sorteado)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2.2787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1.0130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ICC = sigma2_entre / (sigma2_entre + sigma2_intra) sobre log(dias_ult_cons). ANOVA de una vía (estimador de momentos) y modelo de intercepto aleatorio (lme4). Design effect = 1 + (n_bar - 1)*ICC (factor de Moulton). ICC de radio promediado entre iteraciones. Ref.: Snijders &amp; Bosker (2012) Cap. 3; Cameron &amp; Miller (2015, JHR); Angrist &amp; Pischke (MHE) Cap. 8.</w:t>
            </w:r>
          </w:p>
        </w:tc>
      </w:tr>
    </w:tbl>
    <w:p/>
    <w:sectPr w:rsidR="00FC693F" w:rsidRPr="0006063C" w:rsidSect="00034616">
      <w:pgSz w:w="2448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