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21CFE" w14:textId="55D1F8EB" w:rsidR="00437888" w:rsidRDefault="00437888" w:rsidP="003D0CAE">
      <w:pPr>
        <w:spacing w:before="240" w:line="360" w:lineRule="auto"/>
        <w:jc w:val="both"/>
        <w:rPr>
          <w:rFonts w:ascii="Times New Roman" w:hAnsi="Times New Roman" w:cs="Times New Roman"/>
          <w:b/>
          <w:bCs/>
        </w:rPr>
      </w:pPr>
      <w:r w:rsidRPr="00437888">
        <w:rPr>
          <w:rFonts w:ascii="Times New Roman" w:hAnsi="Times New Roman" w:cs="Times New Roman"/>
          <w:b/>
          <w:bCs/>
        </w:rPr>
        <w:t>ANÁLISE GEOESTATÍSTICA DO PASSIVO DE RESERVA LEGAL EM IMÓVEIS DE MÉDIO E GRANDE PORTE NO ESTADO DO PARÁ</w:t>
      </w:r>
    </w:p>
    <w:p w14:paraId="0D8CCE3F" w14:textId="41D3BF63"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1 INTRODUÇÃO</w:t>
      </w:r>
    </w:p>
    <w:p w14:paraId="17E6F738" w14:textId="77777777" w:rsidR="006D61FB" w:rsidRPr="006D61FB" w:rsidRDefault="006D61FB" w:rsidP="003D0CAE">
      <w:pPr>
        <w:spacing w:before="240" w:line="360" w:lineRule="auto"/>
        <w:jc w:val="both"/>
        <w:rPr>
          <w:rFonts w:ascii="Times New Roman" w:hAnsi="Times New Roman" w:cs="Times New Roman"/>
        </w:rPr>
      </w:pPr>
      <w:r w:rsidRPr="006D61FB">
        <w:rPr>
          <w:rFonts w:ascii="Times New Roman" w:hAnsi="Times New Roman" w:cs="Times New Roman"/>
        </w:rPr>
        <w:t>1.1 DELIMITAÇÃO DO PROBLEMA</w:t>
      </w:r>
    </w:p>
    <w:p w14:paraId="12A6E64E"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 xml:space="preserve">A gestão ambiental no Estado do Pará enfrenta um impasse estrutural relacionado à conformidade de imóveis rurais frente à exigência de 80% de Reserva Legal (RL) em áreas de floresta na Amazônia (BRASIL, 2012). Para as propriedades que possuem passivo consolidado — supressão de vegetação nativa ocorrida antes de 22 de julho de 2008 —, a legislação permite a regularização por meio da recomposição, regeneração ou compensação da RL (BRASIL, 2012). No entanto, a manutenção ou a aquisição de áreas para atingir o patamar de 80% gera um impacto financeiro elevado, seja pelo custo de oportunidade da terra produtiva ou pelos altos custos logísticos e técnicos de restauração e compensação, que frequentemente podem levar o produtor rural à insolvência (SPAROVEK </w:t>
      </w:r>
      <w:r w:rsidRPr="006D61FB">
        <w:rPr>
          <w:rFonts w:ascii="Times New Roman" w:hAnsi="Times New Roman" w:cs="Times New Roman"/>
          <w:i/>
          <w:iCs/>
        </w:rPr>
        <w:t>et al.</w:t>
      </w:r>
      <w:r w:rsidRPr="006D61FB">
        <w:rPr>
          <w:rFonts w:ascii="Times New Roman" w:hAnsi="Times New Roman" w:cs="Times New Roman"/>
        </w:rPr>
        <w:t xml:space="preserve">, 2011; RAJÃO </w:t>
      </w:r>
      <w:r w:rsidRPr="006D61FB">
        <w:rPr>
          <w:rFonts w:ascii="Times New Roman" w:hAnsi="Times New Roman" w:cs="Times New Roman"/>
          <w:i/>
          <w:iCs/>
        </w:rPr>
        <w:t>et al.</w:t>
      </w:r>
      <w:r w:rsidRPr="006D61FB">
        <w:rPr>
          <w:rFonts w:ascii="Times New Roman" w:hAnsi="Times New Roman" w:cs="Times New Roman"/>
        </w:rPr>
        <w:t>, 2021).</w:t>
      </w:r>
    </w:p>
    <w:p w14:paraId="27DDF257"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 xml:space="preserve">Este cenário de inadimplência ambiental é acentuado pela diferenciação baseada no tamanho do imóvel rural. O Artigo 67 do Código Florestal desobrigou os imóveis de até 4 módulos fiscais (MF) de recompor ou compensar a Reserva Legal além do percentual de vegetação nativa que já existia no marco de 2008 (BRASIL, 2012). Em contrapartida, os imóveis superiores a 4 MF (médios e grandes) não gozam desse benefício automático de dispensa, concentrando o maior volume de déficit ambiental que ainda precisa ser regularizado (RAJÃO </w:t>
      </w:r>
      <w:r w:rsidRPr="006D61FB">
        <w:rPr>
          <w:rFonts w:ascii="Times New Roman" w:hAnsi="Times New Roman" w:cs="Times New Roman"/>
          <w:i/>
          <w:iCs/>
        </w:rPr>
        <w:t>et al.</w:t>
      </w:r>
      <w:r w:rsidRPr="006D61FB">
        <w:rPr>
          <w:rFonts w:ascii="Times New Roman" w:hAnsi="Times New Roman" w:cs="Times New Roman"/>
        </w:rPr>
        <w:t xml:space="preserve">, 2021). No Pará, essa disparidade, somada a gargalos na validação dos cadastros, resulta em uma paralisia na adesão efetiva ao Programa de Regularização Ambiental (PRA), uma vez que muitos proprietários de médias e grandes propriedades encontram-se em um estado de inadimplência forçada por não conseguirem viabilizar economicamente a compensação ou recomposição de vastas extensões de terra (RAJÃO </w:t>
      </w:r>
      <w:r w:rsidRPr="006D61FB">
        <w:rPr>
          <w:rFonts w:ascii="Times New Roman" w:hAnsi="Times New Roman" w:cs="Times New Roman"/>
          <w:i/>
          <w:iCs/>
        </w:rPr>
        <w:t>et al.</w:t>
      </w:r>
      <w:r w:rsidRPr="006D61FB">
        <w:rPr>
          <w:rFonts w:ascii="Times New Roman" w:hAnsi="Times New Roman" w:cs="Times New Roman"/>
        </w:rPr>
        <w:t>, 2021).</w:t>
      </w:r>
    </w:p>
    <w:p w14:paraId="08A6A955"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 xml:space="preserve">Para equacionar esse problema, o Artigo 12 (§ 4º e 5º) da Lei nº 12.651/2012 prevê a possibilidade de redução da Reserva Legal de 80% para até 50% (BRASIL, 2012). Essa flexibilização, voltada para fins de regularização e recomposição do passivo, depende de critérios como a existência de Zoneamento Ecológico-Econômico (ZEE) aprovado e de altos índices de áreas protegidas (unidades de conservação e terras indígenas) no território do estado ou do município (BRASIL, 2012). Embora o Pará já possua normativas fundamentais que indicam esse redimensionamento para áreas rurais consolidadas, como a Lei Estadual nº 7.398/2010 (Zona Leste e Calha Norte) e a Lei Estadual nº 7.243/2009 (Zona Oeste) (PARÁ, </w:t>
      </w:r>
      <w:r w:rsidRPr="006D61FB">
        <w:rPr>
          <w:rFonts w:ascii="Times New Roman" w:hAnsi="Times New Roman" w:cs="Times New Roman"/>
        </w:rPr>
        <w:lastRenderedPageBreak/>
        <w:t>2009; PARÁ, 2010), ainda há uma lacuna de estudos geoestatísticos que quantifiquem o impacto real dessa redução na transição de imóveis da ilegalidade para a conformidade ambiental.</w:t>
      </w:r>
    </w:p>
    <w:p w14:paraId="05247355" w14:textId="7C3D8A8C" w:rsid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1.2 OBJETIVOS</w:t>
      </w:r>
    </w:p>
    <w:p w14:paraId="2B43EC07" w14:textId="77777777" w:rsidR="004B2744" w:rsidRPr="004B2744" w:rsidRDefault="004B2744" w:rsidP="003D0CAE">
      <w:pPr>
        <w:spacing w:before="240" w:line="360" w:lineRule="auto"/>
        <w:jc w:val="both"/>
        <w:rPr>
          <w:rFonts w:ascii="Times New Roman" w:hAnsi="Times New Roman" w:cs="Times New Roman"/>
        </w:rPr>
      </w:pPr>
      <w:r w:rsidRPr="004B2744">
        <w:rPr>
          <w:rFonts w:ascii="Times New Roman" w:hAnsi="Times New Roman" w:cs="Times New Roman"/>
          <w:b/>
          <w:bCs/>
        </w:rPr>
        <w:t>1.2.1 Objetivo geral</w:t>
      </w:r>
    </w:p>
    <w:p w14:paraId="67C2A441" w14:textId="77777777" w:rsidR="004B2744" w:rsidRPr="004B2744" w:rsidRDefault="004B2744" w:rsidP="003D0CAE">
      <w:pPr>
        <w:spacing w:after="0" w:line="360" w:lineRule="auto"/>
        <w:ind w:firstLine="709"/>
        <w:jc w:val="both"/>
        <w:rPr>
          <w:rFonts w:ascii="Times New Roman" w:hAnsi="Times New Roman" w:cs="Times New Roman"/>
        </w:rPr>
      </w:pPr>
      <w:r w:rsidRPr="004B2744">
        <w:rPr>
          <w:rFonts w:ascii="Times New Roman" w:hAnsi="Times New Roman" w:cs="Times New Roman"/>
        </w:rPr>
        <w:t>Quantificar, por meio de modelagem geoestatística e processamento de dados em nuvem, o impacto da redução da Reserva Legal (RL) de 80% para 50% na regularização de imóveis rurais superiores a 4 módulos fiscais (MF) no Estado do Pará, visando medir o potencial de transição do passivo consolidado para a conformidade ambiental.</w:t>
      </w:r>
    </w:p>
    <w:p w14:paraId="3124380B" w14:textId="77777777" w:rsidR="004B2744" w:rsidRPr="004B2744" w:rsidRDefault="004B2744" w:rsidP="003D0CAE">
      <w:pPr>
        <w:spacing w:before="240" w:line="360" w:lineRule="auto"/>
        <w:jc w:val="both"/>
        <w:rPr>
          <w:rFonts w:ascii="Times New Roman" w:hAnsi="Times New Roman" w:cs="Times New Roman"/>
        </w:rPr>
      </w:pPr>
      <w:r w:rsidRPr="004B2744">
        <w:rPr>
          <w:rFonts w:ascii="Times New Roman" w:hAnsi="Times New Roman" w:cs="Times New Roman"/>
          <w:b/>
          <w:bCs/>
        </w:rPr>
        <w:t>1.2.2 Objetivos específicos</w:t>
      </w:r>
    </w:p>
    <w:p w14:paraId="5586BD16" w14:textId="77777777" w:rsidR="004B2744" w:rsidRPr="004B2744" w:rsidRDefault="004B2744" w:rsidP="003D0CAE">
      <w:pPr>
        <w:spacing w:before="240" w:line="360" w:lineRule="auto"/>
        <w:ind w:firstLine="709"/>
        <w:jc w:val="both"/>
        <w:rPr>
          <w:rFonts w:ascii="Times New Roman" w:hAnsi="Times New Roman" w:cs="Times New Roman"/>
        </w:rPr>
      </w:pPr>
      <w:r w:rsidRPr="004B2744">
        <w:rPr>
          <w:rFonts w:ascii="Times New Roman" w:hAnsi="Times New Roman" w:cs="Times New Roman"/>
        </w:rPr>
        <w:t>Para a consecução do objetivo geral, definem-se os seguintes objetivos específicos:</w:t>
      </w:r>
    </w:p>
    <w:p w14:paraId="2D10CC96"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 xml:space="preserve">a) integração e higienização de </w:t>
      </w:r>
      <w:r w:rsidRPr="004B2744">
        <w:rPr>
          <w:rFonts w:ascii="Times New Roman" w:hAnsi="Times New Roman" w:cs="Times New Roman"/>
          <w:i/>
          <w:iCs/>
        </w:rPr>
        <w:t>big data</w:t>
      </w:r>
      <w:r w:rsidRPr="004B2744">
        <w:rPr>
          <w:rFonts w:ascii="Times New Roman" w:hAnsi="Times New Roman" w:cs="Times New Roman"/>
        </w:rPr>
        <w:t>: consolidar uma base de dados integrada cruzando a base vetorial do SICAR-PA, os limites municipais do IBGE e os índices de Módulo Fiscal do INCRA;</w:t>
      </w:r>
    </w:p>
    <w:p w14:paraId="788556ED"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b) automação do cálculo de módulos fiscais: desenvolver algoritmos em linguagem Python (</w:t>
      </w:r>
      <w:r w:rsidRPr="004B2744">
        <w:rPr>
          <w:rFonts w:ascii="Times New Roman" w:hAnsi="Times New Roman" w:cs="Times New Roman"/>
          <w:i/>
          <w:iCs/>
        </w:rPr>
        <w:t>Pandas/Geopandas</w:t>
      </w:r>
      <w:r w:rsidRPr="004B2744">
        <w:rPr>
          <w:rFonts w:ascii="Times New Roman" w:hAnsi="Times New Roman" w:cs="Times New Roman"/>
        </w:rPr>
        <w:t>) para automatizar o cálculo da área total em módulos fiscais por município, permitindo a filtragem precisa apenas de imóveis superiores a 4 MF;</w:t>
      </w:r>
    </w:p>
    <w:p w14:paraId="2E64CA65"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 xml:space="preserve">c) validação temporal via GEE: utilizar séries temporais do MapBiomas e algoritmos de classificação em nuvem no </w:t>
      </w:r>
      <w:r w:rsidRPr="004B2744">
        <w:rPr>
          <w:rFonts w:ascii="Times New Roman" w:hAnsi="Times New Roman" w:cs="Times New Roman"/>
          <w:i/>
          <w:iCs/>
        </w:rPr>
        <w:t>Google Earth Engine</w:t>
      </w:r>
      <w:r w:rsidRPr="004B2744">
        <w:rPr>
          <w:rFonts w:ascii="Times New Roman" w:hAnsi="Times New Roman" w:cs="Times New Roman"/>
        </w:rPr>
        <w:t xml:space="preserve"> (GEE) para isolar espacialmente o passivo de vegetação nativa ocorrido antes de 22 de julho de 2008;</w:t>
      </w:r>
    </w:p>
    <w:p w14:paraId="6BB547C0"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d) simulação de cenários normativos: modelar comparativamente dois cenários de Reserva Legal (80% vs. 50%) para calcular o "delta" de área que atinge a conformidade ambiental sem necessidade de compensação ou recomposição onerosa no Cenário B;</w:t>
      </w:r>
    </w:p>
    <w:p w14:paraId="248E8065"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e) diagnóstico de regularização: gerar indicadores estatísticos sobre o impacto dessa redução no estoque de vegetação nativa e na viabilidade de adesão ao Programa de Regularização Ambiental (PRA) no Pará.</w:t>
      </w:r>
    </w:p>
    <w:p w14:paraId="626932DB" w14:textId="77777777" w:rsid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1.3 JUSTIFICATIVA</w:t>
      </w:r>
    </w:p>
    <w:p w14:paraId="396F435E"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lastRenderedPageBreak/>
        <w:t>A presente análise fundamenta-se na necessidade de convergência entre a conformidade legal e a viabilidade prática da regularização ambiental no Estado do Pará, estruturando-se sobre quatro pilares fundamentais:</w:t>
      </w:r>
    </w:p>
    <w:p w14:paraId="7C7848A2" w14:textId="77777777" w:rsidR="00E35BC1" w:rsidRPr="00E35BC1" w:rsidRDefault="00E35BC1" w:rsidP="003D0CAE">
      <w:pPr>
        <w:spacing w:before="240" w:line="360" w:lineRule="auto"/>
        <w:jc w:val="both"/>
        <w:rPr>
          <w:rFonts w:ascii="Times New Roman" w:hAnsi="Times New Roman" w:cs="Times New Roman"/>
        </w:rPr>
      </w:pPr>
      <w:r w:rsidRPr="00E35BC1">
        <w:rPr>
          <w:rFonts w:ascii="Times New Roman" w:hAnsi="Times New Roman" w:cs="Times New Roman"/>
          <w:b/>
          <w:bCs/>
        </w:rPr>
        <w:t>1.3.1 Eficiência na gestão pública: a desclogagem do Programa de Regularização Ambiental (PRA)</w:t>
      </w:r>
    </w:p>
    <w:p w14:paraId="2D8766B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A análise dos dados declarados no Cadastro Ambiental Rural (CAR) continua sendo o principal desafio na implementação do Código Florestal em larga escala. Esse cenário reflete a morosidade do poder público em relação ao processo de regularização, muitas vezes limitada pela falta de infraestrutura tecnológica e de equipes técnicas dimensionadas para o volume de cadastros (SERAPHIM; FREIRIA, 2025).</w:t>
      </w:r>
    </w:p>
    <w:p w14:paraId="3E7D2C1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Visando superar esse gargalo, o programa "Regulariza Pará" tem investido na modernização tecnológica para fortalecer a gestão ambiental estadual (PARÁ, 2025). A implementação de ferramentas como o "CAR 2.0" demonstra eficácia ao automatizar as análises, agilizando as validações. Nesse sentido, a automação do cálculo de passivos, com a aplicação direta da redução para 50%, atua como um catalisador de eficiência, destravando milhares de processos paralisados (PARÁ, 2025).</w:t>
      </w:r>
    </w:p>
    <w:p w14:paraId="63122B00" w14:textId="77777777" w:rsidR="00E35BC1" w:rsidRPr="00E35BC1" w:rsidRDefault="00E35BC1" w:rsidP="003D0CAE">
      <w:pPr>
        <w:spacing w:before="240" w:line="360" w:lineRule="auto"/>
        <w:jc w:val="both"/>
        <w:rPr>
          <w:rFonts w:ascii="Times New Roman" w:hAnsi="Times New Roman" w:cs="Times New Roman"/>
        </w:rPr>
      </w:pPr>
      <w:r w:rsidRPr="00E35BC1">
        <w:rPr>
          <w:rFonts w:ascii="Times New Roman" w:hAnsi="Times New Roman" w:cs="Times New Roman"/>
          <w:b/>
          <w:bCs/>
        </w:rPr>
        <w:t>1.3.2 Viabilidade econômica e social da redução para 50%</w:t>
      </w:r>
    </w:p>
    <w:p w14:paraId="4B08905E"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Do ponto de vista socioeconômico, a regularização ambiental exige altos custos financeiros, o que gera resistência por parte dos detentores de imóveis e cria obstáculos para a efetivação das políticas públicas (SERAPHIM; FREIRIA, 2025). A recuperação de áreas degradadas demanda investimentos consideráveis que, se não forem amparados por mecanismos de flexibilização previstos em lei, podem inviabilizar a saúde financeira das propriedades.</w:t>
      </w:r>
    </w:p>
    <w:p w14:paraId="2297392C"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Ao aplicar a redução da exigência da Reserva Legal para 50%, o déficit ambiental a ser recomposto pelo produtor diminui expressivamente, sem comprometer os ativos florestais consolidados. Esta alternativa previne o bloqueio comercial dos produtores por frigoríficos e cadeias de suprimentos, promove a reinserção no mercado formal e garante a manutenção da função social e dos empregos em áreas de alta aptidão produtiva no estado (SERAPHIM; FREIRIA, 2025).</w:t>
      </w:r>
    </w:p>
    <w:p w14:paraId="1E790A5A" w14:textId="77777777" w:rsidR="00E35BC1" w:rsidRPr="00E35BC1" w:rsidRDefault="00E35BC1" w:rsidP="003D0CAE">
      <w:pPr>
        <w:spacing w:before="240" w:line="360" w:lineRule="auto"/>
        <w:jc w:val="both"/>
        <w:rPr>
          <w:rFonts w:ascii="Times New Roman" w:hAnsi="Times New Roman" w:cs="Times New Roman"/>
        </w:rPr>
      </w:pPr>
      <w:r w:rsidRPr="00E35BC1">
        <w:rPr>
          <w:rFonts w:ascii="Times New Roman" w:hAnsi="Times New Roman" w:cs="Times New Roman"/>
          <w:b/>
          <w:bCs/>
        </w:rPr>
        <w:t>1.3.3 Segurança jurídica e respaldo legal</w:t>
      </w:r>
    </w:p>
    <w:p w14:paraId="248EEF78"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lastRenderedPageBreak/>
        <w:t>A adoção da redução da Reserva Legal não se configura como uma flexibilização arbitrária ou uma concessão política, tratando-se, na verdade, da aplicação estrita e técnica do arcabouço normativo vigente. A medida encontra amparo principal na Lei nº 12.651/2012 (Novo Código Florestal), que previu a possibilidade de adequação dos percentuais conforme as características regionais e o zoneamento estadual (BRASIL, 2012).</w:t>
      </w:r>
    </w:p>
    <w:p w14:paraId="1A85A118"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De forma específica, o Decreto Federal de 24 de abril de 2013 regulamenta e autoriza expressamente essa aplicação para imóveis rurais no Estado do Pará (BRASIL, 2013). A correta execução desta prerrogativa legal garante segurança jurídica tanto para o órgão ambiental, em sua função fiscalizadora, quanto para os produtores que buscam a conformidade, evitando questionamentos judiciais sobre a validade da regularização.</w:t>
      </w:r>
    </w:p>
    <w:p w14:paraId="1381C8AC" w14:textId="77777777" w:rsidR="00E35BC1" w:rsidRPr="00E35BC1" w:rsidRDefault="00E35BC1" w:rsidP="003D0CAE">
      <w:pPr>
        <w:spacing w:before="240" w:line="360" w:lineRule="auto"/>
        <w:jc w:val="both"/>
        <w:rPr>
          <w:rFonts w:ascii="Times New Roman" w:hAnsi="Times New Roman" w:cs="Times New Roman"/>
        </w:rPr>
      </w:pPr>
      <w:r w:rsidRPr="00E35BC1">
        <w:rPr>
          <w:rFonts w:ascii="Times New Roman" w:hAnsi="Times New Roman" w:cs="Times New Roman"/>
          <w:b/>
          <w:bCs/>
        </w:rPr>
        <w:t>1.3.4 Rigor probatório e combate a fraudes por meio de geotecnologias</w:t>
      </w:r>
    </w:p>
    <w:p w14:paraId="74FC35B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Para garantir que o benefício da redução incida exclusivamente sobre áreas com passivo consolidado até 2008, o processo é ancorado no uso de séries temporais de imagens de satélite. Plataformas de sensoriamento remoto, como o MapBiomas Alerta, disponibilizam dados de alta resolução que atestam, no tempo e no espaço, a real materialidade das supressões de vegetação (CONSELHO NACIONAL DE JUSTIÇA, 2023).</w:t>
      </w:r>
    </w:p>
    <w:p w14:paraId="36171B65" w14:textId="4C1D098F" w:rsid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Do ponto de vista probatório, a jurisprudência do Superior Tribunal de Justiça (STJ) firmou o entendimento de que geotecnologias são provas altamente confiáveis. O entendimento atual é de que imagens de satélite configuram prova técnica suficiente, sendo desnecessária a exigência de perícias presenciais em campo para casos de monitoramento remoto (CONSELHO NACIONAL DE JUSTIÇA, 2023). Esse rigor satelital atua como um mecanismo inquestionável contra fraudes e validações indevidas.</w:t>
      </w:r>
    </w:p>
    <w:p w14:paraId="78D0F77D" w14:textId="77777777" w:rsidR="00DD24CC" w:rsidRDefault="00DD24CC" w:rsidP="003D0CAE">
      <w:pPr>
        <w:spacing w:before="240" w:line="360" w:lineRule="auto"/>
        <w:jc w:val="both"/>
        <w:rPr>
          <w:rFonts w:ascii="Times New Roman" w:hAnsi="Times New Roman" w:cs="Times New Roman"/>
          <w:b/>
          <w:bCs/>
        </w:rPr>
      </w:pPr>
      <w:r w:rsidRPr="00DD24CC">
        <w:rPr>
          <w:rFonts w:ascii="Times New Roman" w:hAnsi="Times New Roman" w:cs="Times New Roman"/>
          <w:b/>
          <w:bCs/>
        </w:rPr>
        <w:t>2 REFERENCIAL TEÓRICO</w:t>
      </w:r>
    </w:p>
    <w:p w14:paraId="41BA470B"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2.1 FUNÇÃO SOCIOAMBIENTAL DA RESERVA LEGAL</w:t>
      </w:r>
    </w:p>
    <w:p w14:paraId="00BDEB22"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A Reserva Legal é um instrumento fundamental do Código Florestal brasileiro para garantir que a exploração econômica das propriedades rurais, especialmente em áreas sensíveis como a Amazônia, ocorra em harmonia com a proteção ambiental. O texto legal define claramente a sua função socioambiental:</w:t>
      </w:r>
    </w:p>
    <w:p w14:paraId="10F21E51"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 xml:space="preserve">Reserva Legal: área localizada no interior de uma propriedade ou posse rural, delimitada nos termos do art. 12, com a função de assegurar o uso econômico de modo sustentável dos recursos naturais do imóvel rural, auxiliar a conservação e a </w:t>
      </w:r>
      <w:r w:rsidRPr="00312AA8">
        <w:rPr>
          <w:rFonts w:ascii="Times New Roman" w:hAnsi="Times New Roman" w:cs="Times New Roman"/>
          <w:sz w:val="20"/>
          <w:szCs w:val="20"/>
        </w:rPr>
        <w:lastRenderedPageBreak/>
        <w:t>reabilitação dos processos ecológicos e promover a conservação da biodiversidade, bem como o abrigo e a proteção de fauna silvestre e da flora nativa; (BRASIL, 2012, art. 3º, inciso III).</w:t>
      </w:r>
    </w:p>
    <w:p w14:paraId="3381CE4A"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A manutenção dessa cobertura de vegetação nativa é obrigatória para todo imóvel rural e, na Amazônia Legal, chega a exigir a conservação de até 80% da propriedade quando situada em área de florestas (BRASIL, 2012, art. 12).</w:t>
      </w:r>
    </w:p>
    <w:p w14:paraId="7145F94F"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2.2 O CAR COMO PRINCIPAL FERRAMENTA DE MONITORAMENTO</w:t>
      </w:r>
    </w:p>
    <w:p w14:paraId="0FCF9190"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Para viabilizar a fiscalização e a regularização dessas áreas de preservação, a Lei 12.651/2012 instituiu o Cadastro Ambiental Rural (CAR). A legislação o consolida como o grande banco de dados nacional para monitorar e combater o desmatamento:</w:t>
      </w:r>
    </w:p>
    <w:p w14:paraId="2910081F"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É criado o Cadastro Ambiental Rural - CAR, no âmbito do Sistema Nacional de Informação sobre Meio Ambiente - SINIMA, registro público eletrônico de âmbito nacional, obrigatório para todos os imóveis rurais, com a finalidade de integrar as informações ambientais das propriedades e posses rurais, compondo base de dados para controle, monitoramento, planejamento ambiental e econômico e combate ao desmatamento. (BRASIL, 2012, art. 29).</w:t>
      </w:r>
    </w:p>
    <w:p w14:paraId="671459B0"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Para que esse monitoramento seja efetivo, a norma e os sistemas de controle exigem precisão tecnológica. Conforme aponta a literatura jurídica:</w:t>
      </w:r>
    </w:p>
    <w:p w14:paraId="12C19945"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[O Novo Código Florestal] Exige que todos os proprietários ou posseiros de propriedades rurais registrem suas terras no órgão ambiental estadual, delineando a RL [Reserva Legal] e a APP [Área de Preservação Permanente] georreferenciadas em imagens de satélite [...] para servir de base para o monitoramento do cumprimento. (PORTO; SANTOS, 2017, p. 931).</w:t>
      </w:r>
    </w:p>
    <w:p w14:paraId="2821A7DC"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No âmbito da gestão pública amazônica, o CAR provou ser o eixo central para coibir o avanço da degradação. Ele é "destacado no Código Florestal (Lei nº 12.651/2012) como a principal ferramenta de planejamento da regularização ambiental dos imóveis rurais, que auxilia na manutenção dos ativos florestais e inicia a recuperação, restauração, recomposição e compensação dos passivos ambientais" (PARÁ, 2021).</w:t>
      </w:r>
    </w:p>
    <w:p w14:paraId="22906C30"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2.3 O PROBLEMA: O IMPASSE DOS 80% E O PASSIVO CONSOLIDADO</w:t>
      </w:r>
    </w:p>
    <w:p w14:paraId="633DFC4E"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 xml:space="preserve">O Novo Código Florestal (Lei nº 12.651/2012) exige a manutenção de 80% de Reserva Legal para imóveis situados em áreas de floresta na Amazônia Legal. A imposição desse alto percentual gerou um grave impasse para propriedades que já haviam suprimido a vegetação em </w:t>
      </w:r>
      <w:r w:rsidRPr="00EE2C45">
        <w:rPr>
          <w:rFonts w:ascii="Times New Roman" w:hAnsi="Times New Roman" w:cs="Times New Roman"/>
        </w:rPr>
        <w:lastRenderedPageBreak/>
        <w:t>proporções maiores, criando o chamado "passivo ambiental". Para solucionar esse impasse, a legislação introduziu a figura das áreas consolidadas baseadas em um marco temporal específico.</w:t>
      </w:r>
    </w:p>
    <w:p w14:paraId="5C052D7A"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2.3.1 A definição do marco temporal de 22 de julho de 2008</w:t>
      </w:r>
    </w:p>
    <w:p w14:paraId="3B4FD334" w14:textId="66AFFFFE"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O marco temporal de 2008 é a linha divisória estabelecida pela legislação para diferenciar desmatamentos antigos (passíveis de regularização mais branda) de desmatamentos recentes (sujeitos a punições e recomposição integral). A Lei 12.651/2012 define o conceito de "área rural consolidada" da seguinte forma:</w:t>
      </w:r>
      <w:r>
        <w:rPr>
          <w:rFonts w:ascii="Times New Roman" w:hAnsi="Times New Roman" w:cs="Times New Roman"/>
        </w:rPr>
        <w:t xml:space="preserve"> Á</w:t>
      </w:r>
      <w:r w:rsidRPr="00EE2C45">
        <w:rPr>
          <w:rFonts w:ascii="Times New Roman" w:hAnsi="Times New Roman" w:cs="Times New Roman"/>
        </w:rPr>
        <w:t>rea rural consolidada: área de imóvel rural com ocupação antrópica preexistente a 22 de julho de 2008, com edificações, benfeitorias ou atividades agrossilvipastoris, admitida, neste último caso, a adoção do regime de pousio; (BRASIL, 2012, art. 3º, inciso IV).</w:t>
      </w:r>
    </w:p>
    <w:p w14:paraId="0066418B"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A escolha dessa data não foi aleatória. A literatura jurídica explica que o dia 22 de julho de 2008 corresponde à "promulgação no ordenamento jurídico do Decreto n. 6.514, que 'dispõe sobre as infrações e sanções administrativas ao meio ambiente'" (FELIPPE; TRENTINI, 2018, p. 82).</w:t>
      </w:r>
    </w:p>
    <w:p w14:paraId="6DED2831"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2.3.2 O impacto econômico da manutenção ou recomposição do passivo</w:t>
      </w:r>
    </w:p>
    <w:p w14:paraId="3E2BD092"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recomposição de áreas abertas para atingir o patamar de 80% de Reserva Legal gera um forte impacto financeiro devido ao custo de oportunidade da terra que deixaria de produzir. Autores apontam que a rigorosidade das leis anteriores e a inviabilidade econômica de paralisar a produção motivaram o descumprimento histórico:</w:t>
      </w:r>
    </w:p>
    <w:p w14:paraId="31ED4123"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Apesar da importância das reservas legais [...] em virtude da falta de tecnologia ou insumos para a restauração, dos custos de oportunidade e da ausência de aplicação rigorosa do antigo Código Florestal, muitos proprietários de terra optavam por descumprir a lei e acumular passivos ou multas. (PORTO; SANTOS, 2017, p. 930).</w:t>
      </w:r>
    </w:p>
    <w:p w14:paraId="75E8BC38"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Durante os debates para a aprovação do Novo Código Florestal, o argumento econômico foi central. A necessidade de definir as áreas consolidadas decorreu da "inviabilidade econômica dos pequenos e médios produtores rurais" (PETERS; PANASOLO, 2014 apud FELIPPE; TRENTINI, 2018, p. 79), uma vez que exigir a recuperação total de áreas historicamente ocupadas "significaria perda para a agricultura nacional e injustiça para muitos agricultores" (SOS FLORESTAS, 2011 apud FELIPPE; TRENTINI, 2018, p. 84).</w:t>
      </w:r>
    </w:p>
    <w:p w14:paraId="7C89AEBF"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2.3.3 O impacto jurídico do passivo consolidado</w:t>
      </w:r>
    </w:p>
    <w:p w14:paraId="6324795D" w14:textId="40BC857B"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lastRenderedPageBreak/>
        <w:t>Do ponto de vista jurídico, o marco de 2008 gerou intensa controvérsia constitucional, pois flexibilizou as punições para quem desmatou a Reserva Legal além do limite permitido antes daquela data. A doutrina e a jurisprudência debateram se isso configuraria uma anistia inconstitucional aos infratores:</w:t>
      </w:r>
      <w:r>
        <w:rPr>
          <w:rFonts w:ascii="Times New Roman" w:hAnsi="Times New Roman" w:cs="Times New Roman"/>
        </w:rPr>
        <w:t xml:space="preserve"> </w:t>
      </w:r>
      <w:r w:rsidRPr="00EE2C45">
        <w:rPr>
          <w:rFonts w:ascii="Times New Roman" w:hAnsi="Times New Roman" w:cs="Times New Roman"/>
        </w:rPr>
        <w:t>O Novo Código Florestal isentou de multa todos os desmatamentos ilegais realizados antes de 22 de julho de 2008, mas exigiu que as propriedades superiores a quatro módulos fiscais regularizassem sua situação no futuro. (PORTO; SANTOS, 2017, p. 930).</w:t>
      </w:r>
    </w:p>
    <w:p w14:paraId="0950D33C"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legalidade dessa anistia foi questionada sob a alegação de que a "adoção do marco de 22 de julho de 2008 concede anistia aos infratores ambientais, pois permite que aqueles que praticaram ilícitos em momento anterior ao Decreto possam regularizar sua situação" (FELIPPE; TRENTINI, 2018, p. 82).</w:t>
      </w:r>
    </w:p>
    <w:p w14:paraId="7CC44E3B" w14:textId="77777777" w:rsid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Contudo, no julgamento das Ações Diretas de Inconstitucionalidade (ADIs) pelo Supremo Tribunal Federal (STF), o marco de 2008 foi validado sob a justificativa de que ele serviria para "induzir os agentes que tenham praticado determinados delitos ambientais antes de 22/07/2008 a solver o seu passivo ambiental", vinculando a suspensão da punibilidade à assinatura de termos de compromisso de regularização (BRASIL, 2018 apud FELIPPE; TRENTINI, 2018, p. 83-84).</w:t>
      </w:r>
    </w:p>
    <w:p w14:paraId="62F303E3" w14:textId="77777777" w:rsidR="00447203" w:rsidRPr="00447203" w:rsidRDefault="00447203" w:rsidP="003D0CAE">
      <w:pPr>
        <w:spacing w:before="240" w:line="360" w:lineRule="auto"/>
        <w:jc w:val="both"/>
        <w:rPr>
          <w:rFonts w:ascii="Times New Roman" w:hAnsi="Times New Roman" w:cs="Times New Roman"/>
        </w:rPr>
      </w:pPr>
      <w:r w:rsidRPr="00447203">
        <w:rPr>
          <w:rFonts w:ascii="Times New Roman" w:hAnsi="Times New Roman" w:cs="Times New Roman"/>
          <w:b/>
          <w:bCs/>
        </w:rPr>
        <w:t>2.3.4 A diferenciação por módulos fiscais e o benefício do artigo 67</w:t>
      </w:r>
    </w:p>
    <w:p w14:paraId="1FE8FFB9"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A Lei nº 12.651/2012 (Novo Código Florestal) estabeleceu uma clara distinção no tratamento do passivo ambiental com base no tamanho do imóvel rural, utilizando o módulo fiscal (MF) como unidade de medida. A legislação garantiu um regime mais flexível para as pequenas propriedades, estendendo esse tratamento diferenciado "às propriedades e posses rurais com até 4 (quatro) módulos fiscais que desenvolvam atividades agrossilvipastoris" (BRASIL, 2012).</w:t>
      </w:r>
    </w:p>
    <w:p w14:paraId="48A71108"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O principal benefício concedido a essa categoria diz respeito à recomposição da Reserva Legal (RL). Para solucionar o passivo histórico dos pequenos produtores, o Artigo 67 desobrigou os imóveis de até 4 MF de atingirem os percentuais originais exigidos pela lei (como os 80% na Amazônia), consolidando a RL no patamar exato da vegetação que restava no marco temporal:</w:t>
      </w:r>
    </w:p>
    <w:p w14:paraId="4C453BEB" w14:textId="77777777" w:rsidR="00447203" w:rsidRPr="00447203" w:rsidRDefault="00447203" w:rsidP="003D0CAE">
      <w:pPr>
        <w:spacing w:before="240" w:line="360" w:lineRule="auto"/>
        <w:ind w:left="2268"/>
        <w:jc w:val="both"/>
        <w:rPr>
          <w:rFonts w:ascii="Times New Roman" w:hAnsi="Times New Roman" w:cs="Times New Roman"/>
          <w:sz w:val="20"/>
          <w:szCs w:val="20"/>
        </w:rPr>
      </w:pPr>
      <w:r w:rsidRPr="00447203">
        <w:rPr>
          <w:rFonts w:ascii="Times New Roman" w:hAnsi="Times New Roman" w:cs="Times New Roman"/>
          <w:sz w:val="20"/>
          <w:szCs w:val="20"/>
        </w:rPr>
        <w:t xml:space="preserve">Nos imóveis rurais que detinham, em 22 de julho de 2008, área de até 4 (quatro) módulos fiscais e que possuam remanescente de vegetação nativa em percentuais inferiores ao previsto no art. 12, a Reserva Legal será constituída com a área ocupada </w:t>
      </w:r>
      <w:r w:rsidRPr="00447203">
        <w:rPr>
          <w:rFonts w:ascii="Times New Roman" w:hAnsi="Times New Roman" w:cs="Times New Roman"/>
          <w:sz w:val="20"/>
          <w:szCs w:val="20"/>
        </w:rPr>
        <w:lastRenderedPageBreak/>
        <w:t>com a vegetação nativa existente em 22 de julho de 2008, vedadas novas conversões para uso alternativo do solo (BRASIL, 2012).</w:t>
      </w:r>
    </w:p>
    <w:p w14:paraId="17188250"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Isso significa que, se um pequeno imóvel havia desmatado além do limite antes de 2008, o seu déficit de Reserva Legal é automaticamente perdoado e consolidado, não havendo exigência legal de recomposição, regeneração ou compensação de novas áreas, desde que não haja novos desmatamentos.</w:t>
      </w:r>
    </w:p>
    <w:p w14:paraId="224BE5AC"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Em nítido contraste, as propriedades médias e grandes não possuem o benefício de congelar sua Reserva Legal no percentual existente em 2008. A literatura acadêmica destaca essa distinção apontando que o Novo Código Florestal "isentou de multa todos os desmatamentos ilegais realizados antes de 22 de julho de 2008, mas exigiu que as propriedades superiores a quatro módulos fiscais regularizassem sua situação no futuro" (PORTO; SANTOS, 2017).</w:t>
      </w:r>
    </w:p>
    <w:p w14:paraId="452A35A6" w14:textId="7885FD72" w:rsidR="00447203" w:rsidRPr="00EE2C45"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Como os imóveis maiores que 4 MF não foram desobrigados de recompor seus passivos de Reserva Legal, são eles que concentram o montante do passivo ambiental a ser recuperado ou compensado no país. Na Amazônia Legal, onde a exigência chega a 80% em áreas de floresta, esse ônus de recomposição tornou-se um grande impasse econômico. É exatamente para equacionar esse passivo consolidado que o Artigo 12 se torna fundamental, permitindo que o poder público estadual reduza a Reserva Legal para até 50% para fins de recomposição, desde que cumpridos os critérios do Zoneamento Ecológico-Econômico (BRASIL, 2012).</w:t>
      </w:r>
    </w:p>
    <w:p w14:paraId="0773248A" w14:textId="599BAD4A"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 xml:space="preserve">2.4 </w:t>
      </w:r>
      <w:r w:rsidR="00D97E04" w:rsidRPr="00D97E04">
        <w:rPr>
          <w:rFonts w:ascii="Times New Roman" w:hAnsi="Times New Roman" w:cs="Times New Roman"/>
        </w:rPr>
        <w:t>FUNDAMENTAÇÃO LEGAL DA FLEXIBILIZAÇÃO: O ARTIGO 12 E O ZEE-PA</w:t>
      </w:r>
    </w:p>
    <w:p w14:paraId="4EA3FD78"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Lei nº 12.651/2012 (Novo Código Florestal) estabelece a exigência de 80% de Reserva Legal (RL) para imóveis rurais localizados em áreas de floresta na Amazônia Legal. No entanto, a própria lei previu mecanismos para flexibilizar e reduzir esse percentual para até 50%, com fins de recomposição, condicionando essa redução a critérios territoriais de conservação e à existência do Zoneamento Ecológico-Econômico (ZEE).</w:t>
      </w:r>
    </w:p>
    <w:p w14:paraId="043FC6C1"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2.4.1 Os critérios de porcentagem de áreas protegidas (Artigo 12)</w:t>
      </w:r>
    </w:p>
    <w:p w14:paraId="1DB88BA5"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A legislação federal estabelece duas hipóteses principais em que o poder público pode autorizar a redução da Reserva Legal de 80% para até 50% na Amazônia Legal:</w:t>
      </w:r>
    </w:p>
    <w:p w14:paraId="4BD1EEE4" w14:textId="77777777" w:rsidR="00EE2C45" w:rsidRPr="00EE2C45" w:rsidRDefault="00EE2C45" w:rsidP="003D0CAE">
      <w:pPr>
        <w:spacing w:after="0" w:line="360" w:lineRule="auto"/>
        <w:jc w:val="both"/>
        <w:rPr>
          <w:rFonts w:ascii="Times New Roman" w:hAnsi="Times New Roman" w:cs="Times New Roman"/>
        </w:rPr>
      </w:pPr>
      <w:r w:rsidRPr="00EE2C45">
        <w:rPr>
          <w:rFonts w:ascii="Times New Roman" w:hAnsi="Times New Roman" w:cs="Times New Roman"/>
        </w:rPr>
        <w:t>a) critério municipal (50%):</w:t>
      </w:r>
    </w:p>
    <w:p w14:paraId="4FC67246"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 xml:space="preserve">o poder público poderá reduzir a Reserva Legal para até 50% (cinquenta por cento), para fins de recomposição, quando o Município tiver mais de 50% (cinquenta por </w:t>
      </w:r>
      <w:r w:rsidRPr="00EE2C45">
        <w:rPr>
          <w:rFonts w:ascii="Times New Roman" w:hAnsi="Times New Roman" w:cs="Times New Roman"/>
          <w:sz w:val="20"/>
          <w:szCs w:val="20"/>
        </w:rPr>
        <w:lastRenderedPageBreak/>
        <w:t>cento) da área ocupada por unidades de conservação da natureza de domínio público e por terras indígenas homologadas (BRASIL, 2012, art. 12, § 4º);</w:t>
      </w:r>
    </w:p>
    <w:p w14:paraId="0B1AD248" w14:textId="77777777" w:rsidR="00EE2C45" w:rsidRPr="00EE2C45" w:rsidRDefault="00EE2C45" w:rsidP="003D0CAE">
      <w:pPr>
        <w:spacing w:after="0" w:line="360" w:lineRule="auto"/>
        <w:jc w:val="both"/>
        <w:rPr>
          <w:rFonts w:ascii="Times New Roman" w:hAnsi="Times New Roman" w:cs="Times New Roman"/>
        </w:rPr>
      </w:pPr>
      <w:r w:rsidRPr="00EE2C45">
        <w:rPr>
          <w:rFonts w:ascii="Times New Roman" w:hAnsi="Times New Roman" w:cs="Times New Roman"/>
        </w:rPr>
        <w:t>b) critério estadual (65% e ZEE):</w:t>
      </w:r>
    </w:p>
    <w:p w14:paraId="1F01C862"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o poder público estadual, ouvido o Conselho Estadual de Meio Ambiente, poderá reduzir a Reserva Legal para até 50% (cinquenta por cento), quando o Estado tiver Zoneamento Ecológico-Econômico aprovado e mais de 65% (sessenta e cinco por cento) do seu território ocupado por unidades de conservação da natureza de domínio público, devidamente regularizadas, e por terras indígenas homologadas (BRASIL, 2012, art. 12, § 5º).</w:t>
      </w:r>
    </w:p>
    <w:p w14:paraId="2271223B"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2.4.2 A aplicação do Zoneamento Ecológico-Econômico (ZEE) no Pará</w:t>
      </w:r>
    </w:p>
    <w:p w14:paraId="693B07F9"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O Estado do Pará utilizou esse dispositivo valendo-se da aprovação de seus Zoneamentos Ecológico-Econômicos para permitir a regularização de passivos ambientais em áreas onde a produção rural já estava estabelecida. A normatização estadual evidencia a aplicação dessa redução em diferentes regiões do estado amparada pelo ZEE:</w:t>
      </w:r>
    </w:p>
    <w:p w14:paraId="18ADD3CB" w14:textId="77777777" w:rsidR="00EE2C45" w:rsidRPr="00EE2C45" w:rsidRDefault="00EE2C45" w:rsidP="003D0CAE">
      <w:pPr>
        <w:spacing w:before="240" w:line="360" w:lineRule="auto"/>
        <w:ind w:left="2127"/>
        <w:jc w:val="both"/>
        <w:rPr>
          <w:rFonts w:ascii="Times New Roman" w:hAnsi="Times New Roman" w:cs="Times New Roman"/>
          <w:sz w:val="20"/>
          <w:szCs w:val="20"/>
        </w:rPr>
      </w:pPr>
      <w:r w:rsidRPr="00EE2C45">
        <w:rPr>
          <w:rFonts w:ascii="Times New Roman" w:hAnsi="Times New Roman" w:cs="Times New Roman"/>
          <w:sz w:val="20"/>
          <w:szCs w:val="20"/>
        </w:rPr>
        <w:t>O art. 8º da Lei Estadual nº 7.243, de 9 de janeiro de 2009, do Estado do Pará, que dispõe sobre o Zoneamento Ecológico-Econômico da área de influência das rodovias BR-163 (Cuiabá/Santarém) e BR-230 (Transamazônica) - Zona Oeste [...] indicou o redimensionamento da área de reserva legal de 80% para até 50% nas áreas rurais consolidadas; (PARÁ, 2015).</w:t>
      </w:r>
    </w:p>
    <w:p w14:paraId="5FA2E1A5"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Da mesma forma, para as Zonas Leste e Calha Norte, o Estado aprovou a Lei nº 7.398/2010, na qual ficou estabelecido o redimensionamento da RL:</w:t>
      </w:r>
    </w:p>
    <w:p w14:paraId="06B75B0D"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Nos imóveis rurais situados nas áreas de uso consolidado e/ou a consolidar, delimitadas no Mapa de Gestão do Território deste ZEE fica indicado o redimensionamento, para fins de recomposição, da reserva legal para até 50% da propriedade, nos termos da legislação em vigor (PARÁ, 2010, art. 8º).</w:t>
      </w:r>
    </w:p>
    <w:p w14:paraId="432CA89C"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Para que o proprietário rural paraense possa usufruir dessa redução de 80% para 50%, a lei do ZEE (Lei nº 7.398/2010) exige, entre outros requisitos, a "apresentação de proposta de regularização ambiental do imóvel junto ao órgão estadual de meio ambiente e o seu ingresso no Cadastro Ambiental Rural", além da "celebração de compromisso de recuperação ou regeneração integral das Áreas de Preservação Permanente" (PARÁ, 2010, art. 8º, incisos I e II).</w:t>
      </w:r>
    </w:p>
    <w:p w14:paraId="234D4CEE"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 xml:space="preserve">Essa adequação estadual foi posteriormente respaldada pela União através de um Decreto Federal de 24 de abril de 2013, "que autoriza a redução da Reserva Legal de imóveis </w:t>
      </w:r>
      <w:r w:rsidRPr="00EE2C45">
        <w:rPr>
          <w:rFonts w:ascii="Times New Roman" w:hAnsi="Times New Roman" w:cs="Times New Roman"/>
        </w:rPr>
        <w:lastRenderedPageBreak/>
        <w:t>rurais situados nas Zonas de Consolidação I, II e III, definidas na Lei Estadual Nº 7.398, de 16 de abril de 2010, do Estado do Pará [...] para fins de regularização" (PARÁ, 2015).</w:t>
      </w:r>
    </w:p>
    <w:p w14:paraId="3298D7D5" w14:textId="77777777" w:rsidR="00312AA8" w:rsidRPr="00DD24CC" w:rsidRDefault="00312AA8" w:rsidP="003D0CAE">
      <w:pPr>
        <w:spacing w:before="240" w:line="360" w:lineRule="auto"/>
        <w:jc w:val="both"/>
        <w:rPr>
          <w:rFonts w:ascii="Times New Roman" w:hAnsi="Times New Roman" w:cs="Times New Roman"/>
        </w:rPr>
      </w:pPr>
      <w:r w:rsidRPr="00DD24CC">
        <w:rPr>
          <w:rFonts w:ascii="Times New Roman" w:hAnsi="Times New Roman" w:cs="Times New Roman"/>
        </w:rPr>
        <w:t>2.5 JUSTIFICATIVA TÉCNICA E GEOTECNOLÓGICA DA ANÁLISE DE PASSIVOS AMBIENTAIS</w:t>
      </w:r>
    </w:p>
    <w:p w14:paraId="55724ED3"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A confiabilidade do sensoriamento remoto para a verificação de passivos ambientais e o monitoramento do Cadastro Ambiental Rural (CAR) repousa na alta precisão espacial, no rigor do georreferenciamento e na capacidade de reconstituir cenários históricos através de séries temporais de imagens. Os argumentos técnicos que validam seu uso dividem-se em quatro pilares principais:</w:t>
      </w:r>
    </w:p>
    <w:p w14:paraId="1D46D649" w14:textId="77777777" w:rsidR="00826E92" w:rsidRPr="00826E92" w:rsidRDefault="00826E92" w:rsidP="003D0CAE">
      <w:pPr>
        <w:spacing w:before="240" w:line="360" w:lineRule="auto"/>
        <w:jc w:val="both"/>
        <w:rPr>
          <w:rFonts w:ascii="Times New Roman" w:hAnsi="Times New Roman" w:cs="Times New Roman"/>
        </w:rPr>
      </w:pPr>
      <w:r w:rsidRPr="00826E92">
        <w:rPr>
          <w:rFonts w:ascii="Times New Roman" w:hAnsi="Times New Roman" w:cs="Times New Roman"/>
          <w:b/>
          <w:bCs/>
        </w:rPr>
        <w:t>2.5.1 Alta resolução e correção geométrica de imagens</w:t>
      </w:r>
    </w:p>
    <w:p w14:paraId="41977BFF"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Os sistemas oficiais de monitoramento e cálculo de taxas de desmatamento, como o PRODES do Instituto Nacional de Pesquisas Espaciais (INPE), utilizam imagens de satélite essenciais para gerar segurança aos dados. O sistema emprega imagens "da classe Landsat", que possuem resolução espacial na faixa de 20 a 30 metros. A confiabilidade técnica provém do processamento prévio dessas imagens, pois elas:</w:t>
      </w:r>
    </w:p>
    <w:p w14:paraId="6B7CB86E" w14:textId="0EDBFE8C" w:rsidR="00826E92" w:rsidRPr="00826E92" w:rsidRDefault="00826E92" w:rsidP="003D0CAE">
      <w:pPr>
        <w:spacing w:before="240" w:line="360" w:lineRule="auto"/>
        <w:ind w:left="2127"/>
        <w:jc w:val="both"/>
        <w:rPr>
          <w:rFonts w:ascii="Times New Roman" w:hAnsi="Times New Roman" w:cs="Times New Roman"/>
          <w:sz w:val="20"/>
          <w:szCs w:val="20"/>
        </w:rPr>
      </w:pPr>
      <w:r w:rsidRPr="00826E92">
        <w:rPr>
          <w:rFonts w:ascii="Times New Roman" w:hAnsi="Times New Roman" w:cs="Times New Roman"/>
          <w:sz w:val="20"/>
          <w:szCs w:val="20"/>
        </w:rPr>
        <w:t>são disponibilizadas pelos seus provedores com correção geométrica de sistema e refinada pelo uso de pontos de controle e de modelos digitais de elevação do terreno, ou seja, consistem em imagens ortorretificadas no mais alto nível de correção geométrica, prontas para serem cruzadas com bases vetoriais sem necessidade de processamentos adicionais que poderiam gerar distorções. (INPE, 202</w:t>
      </w:r>
      <w:r w:rsidR="009E3361">
        <w:rPr>
          <w:rFonts w:ascii="Times New Roman" w:hAnsi="Times New Roman" w:cs="Times New Roman"/>
          <w:sz w:val="20"/>
          <w:szCs w:val="20"/>
        </w:rPr>
        <w:t>2</w:t>
      </w:r>
      <w:r w:rsidRPr="00826E92">
        <w:rPr>
          <w:rFonts w:ascii="Times New Roman" w:hAnsi="Times New Roman" w:cs="Times New Roman"/>
          <w:sz w:val="20"/>
          <w:szCs w:val="20"/>
        </w:rPr>
        <w:t>).</w:t>
      </w:r>
    </w:p>
    <w:p w14:paraId="2ABC4927" w14:textId="77777777" w:rsidR="00826E92" w:rsidRPr="00826E92" w:rsidRDefault="00826E92" w:rsidP="003D0CAE">
      <w:pPr>
        <w:spacing w:before="240" w:line="360" w:lineRule="auto"/>
        <w:jc w:val="both"/>
        <w:rPr>
          <w:rFonts w:ascii="Times New Roman" w:hAnsi="Times New Roman" w:cs="Times New Roman"/>
        </w:rPr>
      </w:pPr>
      <w:r w:rsidRPr="00826E92">
        <w:rPr>
          <w:rFonts w:ascii="Times New Roman" w:hAnsi="Times New Roman" w:cs="Times New Roman"/>
          <w:b/>
          <w:bCs/>
        </w:rPr>
        <w:t>2.5.2 Reconstituição histórica via séries temporais (marco de 2008)</w:t>
      </w:r>
    </w:p>
    <w:p w14:paraId="50113B75" w14:textId="00F89892"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 xml:space="preserve">Para definir se um passivo ambiental se enquadra na regra de "área rural consolidada" </w:t>
      </w:r>
      <w:r>
        <w:rPr>
          <w:rFonts w:ascii="Times New Roman" w:hAnsi="Times New Roman" w:cs="Times New Roman"/>
        </w:rPr>
        <w:t>(</w:t>
      </w:r>
      <w:r w:rsidRPr="00FF32BB">
        <w:rPr>
          <w:rFonts w:ascii="Times New Roman" w:hAnsi="Times New Roman" w:cs="Times New Roman"/>
        </w:rPr>
        <w:t xml:space="preserve">categorizada pela lei como a "área de imóvel rural com ocupação antrópica preexistente a 22 de julho de 2008" </w:t>
      </w:r>
      <w:r>
        <w:rPr>
          <w:rFonts w:ascii="Times New Roman" w:hAnsi="Times New Roman" w:cs="Times New Roman"/>
        </w:rPr>
        <w:t>[</w:t>
      </w:r>
      <w:r w:rsidRPr="00FF32BB">
        <w:rPr>
          <w:rFonts w:ascii="Times New Roman" w:hAnsi="Times New Roman" w:cs="Times New Roman"/>
        </w:rPr>
        <w:t>BRASIL, 2012</w:t>
      </w:r>
      <w:r>
        <w:rPr>
          <w:rFonts w:ascii="Times New Roman" w:hAnsi="Times New Roman" w:cs="Times New Roman"/>
        </w:rPr>
        <w:t>])</w:t>
      </w:r>
      <w:r w:rsidRPr="00FF32BB">
        <w:rPr>
          <w:rFonts w:ascii="Times New Roman" w:hAnsi="Times New Roman" w:cs="Times New Roman"/>
        </w:rPr>
        <w:t>, a reconstituição histórica deixou de ser uma mera facilidade tecnológica para se consolidar como um autêntico imperativo legal e probatório.</w:t>
      </w:r>
    </w:p>
    <w:p w14:paraId="4022E307" w14:textId="77777777"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 xml:space="preserve">No âmbito do Poder Judiciário, o Superior Tribunal de Justiça (STJ) sedimentou o entendimento de que o sensoriamento remoto possui alto valor de prova documental. Sob a égide do artigo 405 do Código de Processo Civil de 2015, a jurisprudência da Corte estabelece que imagens de satélite e mapas elaborados por órgãos do Estado enquadram-se no conceito de documento público, possuindo "presunção (relativa) de legalidade, legitimidade e veracidade" que inverte o ônus da prova contra o infrator (BRASIL, 2016). O próprio STJ destaca que, "em </w:t>
      </w:r>
      <w:r w:rsidRPr="00FF32BB">
        <w:rPr>
          <w:rFonts w:ascii="Times New Roman" w:hAnsi="Times New Roman" w:cs="Times New Roman"/>
        </w:rPr>
        <w:lastRenderedPageBreak/>
        <w:t>época de grandes avanços tecnológicos, configuraria despropósito ou formalismo supérfluo negar validade plena a imagens de satélite e mapas elaborados a partir delas" (BRASIL, 2017), tornando essa tecnologia prova hábil e suficiente para constatar a degradação ambiental histórica.</w:t>
      </w:r>
    </w:p>
    <w:p w14:paraId="156C501F" w14:textId="77777777"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Além do imperativo jurisprudencial, a esfera administrativa ratifica essa obrigatoriedade. Atos oficiais, como a Instrução Normativa nº 08/2015 da Secretaria de Estado de Meio Ambiente e Sustentabilidade do Pará (SEMAS/PA), condicionam a emissão de autorizações e o reconhecimento do passivo à apresentação de provas tecnológicas. As normativas exigem expressamente que a estimativa de idade e uso pretérito da área seja comprovada "a partir de uma série temporal anual de imagens de satélite, identificando claramente o primeiro ano em que a área apresentou cobertura completa de vegetação em regeneração" (PARÁ, 2015).</w:t>
      </w:r>
    </w:p>
    <w:p w14:paraId="32422AA0" w14:textId="77777777" w:rsid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A aplicação mandatória desse rigor em geotecnologias funciona como principal barreira probatória contra fraudes no Cadastro Ambiental Rural (CAR). Exige-se que o desmatamento histórico esteja previamente mapeado em sistemas oficiais, sendo "vedada autorização para o exercício da limpeza em área desmatada após 22 de julho de 2008" e exigindo que a conversão do solo esteja inequivocamente indicada no PRODES/INPE (PARÁ, 2015).</w:t>
      </w:r>
    </w:p>
    <w:p w14:paraId="38BCD5EC" w14:textId="004A022D" w:rsidR="00826E92" w:rsidRPr="00826E92" w:rsidRDefault="00826E92" w:rsidP="003D0CAE">
      <w:pPr>
        <w:spacing w:before="240" w:line="360" w:lineRule="auto"/>
        <w:jc w:val="both"/>
        <w:rPr>
          <w:rFonts w:ascii="Times New Roman" w:hAnsi="Times New Roman" w:cs="Times New Roman"/>
        </w:rPr>
      </w:pPr>
      <w:r w:rsidRPr="00826E92">
        <w:rPr>
          <w:rFonts w:ascii="Times New Roman" w:hAnsi="Times New Roman" w:cs="Times New Roman"/>
          <w:b/>
          <w:bCs/>
        </w:rPr>
        <w:t>2.5.3 Cálculo automatizado e monitoramento no CAR/SICAR</w:t>
      </w:r>
    </w:p>
    <w:p w14:paraId="3F67A29D"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A tecnologia é a base de funcionamento do Sistema de Cadastro Rural Ambiental (SICAR). A legislação obriga que o CAR delineie a Reserva Legal e a Área de Preservação Permanente (APP) "georreferenciadas em imagens de satélite [...] para servir de base para o monitoramento do cumprimento" (PORTO; SANTOS, 2017, p. 931). O uso dessas geotecnologias aliadas ao banco de dados eletrônico confere alta confiabilidade ao sistema, permitindo o cálculo dos passivos legais automaticamente "a partir do carregamento dos limites georreferenciados das propriedades e demarcação dos corpos d’água e remanescentes florestais".</w:t>
      </w:r>
    </w:p>
    <w:p w14:paraId="05D63FC0" w14:textId="77777777" w:rsidR="00826E92" w:rsidRPr="00826E92" w:rsidRDefault="00826E92" w:rsidP="003D0CAE">
      <w:pPr>
        <w:spacing w:before="240" w:line="360" w:lineRule="auto"/>
        <w:jc w:val="both"/>
        <w:rPr>
          <w:rFonts w:ascii="Times New Roman" w:hAnsi="Times New Roman" w:cs="Times New Roman"/>
        </w:rPr>
      </w:pPr>
      <w:r w:rsidRPr="00826E92">
        <w:rPr>
          <w:rFonts w:ascii="Times New Roman" w:hAnsi="Times New Roman" w:cs="Times New Roman"/>
          <w:b/>
          <w:bCs/>
        </w:rPr>
        <w:t>2.5.4 Uso de inteligência artificial e imagens de altíssima resolução</w:t>
      </w:r>
    </w:p>
    <w:p w14:paraId="5CC8F625" w14:textId="77777777" w:rsidR="00A67E14" w:rsidRPr="00A67E14" w:rsidRDefault="00A67E14" w:rsidP="003D0CAE">
      <w:pPr>
        <w:spacing w:after="0" w:line="360" w:lineRule="auto"/>
        <w:ind w:firstLine="709"/>
        <w:jc w:val="both"/>
        <w:rPr>
          <w:rFonts w:ascii="Times New Roman" w:hAnsi="Times New Roman" w:cs="Times New Roman"/>
        </w:rPr>
      </w:pPr>
      <w:r w:rsidRPr="00A67E14">
        <w:rPr>
          <w:rFonts w:ascii="Times New Roman" w:hAnsi="Times New Roman" w:cs="Times New Roman"/>
        </w:rPr>
        <w:t xml:space="preserve">A iniciativa MapBiomas Alerta surgiu com o intuito de agregar valor aos sistemas já existentes de monitoramento do desmatamento no Brasil, visando verificar, validar e refinar cada alerta de desmatamento para determinar seu grau de regularidade legal (MAPBIOMAS, 2022). Para que essa precisão seja alcançada, os alertas passam por um processo de agregação </w:t>
      </w:r>
      <w:r w:rsidRPr="00A67E14">
        <w:rPr>
          <w:rFonts w:ascii="Times New Roman" w:hAnsi="Times New Roman" w:cs="Times New Roman"/>
        </w:rPr>
        <w:lastRenderedPageBreak/>
        <w:t>e refinamento a partir da análise de imagens de satélite diárias da constelação PlanetScope, que possuem resolução espacial de 3 metros (MAPBIOMAS, 2022).</w:t>
      </w:r>
    </w:p>
    <w:p w14:paraId="2497DFC1" w14:textId="77777777" w:rsidR="00A67E14" w:rsidRPr="00A67E14" w:rsidRDefault="00A67E14" w:rsidP="003D0CAE">
      <w:pPr>
        <w:spacing w:after="0" w:line="360" w:lineRule="auto"/>
        <w:ind w:firstLine="709"/>
        <w:jc w:val="both"/>
        <w:rPr>
          <w:rFonts w:ascii="Times New Roman" w:hAnsi="Times New Roman" w:cs="Times New Roman"/>
        </w:rPr>
      </w:pPr>
      <w:r w:rsidRPr="00A67E14">
        <w:rPr>
          <w:rFonts w:ascii="Times New Roman" w:hAnsi="Times New Roman" w:cs="Times New Roman"/>
        </w:rPr>
        <w:t xml:space="preserve">A robustez técnica desse processo é garantida pela automação, na qual a geração do polígono refinado é realizada por meio de um algoritmo de classificação supervisionada denominado </w:t>
      </w:r>
      <w:r w:rsidRPr="00A67E14">
        <w:rPr>
          <w:rFonts w:ascii="Times New Roman" w:hAnsi="Times New Roman" w:cs="Times New Roman"/>
          <w:i/>
          <w:iCs/>
        </w:rPr>
        <w:t>Random Forest</w:t>
      </w:r>
      <w:r w:rsidRPr="00A67E14">
        <w:rPr>
          <w:rFonts w:ascii="Times New Roman" w:hAnsi="Times New Roman" w:cs="Times New Roman"/>
        </w:rPr>
        <w:t>, processado na plataforma Google Earth Engine (GEE) (MAPBIOMAS, 2022). Por fim, os polígonos dos alertas são geoprocessados e cruzados geograficamente com informações espaciais fundiárias, incluindo as áreas registradas no Cadastro Ambiental Rural (CAR) e suas respectivas delimitações de Áreas de Preservação Permanente (APP) e Reserva Legal (RL) (MAPBIOMAS, 2022). Esse cruzamento qualifica os alertas e permite a geração de laudos técnicos fundamentados, essenciais para as instituições de fiscalização (MAPBIOMAS, 2022).</w:t>
      </w:r>
    </w:p>
    <w:p w14:paraId="141B1D02"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3 METODOLOGIA</w:t>
      </w:r>
    </w:p>
    <w:p w14:paraId="221123E4" w14:textId="134FA9E5" w:rsid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Neste capítulo, detalham-se os procedimentos técnicos, as bases de dados e as ferramentas computacionais utilizadas para a quantificação do impacto da redução da Reserva Legal no Estado do Pará. A abordagem metodológica fundamenta-se na integração de grandes volumes de dados geoespaciais (</w:t>
      </w:r>
      <w:r w:rsidRPr="00B55AD7">
        <w:rPr>
          <w:rFonts w:ascii="Times New Roman" w:hAnsi="Times New Roman" w:cs="Times New Roman"/>
          <w:i/>
          <w:iCs/>
        </w:rPr>
        <w:t>Big Data</w:t>
      </w:r>
      <w:r w:rsidRPr="00B55AD7">
        <w:rPr>
          <w:rFonts w:ascii="Times New Roman" w:hAnsi="Times New Roman" w:cs="Times New Roman"/>
        </w:rPr>
        <w:t>) e no processamento em nuvem.</w:t>
      </w:r>
    </w:p>
    <w:p w14:paraId="6F34836E" w14:textId="2027E179" w:rsid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3.1 ÁREA DE ESTUDO E BASE DE DADOS</w:t>
      </w:r>
    </w:p>
    <w:p w14:paraId="5D69AAB1"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O universo de análise deste estudo abrange o território do Estado do Pará, com foco nos imóveis rurais que possuem área total superior a 4 (quatro) módulos fiscais (MF). A classificação do tamanho dos imóveis e a identificação municipal são extraídas diretamente dos atributos tabulares da base fornecida, cujos parâmetros de Módulo Fiscal seguem os índices fixados pelo Instituto Nacional de Colonização e Reforma Agrária (INCRA) para cada jurisdição municipal.</w:t>
      </w:r>
    </w:p>
    <w:p w14:paraId="39C62CA1"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Esta categorização fundamenta-se nos critérios de classificação de imóveis rurais estabelecidos pela legislação federal, que define como média propriedade o imóvel rural com área superior a 4 (quatro) e até 15 (quinze) módulos fiscais, e como grande propriedade o imóvel com área superior a 15 (quinze) módulos fiscais (BRASIL, 1993).</w:t>
      </w:r>
    </w:p>
    <w:p w14:paraId="02AAFEA6"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Os dados vetoriais do Cadastro Ambiental Rural (CAR) utilizados compõem a base institucional do IDEFLOR-Bio, disponibilizada pela Secretaria de Estado de Meio Ambiente e Sustentabilidade do Pará (SEMAS/PA) no âmbito do Processo Administrativo Eletrônico (PAE) nº 2025/2587584. Esta base fornece os limites georreferenciados necessários para a verificação do cumprimento da Reserva Legal conforme as diretrizes da Lei nº 12.651/2012.</w:t>
      </w:r>
    </w:p>
    <w:p w14:paraId="6787DA6D" w14:textId="77777777" w:rsid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lastRenderedPageBreak/>
        <w:t xml:space="preserve">Para a avaliação do uso e cobertura da terra, integraram-se dados das coleções 9 e 10 do projeto MapBiomas. A Coleção 9, baseada em sensores </w:t>
      </w:r>
      <w:r w:rsidRPr="00B55AD7">
        <w:rPr>
          <w:rFonts w:ascii="Times New Roman" w:hAnsi="Times New Roman" w:cs="Times New Roman"/>
          <w:i/>
          <w:iCs/>
        </w:rPr>
        <w:t>Landsat</w:t>
      </w:r>
      <w:r w:rsidRPr="00B55AD7">
        <w:rPr>
          <w:rFonts w:ascii="Times New Roman" w:hAnsi="Times New Roman" w:cs="Times New Roman"/>
        </w:rPr>
        <w:t xml:space="preserve"> com resolução de 30 metros, foi aplicada na validação do marco temporal de 22 de julho de 2008, requisito para a identificação de áreas rurais consolidadas. A Coleção 10 (</w:t>
      </w:r>
      <w:r w:rsidRPr="00B55AD7">
        <w:rPr>
          <w:rFonts w:ascii="Times New Roman" w:hAnsi="Times New Roman" w:cs="Times New Roman"/>
          <w:i/>
          <w:iCs/>
        </w:rPr>
        <w:t>Sentinel-2 Beta</w:t>
      </w:r>
      <w:r w:rsidRPr="00B55AD7">
        <w:rPr>
          <w:rFonts w:ascii="Times New Roman" w:hAnsi="Times New Roman" w:cs="Times New Roman"/>
        </w:rPr>
        <w:t>), com resolução de 10 metros, foi utilizada para o diagnóstico da cobertura vegetal no ano de 2022.</w:t>
      </w:r>
    </w:p>
    <w:p w14:paraId="09CE8381" w14:textId="7310C7AE" w:rsidR="00B55AD7" w:rsidRDefault="00B55AD7" w:rsidP="003D0CAE">
      <w:pPr>
        <w:spacing w:before="240" w:line="360" w:lineRule="auto"/>
        <w:jc w:val="both"/>
        <w:rPr>
          <w:rFonts w:ascii="Times New Roman" w:hAnsi="Times New Roman" w:cs="Times New Roman"/>
        </w:rPr>
      </w:pPr>
      <w:r w:rsidRPr="00B55AD7">
        <w:rPr>
          <w:rFonts w:ascii="Times New Roman" w:hAnsi="Times New Roman" w:cs="Times New Roman"/>
        </w:rPr>
        <w:t>3.2 INTEGRAÇÃO E HIGIENIZAÇÃO DE BIG DATA (ETL)</w:t>
      </w:r>
    </w:p>
    <w:p w14:paraId="480DF9B7"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O procedimento de Extração, Transformação e Carga (ETL) foi executado em linguagem </w:t>
      </w:r>
      <w:r w:rsidRPr="00B55AD7">
        <w:rPr>
          <w:rFonts w:ascii="Times New Roman" w:hAnsi="Times New Roman" w:cs="Times New Roman"/>
          <w:i/>
          <w:iCs/>
        </w:rPr>
        <w:t>Python</w:t>
      </w:r>
      <w:r w:rsidRPr="00B55AD7">
        <w:rPr>
          <w:rFonts w:ascii="Times New Roman" w:hAnsi="Times New Roman" w:cs="Times New Roman"/>
        </w:rPr>
        <w:t xml:space="preserve"> 3.10, utilizando um servidor de banco de dados </w:t>
      </w:r>
      <w:r w:rsidRPr="00B55AD7">
        <w:rPr>
          <w:rFonts w:ascii="Times New Roman" w:hAnsi="Times New Roman" w:cs="Times New Roman"/>
          <w:i/>
          <w:iCs/>
        </w:rPr>
        <w:t>PostgreSQL</w:t>
      </w:r>
      <w:r w:rsidRPr="00B55AD7">
        <w:rPr>
          <w:rFonts w:ascii="Times New Roman" w:hAnsi="Times New Roman" w:cs="Times New Roman"/>
        </w:rPr>
        <w:t xml:space="preserve"> 14 com a extensão espacial </w:t>
      </w:r>
      <w:r w:rsidRPr="00B55AD7">
        <w:rPr>
          <w:rFonts w:ascii="Times New Roman" w:hAnsi="Times New Roman" w:cs="Times New Roman"/>
          <w:i/>
          <w:iCs/>
        </w:rPr>
        <w:t>PostGIS</w:t>
      </w:r>
      <w:r w:rsidRPr="00B55AD7">
        <w:rPr>
          <w:rFonts w:ascii="Times New Roman" w:hAnsi="Times New Roman" w:cs="Times New Roman"/>
        </w:rPr>
        <w:t xml:space="preserve"> 3.2. A conexão ao banco de dados ocorreu via biblioteca </w:t>
      </w:r>
      <w:r w:rsidRPr="00B55AD7">
        <w:rPr>
          <w:rFonts w:ascii="Times New Roman" w:hAnsi="Times New Roman" w:cs="Times New Roman"/>
          <w:i/>
          <w:iCs/>
        </w:rPr>
        <w:t>SQLAlchemy</w:t>
      </w:r>
      <w:r w:rsidRPr="00B55AD7">
        <w:rPr>
          <w:rFonts w:ascii="Times New Roman" w:hAnsi="Times New Roman" w:cs="Times New Roman"/>
        </w:rPr>
        <w:t xml:space="preserve"> com o </w:t>
      </w:r>
      <w:r w:rsidRPr="00B55AD7">
        <w:rPr>
          <w:rFonts w:ascii="Times New Roman" w:hAnsi="Times New Roman" w:cs="Times New Roman"/>
          <w:i/>
          <w:iCs/>
        </w:rPr>
        <w:t>driver psycopg2-binary</w:t>
      </w:r>
      <w:r w:rsidRPr="00B55AD7">
        <w:rPr>
          <w:rFonts w:ascii="Times New Roman" w:hAnsi="Times New Roman" w:cs="Times New Roman"/>
        </w:rPr>
        <w:t>, permitindo a consulta direta à tabela institucional. A rotina de extração aplicou um filtro condicional para isolar exclusivamente os registros categorizados como "Acima de 4MF".</w:t>
      </w:r>
    </w:p>
    <w:p w14:paraId="5B31BBEB"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Durante a etapa de transformação, processou-se a limpeza das geometrias para assegurar a compatibilidade com o processamento em nuvem. A tabela original continha dois campos geométricos (polígonos e pontos representativos); como o formato </w:t>
      </w:r>
      <w:r w:rsidRPr="00B55AD7">
        <w:rPr>
          <w:rFonts w:ascii="Times New Roman" w:hAnsi="Times New Roman" w:cs="Times New Roman"/>
          <w:i/>
          <w:iCs/>
        </w:rPr>
        <w:t>ESRI Shapefile</w:t>
      </w:r>
      <w:r w:rsidRPr="00B55AD7">
        <w:rPr>
          <w:rFonts w:ascii="Times New Roman" w:hAnsi="Times New Roman" w:cs="Times New Roman"/>
        </w:rPr>
        <w:t xml:space="preserve"> admite apenas um tipo geométrico por arquivo, a coluna de pontos foi removida. Adicionalmente, realizou-se a higienização dos metadados através do truncamento dos nomes das colunas e a conversão de tipos de dados para evitar inconsistências durante a ingestão na plataforma </w:t>
      </w:r>
      <w:r w:rsidRPr="00B55AD7">
        <w:rPr>
          <w:rFonts w:ascii="Times New Roman" w:hAnsi="Times New Roman" w:cs="Times New Roman"/>
          <w:i/>
          <w:iCs/>
        </w:rPr>
        <w:t>Google Earth Engine</w:t>
      </w:r>
      <w:r w:rsidRPr="00B55AD7">
        <w:rPr>
          <w:rFonts w:ascii="Times New Roman" w:hAnsi="Times New Roman" w:cs="Times New Roman"/>
        </w:rPr>
        <w:t xml:space="preserve"> (GEE).</w:t>
      </w:r>
    </w:p>
    <w:p w14:paraId="76F61452" w14:textId="27517EF4" w:rsidR="00B55AD7" w:rsidRPr="00DD24CC"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A carga dos dados consistiu na exportação do </w:t>
      </w:r>
      <w:r w:rsidRPr="00B55AD7">
        <w:rPr>
          <w:rFonts w:ascii="Times New Roman" w:hAnsi="Times New Roman" w:cs="Times New Roman"/>
          <w:i/>
          <w:iCs/>
        </w:rPr>
        <w:t>GeoDataFrame</w:t>
      </w:r>
      <w:r w:rsidRPr="00B55AD7">
        <w:rPr>
          <w:rFonts w:ascii="Times New Roman" w:hAnsi="Times New Roman" w:cs="Times New Roman"/>
        </w:rPr>
        <w:t xml:space="preserve"> utilizando o motor </w:t>
      </w:r>
      <w:r w:rsidRPr="00B55AD7">
        <w:rPr>
          <w:rFonts w:ascii="Times New Roman" w:hAnsi="Times New Roman" w:cs="Times New Roman"/>
          <w:i/>
          <w:iCs/>
        </w:rPr>
        <w:t>pyogrio</w:t>
      </w:r>
      <w:r w:rsidRPr="00B55AD7">
        <w:rPr>
          <w:rFonts w:ascii="Times New Roman" w:hAnsi="Times New Roman" w:cs="Times New Roman"/>
        </w:rPr>
        <w:t xml:space="preserve"> pela sua superioridade em performance de escrita vetorial. Os arquivos resultantes foram consolidados para </w:t>
      </w:r>
      <w:r w:rsidRPr="00B55AD7">
        <w:rPr>
          <w:rFonts w:ascii="Times New Roman" w:hAnsi="Times New Roman" w:cs="Times New Roman"/>
          <w:i/>
          <w:iCs/>
        </w:rPr>
        <w:t>upload</w:t>
      </w:r>
      <w:r w:rsidRPr="00B55AD7">
        <w:rPr>
          <w:rFonts w:ascii="Times New Roman" w:hAnsi="Times New Roman" w:cs="Times New Roman"/>
        </w:rPr>
        <w:t xml:space="preserve"> como </w:t>
      </w:r>
      <w:r w:rsidRPr="00B55AD7">
        <w:rPr>
          <w:rFonts w:ascii="Times New Roman" w:hAnsi="Times New Roman" w:cs="Times New Roman"/>
          <w:i/>
          <w:iCs/>
        </w:rPr>
        <w:t>Asset</w:t>
      </w:r>
      <w:r w:rsidRPr="00B55AD7">
        <w:rPr>
          <w:rFonts w:ascii="Times New Roman" w:hAnsi="Times New Roman" w:cs="Times New Roman"/>
        </w:rPr>
        <w:t xml:space="preserve"> no GEE. Todo o código-fonte desenvolvido para esta automação está documentado e hospedado em repositório público do projeto.</w:t>
      </w:r>
    </w:p>
    <w:p w14:paraId="7DB81075" w14:textId="77777777" w:rsidR="00B402DF" w:rsidRPr="00B402DF" w:rsidRDefault="00B402DF" w:rsidP="003D0CAE">
      <w:pPr>
        <w:spacing w:before="240" w:line="360" w:lineRule="auto"/>
        <w:jc w:val="both"/>
        <w:rPr>
          <w:rFonts w:ascii="Times New Roman" w:hAnsi="Times New Roman" w:cs="Times New Roman"/>
          <w:b/>
          <w:bCs/>
        </w:rPr>
      </w:pPr>
      <w:r w:rsidRPr="00B402DF">
        <w:rPr>
          <w:rFonts w:ascii="Times New Roman" w:hAnsi="Times New Roman" w:cs="Times New Roman"/>
          <w:b/>
          <w:bCs/>
        </w:rPr>
        <w:t>3.3 Processamento em Nuvem e Modelagem de Cenários</w:t>
      </w:r>
    </w:p>
    <w:p w14:paraId="195C4920" w14:textId="77777777"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 xml:space="preserve">Os dados higienizados e carregados como </w:t>
      </w:r>
      <w:r w:rsidRPr="00B402DF">
        <w:rPr>
          <w:rFonts w:ascii="Times New Roman" w:hAnsi="Times New Roman" w:cs="Times New Roman"/>
          <w:i/>
          <w:iCs/>
        </w:rPr>
        <w:t>Asset</w:t>
      </w:r>
      <w:r w:rsidRPr="00B402DF">
        <w:rPr>
          <w:rFonts w:ascii="Times New Roman" w:hAnsi="Times New Roman" w:cs="Times New Roman"/>
        </w:rPr>
        <w:t xml:space="preserve"> foram processados através de algoritmos de redução zonal (</w:t>
      </w:r>
      <w:r w:rsidRPr="00B402DF">
        <w:rPr>
          <w:rFonts w:ascii="Times New Roman" w:hAnsi="Times New Roman" w:cs="Times New Roman"/>
          <w:i/>
          <w:iCs/>
        </w:rPr>
        <w:t>Zonal Statistics</w:t>
      </w:r>
      <w:r w:rsidRPr="00B402DF">
        <w:rPr>
          <w:rFonts w:ascii="Times New Roman" w:hAnsi="Times New Roman" w:cs="Times New Roman"/>
        </w:rPr>
        <w:t>). Inicialmente, aplicou-se um recorte espacial (</w:t>
      </w:r>
      <w:r w:rsidRPr="00B402DF">
        <w:rPr>
          <w:rFonts w:ascii="Times New Roman" w:hAnsi="Times New Roman" w:cs="Times New Roman"/>
          <w:i/>
          <w:iCs/>
        </w:rPr>
        <w:t>clip</w:t>
      </w:r>
      <w:r w:rsidRPr="00B402DF">
        <w:rPr>
          <w:rFonts w:ascii="Times New Roman" w:hAnsi="Times New Roman" w:cs="Times New Roman"/>
        </w:rPr>
        <w:t>) utilizando o limite político-administrativo do Estado do Pará para otimizar a performance computacional e garantir o foco na jurisdição de interesse. O diagnóstico de vegetação nativa foi realizado mediante o mascaramento das classes de cobertura florestal e não florestal (Classes 3, 4, 5, 11, 12 e 32 do MapBiomas), gerando camadas binárias de presença ou ausência de vegetação para os anos de 2008 e 2022.</w:t>
      </w:r>
    </w:p>
    <w:p w14:paraId="046E0468" w14:textId="454E0C2E"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lastRenderedPageBreak/>
        <w:t xml:space="preserve">A operação de cruzamento espacial foi executada por meio da função reduceRegions, utilizando uma escala de 30 metros para manter a compatibilidade com o marco temporal de 2008. Para cada polígono de imóvel rural, o algoritmo calculou a soma dos pixels de vegetação nativa, convertendo o resultado para hectares através do produto da contagem de pixels pela área unitária de cada pixel </w:t>
      </w:r>
      <m:oMath>
        <m:d>
          <m:dPr>
            <m:ctrlPr>
              <w:rPr>
                <w:rFonts w:ascii="Cambria Math" w:hAnsi="Cambria Math" w:cs="Times New Roman"/>
                <w:i/>
              </w:rPr>
            </m:ctrlPr>
          </m:dPr>
          <m:e>
            <m:r>
              <w:rPr>
                <w:rFonts w:ascii="Cambria Math" w:hAnsi="Cambria Math" w:cs="Times New Roman"/>
              </w:rPr>
              <m:t>ee.Image.pixelArea</m:t>
            </m:r>
            <m:d>
              <m:dPr>
                <m:ctrlPr>
                  <w:rPr>
                    <w:rFonts w:ascii="Cambria Math" w:hAnsi="Cambria Math" w:cs="Times New Roman"/>
                    <w:i/>
                  </w:rPr>
                </m:ctrlPr>
              </m:dPr>
              <m:e/>
            </m:d>
          </m:e>
        </m:d>
        <m:r>
          <w:rPr>
            <w:rFonts w:ascii="Cambria Math" w:hAnsi="Cambria Math" w:cs="Times New Roman"/>
          </w:rPr>
          <m:t>.</m:t>
        </m:r>
      </m:oMath>
      <w:r w:rsidRPr="00B402DF">
        <w:rPr>
          <w:rFonts w:ascii="Times New Roman" w:hAnsi="Times New Roman" w:cs="Times New Roman"/>
        </w:rPr>
        <w:t>Devido à origem dos dados tabulares provenientes de sistemas locais (DBeaver/PostgreSQL), implementou-se uma rotina de tratamento de tipos no GEE para converter cadeias de caracteres (</w:t>
      </w:r>
      <w:r w:rsidRPr="00B402DF">
        <w:rPr>
          <w:rFonts w:ascii="Times New Roman" w:hAnsi="Times New Roman" w:cs="Times New Roman"/>
          <w:i/>
          <w:iCs/>
        </w:rPr>
        <w:t>Strings</w:t>
      </w:r>
      <w:r w:rsidRPr="00B402DF">
        <w:rPr>
          <w:rFonts w:ascii="Times New Roman" w:hAnsi="Times New Roman" w:cs="Times New Roman"/>
        </w:rPr>
        <w:t>) em valores numéricos (</w:t>
      </w:r>
      <w:r w:rsidRPr="00B402DF">
        <w:rPr>
          <w:rFonts w:ascii="Times New Roman" w:hAnsi="Times New Roman" w:cs="Times New Roman"/>
          <w:i/>
          <w:iCs/>
        </w:rPr>
        <w:t>Numbers</w:t>
      </w:r>
      <w:r w:rsidRPr="00B402DF">
        <w:rPr>
          <w:rFonts w:ascii="Times New Roman" w:hAnsi="Times New Roman" w:cs="Times New Roman"/>
        </w:rPr>
        <w:t>), corrigindo a divergência entre o separador decimal de vírgula e o padrão de ponto exigido pelo motor de cálculo da plataforma.</w:t>
      </w:r>
    </w:p>
    <w:p w14:paraId="0BABAA9A" w14:textId="77777777"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A modelagem matemática dos cenários de conformidade ambiental seguiu a lógica de comparação entre a exigência padrão e a flexibilização permitida pelo Artigo 12 da Lei nº 12.651/2012. As equações foram estruturadas da seguinte forma:</w:t>
      </w:r>
    </w:p>
    <w:p w14:paraId="53BC9EDA" w14:textId="77777777"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Déficit no Cenário Padrão (80%):</w:t>
      </w:r>
    </w:p>
    <w:p w14:paraId="4FFBEDAB" w14:textId="248E7ABF" w:rsidR="00F56739" w:rsidRP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80</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r>
                        <m:rPr>
                          <m:sty m:val="p"/>
                        </m:rPr>
                        <w:rPr>
                          <w:rFonts w:ascii="Cambria Math" w:hAnsi="Cambria Math" w:cs="Times New Roman"/>
                        </w:rPr>
                        <m:t>×</m:t>
                      </m:r>
                      <m:r>
                        <w:rPr>
                          <w:rFonts w:ascii="Cambria Math" w:hAnsi="Cambria Math" w:cs="Times New Roman"/>
                        </w:rPr>
                        <m:t>0.8</m:t>
                      </m:r>
                    </m:e>
                  </m:d>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1C8F7B67" w14:textId="0BAB9190"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Déficit no Cenário Flexibilizado (50%):</w:t>
      </w:r>
    </w:p>
    <w:p w14:paraId="4AF3AB92" w14:textId="285416F6" w:rsidR="00F56739" w:rsidRP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50</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r>
                        <m:rPr>
                          <m:sty m:val="p"/>
                        </m:rPr>
                        <w:rPr>
                          <w:rFonts w:ascii="Cambria Math" w:hAnsi="Cambria Math" w:cs="Times New Roman"/>
                        </w:rPr>
                        <m:t>×</m:t>
                      </m:r>
                      <m:r>
                        <w:rPr>
                          <w:rFonts w:ascii="Cambria Math" w:hAnsi="Cambria Math" w:cs="Times New Roman"/>
                        </w:rPr>
                        <m:t>0.5</m:t>
                      </m:r>
                    </m:e>
                  </m:d>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43BB8F67" w14:textId="5D100744"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Identificação do Passivo Não Consolidado:</w:t>
      </w:r>
    </w:p>
    <w:p w14:paraId="24F80D46" w14:textId="5BE27979" w:rsid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rPr>
                <m:t>Passivo</m:t>
              </m:r>
              <m:ctrlPr>
                <w:rPr>
                  <w:rFonts w:ascii="Cambria Math" w:hAnsi="Cambria Math" w:cs="Times New Roman"/>
                </w:rPr>
              </m:ctrlPr>
            </m:e>
            <m:sub>
              <m:r>
                <w:rPr>
                  <w:rFonts w:ascii="Cambria Math" w:hAnsi="Cambria Math" w:cs="Times New Roman"/>
                </w:rPr>
                <m:t>N</m:t>
              </m:r>
              <m:r>
                <m:rPr>
                  <m:lit/>
                </m:rPr>
                <w:rPr>
                  <w:rFonts w:ascii="Cambria Math" w:hAnsi="Cambria Math" w:cs="Times New Roman"/>
                </w:rPr>
                <m:t>_</m:t>
              </m:r>
              <m:r>
                <w:rPr>
                  <w:rFonts w:ascii="Cambria Math" w:hAnsi="Cambria Math" w:cs="Times New Roman"/>
                </w:rPr>
                <m:t>Consolidado</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sSub>
                    <m:sSubPr>
                      <m:ctrlPr>
                        <w:rPr>
                          <w:rFonts w:ascii="Cambria Math" w:hAnsi="Cambria Math" w:cs="Times New Roman"/>
                          <w:i/>
                        </w:rPr>
                      </m:ctrlPr>
                    </m:sSubPr>
                    <m:e>
                      <m:r>
                        <m:rPr>
                          <m:nor/>
                        </m:rPr>
                        <w:rPr>
                          <w:rFonts w:ascii="Cambria Math" w:hAnsi="Cambria Math" w:cs="Times New Roman"/>
                        </w:rPr>
                        <m:t>Veg</m:t>
                      </m:r>
                    </m:e>
                    <m:sub>
                      <m:r>
                        <w:rPr>
                          <w:rFonts w:ascii="Cambria Math" w:hAnsi="Cambria Math" w:cs="Times New Roman"/>
                        </w:rPr>
                        <m:t>2008</m:t>
                      </m:r>
                    </m:sub>
                  </m:sSub>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7F2EDFF7" w14:textId="4AE0966F"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Cálculo do Delta de Regularização:</w:t>
      </w:r>
    </w:p>
    <w:p w14:paraId="0D20D5DA" w14:textId="5B19A176" w:rsidR="00F56739" w:rsidRDefault="00F56739" w:rsidP="003D0CAE">
      <w:pPr>
        <w:spacing w:before="240" w:line="360" w:lineRule="auto"/>
        <w:ind w:firstLine="709"/>
        <w:jc w:val="both"/>
        <w:rPr>
          <w:rFonts w:ascii="Times New Roman" w:hAnsi="Times New Roman" w:cs="Times New Roman"/>
        </w:rPr>
      </w:pPr>
      <m:oMathPara>
        <m:oMath>
          <m:r>
            <m:rPr>
              <m:sty m:val="p"/>
            </m:rPr>
            <w:rPr>
              <w:rFonts w:ascii="Cambria Math" w:hAnsi="Cambria Math" w:cs="Times New Roman"/>
            </w:rPr>
            <m:t>Δ</m:t>
          </m:r>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Deficit</m:t>
              </m:r>
            </m:e>
            <m:sub>
              <m:r>
                <w:rPr>
                  <w:rFonts w:ascii="Cambria Math" w:hAnsi="Cambria Math" w:cs="Times New Roman"/>
                </w:rPr>
                <m:t>80</m:t>
              </m:r>
            </m:sub>
          </m:sSub>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Deficit</m:t>
              </m:r>
            </m:e>
            <m:sub>
              <m:r>
                <w:rPr>
                  <w:rFonts w:ascii="Cambria Math" w:hAnsi="Cambria Math" w:cs="Times New Roman"/>
                </w:rPr>
                <m:t>50</m:t>
              </m:r>
            </m:sub>
          </m:sSub>
        </m:oMath>
      </m:oMathPara>
    </w:p>
    <w:p w14:paraId="3C7D746C" w14:textId="77777777" w:rsidR="0019372A" w:rsidRPr="0019372A" w:rsidRDefault="0019372A" w:rsidP="003D0CAE">
      <w:pPr>
        <w:spacing w:after="0" w:line="360" w:lineRule="auto"/>
        <w:ind w:firstLine="709"/>
        <w:jc w:val="both"/>
        <w:rPr>
          <w:rFonts w:ascii="Times New Roman" w:hAnsi="Times New Roman" w:cs="Times New Roman"/>
        </w:rPr>
      </w:pPr>
      <w:r w:rsidRPr="0019372A">
        <w:rPr>
          <w:rFonts w:ascii="Times New Roman" w:hAnsi="Times New Roman" w:cs="Times New Roman"/>
        </w:rPr>
        <w:t>Onde:</w:t>
      </w:r>
    </w:p>
    <w:p w14:paraId="33E819AB" w14:textId="2EF85ECD" w:rsid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80</m:t>
            </m:r>
          </m:sub>
        </m:sSub>
      </m:oMath>
      <w:r w:rsidR="0019372A" w:rsidRPr="0019372A">
        <w:rPr>
          <w:rFonts w:ascii="Times New Roman" w:hAnsi="Times New Roman" w:cs="Times New Roman"/>
        </w:rPr>
        <w:t>: déficit de Reserva Legal na exigência padrão (80%);</w:t>
      </w:r>
    </w:p>
    <w:p w14:paraId="721E24A0" w14:textId="5841F7D8"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50</m:t>
            </m:r>
          </m:sub>
        </m:sSub>
      </m:oMath>
      <w:r w:rsidR="0019372A" w:rsidRPr="0019372A">
        <w:rPr>
          <w:rFonts w:ascii="Times New Roman" w:hAnsi="Times New Roman" w:cs="Times New Roman"/>
        </w:rPr>
        <w:t>: déficit de Reserva Legal na exigência padrão (80%);</w:t>
      </w:r>
    </w:p>
    <w:p w14:paraId="6A2D8511" w14:textId="2DD7745B"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oMath>
      <w:r w:rsidR="0019372A" w:rsidRPr="0019372A">
        <w:rPr>
          <w:rFonts w:ascii="Times New Roman" w:hAnsi="Times New Roman" w:cs="Times New Roman"/>
        </w:rPr>
        <w:t>: área total do imóvel rural superior a 4 MF;</w:t>
      </w:r>
    </w:p>
    <w:p w14:paraId="6F56D61C" w14:textId="63DFB250"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oMath>
      <w:r w:rsidR="0019372A" w:rsidRPr="0019372A">
        <w:rPr>
          <w:rFonts w:ascii="Times New Roman" w:hAnsi="Times New Roman" w:cs="Times New Roman"/>
        </w:rPr>
        <w:t>: remanescente de vegetação nativa mapeado no ano de 2022;</w:t>
      </w:r>
    </w:p>
    <w:p w14:paraId="7160D074" w14:textId="1BFED6A3"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rPr>
              <m:t>Veg</m:t>
            </m:r>
          </m:e>
          <m:sub>
            <m:r>
              <w:rPr>
                <w:rFonts w:ascii="Cambria Math" w:hAnsi="Cambria Math" w:cs="Times New Roman"/>
              </w:rPr>
              <m:t>2008</m:t>
            </m:r>
          </m:sub>
        </m:sSub>
      </m:oMath>
      <w:r w:rsidR="0019372A" w:rsidRPr="0019372A">
        <w:rPr>
          <w:rFonts w:ascii="Times New Roman" w:hAnsi="Times New Roman" w:cs="Times New Roman"/>
        </w:rPr>
        <w:t>: remanescente de vegetação nativa existente em 22 de julho de 2008.</w:t>
      </w:r>
    </w:p>
    <w:p w14:paraId="4E7BA53C" w14:textId="343846A5" w:rsidR="00303E76" w:rsidRDefault="00B402DF" w:rsidP="003D0CAE">
      <w:pPr>
        <w:spacing w:before="240" w:after="0" w:line="360" w:lineRule="auto"/>
        <w:ind w:firstLine="709"/>
        <w:jc w:val="both"/>
        <w:rPr>
          <w:rFonts w:ascii="Times New Roman" w:hAnsi="Times New Roman" w:cs="Times New Roman"/>
        </w:rPr>
      </w:pPr>
      <w:r w:rsidRPr="00B402DF">
        <w:rPr>
          <w:rFonts w:ascii="Times New Roman" w:hAnsi="Times New Roman" w:cs="Times New Roman"/>
        </w:rPr>
        <w:lastRenderedPageBreak/>
        <w:t xml:space="preserve">O valor resultante de </w:t>
      </w:r>
      <m:oMath>
        <m:r>
          <m:rPr>
            <m:sty m:val="p"/>
          </m:rPr>
          <w:rPr>
            <w:rFonts w:ascii="Cambria Math" w:hAnsi="Cambria Math" w:cs="Times New Roman"/>
          </w:rPr>
          <m:t xml:space="preserve">Δ </m:t>
        </m:r>
      </m:oMath>
      <w:r w:rsidRPr="00B402DF">
        <w:rPr>
          <w:rFonts w:ascii="Times New Roman" w:hAnsi="Times New Roman" w:cs="Times New Roman"/>
        </w:rPr>
        <w:t xml:space="preserve">quantifica a extensão de terras que deixam de ser computadas como déficit ambiental oneroso no cenário de redução para 50%, permitindo a regularização do imóvel via Plano de Recuperação Ambiental (PRA) sem a necessidade de recomposição de áreas consolidadas além do novo limite legal. Os resultados finais foram consolidados em tabelas de dados exportadas em formato CSV para análise estatística, integrando todas as variáveis espaciais e normativas processadas. </w:t>
      </w:r>
      <w:r w:rsidR="003D0CAE" w:rsidRPr="003D0CAE">
        <w:rPr>
          <w:rFonts w:ascii="Times New Roman" w:hAnsi="Times New Roman" w:cs="Times New Roman"/>
        </w:rPr>
        <w:t>Os scripts utilizados para este processamento, incluindo a rotina de filtragem em Python e o processamento em nuvem no GEE, estão disponíveis para replicação técnica em repositório de acesso público (SANTOS, 2026).</w:t>
      </w:r>
    </w:p>
    <w:p w14:paraId="2D90D8A3" w14:textId="77777777" w:rsidR="003D0CAE" w:rsidRPr="003D0CAE" w:rsidRDefault="003D0CAE" w:rsidP="003D0CAE">
      <w:pPr>
        <w:spacing w:before="240" w:line="360" w:lineRule="auto"/>
        <w:jc w:val="both"/>
        <w:rPr>
          <w:rFonts w:ascii="Times New Roman" w:hAnsi="Times New Roman" w:cs="Times New Roman"/>
        </w:rPr>
      </w:pPr>
      <w:r w:rsidRPr="003D0CAE">
        <w:rPr>
          <w:rFonts w:ascii="Times New Roman" w:hAnsi="Times New Roman" w:cs="Times New Roman"/>
        </w:rPr>
        <w:t>3.4 PROCESSAMENTO E ANÁLISE ESTATÍSTICA DE DADOS</w:t>
      </w:r>
    </w:p>
    <w:p w14:paraId="28D3A3DB"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Para a quantificação do passivo ambiental e a simulação dos cenários de conformidade, os dados espaciais pré-processados foram submetidos a um fluxo de análise estatística utilizando a linguagem R, versão 4.x. O processamento estruturou-se no ecossistema de pacotes </w:t>
      </w:r>
      <w:r w:rsidRPr="003D0CAE">
        <w:rPr>
          <w:rFonts w:ascii="Times New Roman" w:hAnsi="Times New Roman" w:cs="Times New Roman"/>
          <w:i/>
          <w:iCs/>
        </w:rPr>
        <w:t>tidyverse</w:t>
      </w:r>
      <w:r w:rsidRPr="003D0CAE">
        <w:rPr>
          <w:rFonts w:ascii="Times New Roman" w:hAnsi="Times New Roman" w:cs="Times New Roman"/>
        </w:rPr>
        <w:t>, permitindo a manipulação eficiente de grandes volumes de dados tabulares provenientes das bases geográficas.</w:t>
      </w:r>
    </w:p>
    <w:p w14:paraId="5A41DCB4" w14:textId="77777777" w:rsidR="003D0CAE" w:rsidRPr="003D0CAE" w:rsidRDefault="003D0CAE" w:rsidP="003D0CAE">
      <w:pPr>
        <w:spacing w:before="240" w:line="360" w:lineRule="auto"/>
        <w:jc w:val="both"/>
        <w:rPr>
          <w:rFonts w:ascii="Times New Roman" w:hAnsi="Times New Roman" w:cs="Times New Roman"/>
        </w:rPr>
      </w:pPr>
      <w:r w:rsidRPr="003D0CAE">
        <w:rPr>
          <w:rFonts w:ascii="Times New Roman" w:hAnsi="Times New Roman" w:cs="Times New Roman"/>
          <w:b/>
          <w:bCs/>
        </w:rPr>
        <w:t>3.4.1 Integração de bases e critérios de elegibilidade</w:t>
      </w:r>
    </w:p>
    <w:p w14:paraId="2BBCBE8F"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A base principal de imóveis rurais com área superior a 4 Módulos Fiscais (MF) foi integrada à malha de áreas protegidas, compreendendo Unidades de Conservação de domínio público e Terras Indígenas homologadas. O critério de elegibilidade para a redução da Reserva Legal (RL) de 80% para 50% foi aplicado seguindo a diretriz de que o Estado deve possuir Zoneamento Ecológico-Econômico (ZEE) aprovado e mais de 65% de seu território ocupado por áreas protegidas. Esta regra fundamenta-se no Art. 12, § 5º, da Lei nº 12.651/2012, que rege a proteção da vegetação nativa no território nacional.</w:t>
      </w:r>
    </w:p>
    <w:p w14:paraId="02E72D46" w14:textId="77777777" w:rsidR="003D0CAE" w:rsidRPr="003D0CAE" w:rsidRDefault="003D0CAE" w:rsidP="003D0CAE">
      <w:pPr>
        <w:spacing w:before="240" w:line="360" w:lineRule="auto"/>
        <w:jc w:val="both"/>
        <w:rPr>
          <w:rFonts w:ascii="Times New Roman" w:hAnsi="Times New Roman" w:cs="Times New Roman"/>
        </w:rPr>
      </w:pPr>
      <w:r w:rsidRPr="003D0CAE">
        <w:rPr>
          <w:rFonts w:ascii="Times New Roman" w:hAnsi="Times New Roman" w:cs="Times New Roman"/>
          <w:b/>
          <w:bCs/>
        </w:rPr>
        <w:t>3.4.2 Cálculo de passivos e impacto regulatório</w:t>
      </w:r>
    </w:p>
    <w:p w14:paraId="79C0882E"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Foram modelados dois cenários de déficit para cada imóvel elegível, permitindo a comparação direta do impacto normativo. A lógica de cálculo seguiu as seguintes definições:</w:t>
      </w:r>
    </w:p>
    <w:p w14:paraId="6A353DED" w14:textId="77777777"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a) cenário base (80%): representa a exigência padrão para áreas de floresta na Amazônia Legal;</w:t>
      </w:r>
    </w:p>
    <w:p w14:paraId="1795AF8D" w14:textId="77777777"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b) cenário simulado (50%): aplicação da redução para imóveis situados em zonas de consolidação amparadas pelo ZEE estadual e pelo Decreto Federal de 2013;</w:t>
      </w:r>
    </w:p>
    <w:p w14:paraId="647C70C3" w14:textId="668A97FA"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c) delta de regularização</w:t>
      </w:r>
      <w:r w:rsidR="008F3BB8">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8F3BB8">
        <w:rPr>
          <w:rFonts w:ascii="Times New Roman" w:eastAsiaTheme="minorEastAsia" w:hAnsi="Times New Roman" w:cs="Times New Roman"/>
        </w:rPr>
        <w:t xml:space="preserve"> </w:t>
      </w:r>
      <w:r w:rsidRPr="003D0CAE">
        <w:rPr>
          <w:rFonts w:ascii="Times New Roman" w:hAnsi="Times New Roman" w:cs="Times New Roman"/>
        </w:rPr>
        <w:t>: representa a extensão de área (em hectares) de passivo consolidado que deixa de ser exigida para recomposição ou compensação.</w:t>
      </w:r>
    </w:p>
    <w:p w14:paraId="14FEE00E" w14:textId="77777777" w:rsidR="003D0CAE" w:rsidRPr="003D0CAE" w:rsidRDefault="003D0CAE" w:rsidP="00211F6A">
      <w:pPr>
        <w:spacing w:after="0" w:line="360" w:lineRule="auto"/>
        <w:ind w:firstLine="709"/>
        <w:jc w:val="both"/>
        <w:rPr>
          <w:rFonts w:ascii="Times New Roman" w:hAnsi="Times New Roman" w:cs="Times New Roman"/>
        </w:rPr>
      </w:pPr>
      <w:r w:rsidRPr="003D0CAE">
        <w:rPr>
          <w:rFonts w:ascii="Times New Roman" w:hAnsi="Times New Roman" w:cs="Times New Roman"/>
        </w:rPr>
        <w:lastRenderedPageBreak/>
        <w:t>O cálculo do delta de regularização é definido pela equação:</w:t>
      </w:r>
    </w:p>
    <w:p w14:paraId="5CEDD444" w14:textId="6FD9C1A3" w:rsidR="00211F6A" w:rsidRDefault="00211F6A" w:rsidP="00211F6A">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80</m:t>
              </m:r>
            </m:sub>
          </m:sSub>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50</m:t>
              </m:r>
            </m:sub>
          </m:sSub>
        </m:oMath>
      </m:oMathPara>
    </w:p>
    <w:p w14:paraId="7183C87B" w14:textId="129888DB" w:rsid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Onde </w:t>
      </w:r>
      <m:oMath>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80</m:t>
            </m:r>
          </m:sub>
        </m:sSub>
      </m:oMath>
      <w:r w:rsidRPr="003D0CAE">
        <w:rPr>
          <w:rFonts w:ascii="Times New Roman" w:hAnsi="Times New Roman" w:cs="Times New Roman"/>
        </w:rPr>
        <w:t xml:space="preserve"> consiste no déficit calculado sobre a exigência de 80% e </w:t>
      </w:r>
      <m:oMath>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50</m:t>
            </m:r>
          </m:sub>
        </m:sSub>
      </m:oMath>
      <w:r w:rsidR="008F3BB8">
        <w:rPr>
          <w:rFonts w:ascii="Times New Roman" w:hAnsi="Times New Roman" w:cs="Times New Roman"/>
        </w:rPr>
        <w:t xml:space="preserve"> </w:t>
      </w:r>
      <w:r w:rsidRPr="003D0CAE">
        <w:rPr>
          <w:rFonts w:ascii="Times New Roman" w:hAnsi="Times New Roman" w:cs="Times New Roman"/>
        </w:rPr>
        <w:t>o déficit sob a exigência reduzida. Adicionalmente, isolou-se o Passivo Não Consolidado, referente a supressões de vegetação nativa ocorridas após 22 de julho de 2008, as quais não são passíveis de redução ou regularização simplificada conforme a legislação vigente.</w:t>
      </w:r>
    </w:p>
    <w:p w14:paraId="21EF45AB" w14:textId="77777777" w:rsidR="008F3BB8" w:rsidRPr="003D0CAE" w:rsidRDefault="008F3BB8" w:rsidP="008F3BB8">
      <w:pPr>
        <w:spacing w:before="240" w:line="360" w:lineRule="auto"/>
        <w:jc w:val="both"/>
        <w:rPr>
          <w:rFonts w:ascii="Times New Roman" w:hAnsi="Times New Roman" w:cs="Times New Roman"/>
        </w:rPr>
      </w:pPr>
      <w:r w:rsidRPr="003D0CAE">
        <w:rPr>
          <w:rFonts w:ascii="Times New Roman" w:hAnsi="Times New Roman" w:cs="Times New Roman"/>
          <w:b/>
          <w:bCs/>
        </w:rPr>
        <w:t>3.4.3 Sumarização e visualização de dados</w:t>
      </w:r>
    </w:p>
    <w:p w14:paraId="693B45BD" w14:textId="51EC3703" w:rsidR="008F3BB8" w:rsidRDefault="008F3BB8" w:rsidP="008F3BB8">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Os dados resultantes foram agregados em nível estadual e municipal para identificar o </w:t>
      </w:r>
      <w:r w:rsidRPr="003D0CAE">
        <w:rPr>
          <w:rFonts w:ascii="Times New Roman" w:hAnsi="Times New Roman" w:cs="Times New Roman"/>
          <w:i/>
          <w:iCs/>
        </w:rPr>
        <w:t>ranking</w:t>
      </w:r>
      <w:r w:rsidRPr="003D0CAE">
        <w:rPr>
          <w:rFonts w:ascii="Times New Roman" w:hAnsi="Times New Roman" w:cs="Times New Roman"/>
        </w:rPr>
        <w:t xml:space="preserve"> de municípios mais impactados pela medida. Para a apresentação dos resultados, geraram-se gráficos de colunas e barras utilizando a biblioteca </w:t>
      </w:r>
      <w:r w:rsidRPr="003D0CAE">
        <w:rPr>
          <w:rFonts w:ascii="Times New Roman" w:hAnsi="Times New Roman" w:cs="Times New Roman"/>
          <w:i/>
          <w:iCs/>
        </w:rPr>
        <w:t>ggplot2</w:t>
      </w:r>
      <w:r w:rsidRPr="003D0CAE">
        <w:rPr>
          <w:rFonts w:ascii="Times New Roman" w:hAnsi="Times New Roman" w:cs="Times New Roman"/>
        </w:rPr>
        <w:t>, permitindo a comparação visual entre o déficit atual e o potencial de redução. Esta etapa possibilita identificar comportamentos distintos em municípios com vasta extensão de áreas protegidas, como Altamira e São Félix do Xingu, conforme os dados processados.</w:t>
      </w:r>
    </w:p>
    <w:p w14:paraId="1149FDB5" w14:textId="77777777" w:rsidR="008F3BB8" w:rsidRPr="008F3BB8" w:rsidRDefault="008F3BB8" w:rsidP="008F3BB8">
      <w:pPr>
        <w:spacing w:before="240" w:line="360" w:lineRule="auto"/>
        <w:jc w:val="both"/>
        <w:rPr>
          <w:rFonts w:ascii="Times New Roman" w:hAnsi="Times New Roman" w:cs="Times New Roman"/>
        </w:rPr>
      </w:pPr>
      <w:r w:rsidRPr="008F3BB8">
        <w:rPr>
          <w:rFonts w:ascii="Times New Roman" w:hAnsi="Times New Roman" w:cs="Times New Roman"/>
        </w:rPr>
        <w:t>3.5 INTEGRAÇÃO GEOESPACIAL E REPRESENTAÇÃO CARTOGRÁFICA</w:t>
      </w:r>
    </w:p>
    <w:p w14:paraId="5E96C7FE" w14:textId="77777777" w:rsidR="008F3BB8" w:rsidRPr="008F3BB8" w:rsidRDefault="008F3BB8" w:rsidP="008F3BB8">
      <w:pPr>
        <w:spacing w:after="0" w:line="360" w:lineRule="auto"/>
        <w:ind w:firstLine="709"/>
        <w:jc w:val="both"/>
        <w:rPr>
          <w:rFonts w:ascii="Times New Roman" w:hAnsi="Times New Roman" w:cs="Times New Roman"/>
        </w:rPr>
      </w:pPr>
      <w:r w:rsidRPr="008F3BB8">
        <w:rPr>
          <w:rFonts w:ascii="Times New Roman" w:hAnsi="Times New Roman" w:cs="Times New Roman"/>
        </w:rPr>
        <w:t xml:space="preserve">Para a espacialização dos resultados e análise do impacto territorial, os dados consolidados no ambiente R foram exportados e integrados ao </w:t>
      </w:r>
      <w:r w:rsidRPr="008F3BB8">
        <w:rPr>
          <w:rFonts w:ascii="Times New Roman" w:hAnsi="Times New Roman" w:cs="Times New Roman"/>
          <w:i/>
          <w:iCs/>
        </w:rPr>
        <w:t>software</w:t>
      </w:r>
      <w:r w:rsidRPr="008F3BB8">
        <w:rPr>
          <w:rFonts w:ascii="Times New Roman" w:hAnsi="Times New Roman" w:cs="Times New Roman"/>
        </w:rPr>
        <w:t xml:space="preserve"> QGIS, versão 4.0 </w:t>
      </w:r>
      <w:r w:rsidRPr="008F3BB8">
        <w:rPr>
          <w:rFonts w:ascii="Times New Roman" w:hAnsi="Times New Roman" w:cs="Times New Roman"/>
          <w:i/>
          <w:iCs/>
        </w:rPr>
        <w:t>Norrköping</w:t>
      </w:r>
      <w:r w:rsidRPr="008F3BB8">
        <w:rPr>
          <w:rFonts w:ascii="Times New Roman" w:hAnsi="Times New Roman" w:cs="Times New Roman"/>
        </w:rPr>
        <w:t>. O fluxo cartográfico utilizou a malha municipal digital do Estado do Pará, na escala 1:250.000, como base para operações de união (</w:t>
      </w:r>
      <w:r w:rsidRPr="008F3BB8">
        <w:rPr>
          <w:rFonts w:ascii="Times New Roman" w:hAnsi="Times New Roman" w:cs="Times New Roman"/>
          <w:i/>
          <w:iCs/>
        </w:rPr>
        <w:t>join</w:t>
      </w:r>
      <w:r w:rsidRPr="008F3BB8">
        <w:rPr>
          <w:rFonts w:ascii="Times New Roman" w:hAnsi="Times New Roman" w:cs="Times New Roman"/>
        </w:rPr>
        <w:t>) vetorial, utilizando o geocódigo dos municípios como chave primária. A representação espacial foi estruturada em dois eixos fundamentais:</w:t>
      </w:r>
    </w:p>
    <w:p w14:paraId="598340CD" w14:textId="77777777" w:rsidR="008F3BB8" w:rsidRPr="008F3BB8" w:rsidRDefault="008F3BB8" w:rsidP="008F3BB8">
      <w:pPr>
        <w:spacing w:after="0" w:line="360" w:lineRule="auto"/>
        <w:ind w:firstLine="709"/>
        <w:jc w:val="both"/>
        <w:rPr>
          <w:rFonts w:ascii="Times New Roman" w:hAnsi="Times New Roman" w:cs="Times New Roman"/>
        </w:rPr>
      </w:pPr>
      <w:r w:rsidRPr="008F3BB8">
        <w:rPr>
          <w:rFonts w:ascii="Times New Roman" w:hAnsi="Times New Roman" w:cs="Times New Roman"/>
        </w:rPr>
        <w:t>a) mapeamento de elegibilidade (Art. 12): identificação geoespacial dos municípios aptos à redução da Reserva Legal, baseada no cruzamento entre a área total municipal e a extensão de áreas protegidas, compreendendo Unidades de Conservação de domínio público e Terras Indígenas homologadas;</w:t>
      </w:r>
    </w:p>
    <w:p w14:paraId="1B59D709" w14:textId="19771ED8" w:rsidR="008F3BB8" w:rsidRPr="008F3BB8" w:rsidRDefault="008F3BB8" w:rsidP="008F3BB8">
      <w:pPr>
        <w:spacing w:after="0" w:line="360" w:lineRule="auto"/>
        <w:ind w:firstLine="709"/>
        <w:jc w:val="both"/>
        <w:rPr>
          <w:rFonts w:ascii="Times New Roman" w:hAnsi="Times New Roman" w:cs="Times New Roman"/>
        </w:rPr>
      </w:pPr>
      <w:r w:rsidRPr="008F3BB8">
        <w:rPr>
          <w:rFonts w:ascii="Times New Roman" w:hAnsi="Times New Roman" w:cs="Times New Roman"/>
        </w:rPr>
        <w:t>b) mapeamento do impacto da regularização</w:t>
      </w:r>
      <w:r>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m:t>
        </m:r>
      </m:oMath>
      <w:r w:rsidRPr="008F3BB8">
        <w:rPr>
          <w:rFonts w:ascii="Times New Roman" w:hAnsi="Times New Roman" w:cs="Times New Roman"/>
        </w:rPr>
        <w:t>: elaboração de mapas coropléticos para demonstrar a concentração espacial do passivo ambiental que deixa de ser exigido sob o cenário simulado de 50%.</w:t>
      </w:r>
    </w:p>
    <w:p w14:paraId="432AE452" w14:textId="7C7A6FA3" w:rsidR="008F3BB8" w:rsidRPr="003D0CAE" w:rsidRDefault="008F3BB8" w:rsidP="008F3BB8">
      <w:pPr>
        <w:spacing w:after="0" w:line="360" w:lineRule="auto"/>
        <w:ind w:firstLine="709"/>
        <w:jc w:val="both"/>
        <w:rPr>
          <w:rFonts w:ascii="Times New Roman" w:hAnsi="Times New Roman" w:cs="Times New Roman"/>
        </w:rPr>
      </w:pPr>
      <w:r w:rsidRPr="008F3BB8">
        <w:rPr>
          <w:rFonts w:ascii="Times New Roman" w:hAnsi="Times New Roman" w:cs="Times New Roman"/>
        </w:rPr>
        <w:t xml:space="preserve">Para garantir o rigor científico quanto ao marco temporal da legislação, todos os cruzamentos espaciais foram validados utilizando a série histórica de cobertura e uso da terra do MapBiomas, Coleção 9. Este procedimento assegurou que o cálculo do delta de </w:t>
      </w:r>
      <w:r w:rsidRPr="008F3BB8">
        <w:rPr>
          <w:rFonts w:ascii="Times New Roman" w:hAnsi="Times New Roman" w:cs="Times New Roman"/>
        </w:rPr>
        <w:lastRenderedPageBreak/>
        <w:t xml:space="preserve">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m:t>
        </m:r>
      </m:oMath>
      <w:r w:rsidRPr="008F3BB8">
        <w:rPr>
          <w:rFonts w:ascii="Times New Roman" w:hAnsi="Times New Roman" w:cs="Times New Roman"/>
        </w:rPr>
        <w:t xml:space="preserve"> e do passivo não consolidado refletisse com precisão a dinâmica de supressão de vegetação nativa pré e pós-22 de julho de 2008, segregando anistias legais de novos passivos ambientais.</w:t>
      </w:r>
    </w:p>
    <w:p w14:paraId="1DD1E0A2"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4 RESULTADOS E DISCUSSÃO</w:t>
      </w:r>
    </w:p>
    <w:p w14:paraId="17A35A8E"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4.1 DIAGNÓSTICO DO PASSIVO AMBIENTAL EM IMÓVEIS &gt; 4 MF NO ESTADO DO PARÁ</w:t>
      </w:r>
    </w:p>
    <w:p w14:paraId="70D5B9CC"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4.2 ANÁLISE DO IMPACTO DA REDUÇÃO DA RESERVA LEGAL NA REGULARIZAÇÃO DE PASSIVOS CONSOLIDADOS</w:t>
      </w:r>
    </w:p>
    <w:p w14:paraId="5245BA80"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4.3 DISTRIBUIÇÃO REGIONAL DO DÉFICIT AMBIENTAL E POTENCIAL DE CONFORMIDADE</w:t>
      </w:r>
    </w:p>
    <w:p w14:paraId="58108FD9"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4.4 DISCUSSÃO SOBRE SEGURANÇA JURÍDICA E EFICÁCIA DO PROGRAMA DE REGULARIZAÇÃO AMBIENTAL (PRA)</w:t>
      </w:r>
    </w:p>
    <w:p w14:paraId="0E6B5F63"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5 CONCLUSÃO</w:t>
      </w:r>
    </w:p>
    <w:p w14:paraId="48370D7D"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6 REFERÊNCIAS</w:t>
      </w:r>
    </w:p>
    <w:p w14:paraId="6D9542AA" w14:textId="77777777" w:rsid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ALMEIDA, C. A. de et al. </w:t>
      </w:r>
      <w:r w:rsidRPr="009C4947">
        <w:rPr>
          <w:rFonts w:ascii="Times New Roman" w:hAnsi="Times New Roman" w:cs="Times New Roman"/>
          <w:b/>
          <w:bCs/>
        </w:rPr>
        <w:t>Metodologia utilizada nos sistemas PRODES e DETER</w:t>
      </w:r>
      <w:r w:rsidRPr="009C4947">
        <w:rPr>
          <w:rFonts w:ascii="Times New Roman" w:hAnsi="Times New Roman" w:cs="Times New Roman"/>
        </w:rPr>
        <w:t>. 2. ed. São José dos Campos: INPE, 2022.</w:t>
      </w:r>
    </w:p>
    <w:p w14:paraId="51697FC1" w14:textId="4623FC5C" w:rsidR="00E35BC1" w:rsidRPr="00E35BC1" w:rsidRDefault="00E35BC1" w:rsidP="003D0CAE">
      <w:pPr>
        <w:spacing w:line="360" w:lineRule="auto"/>
        <w:jc w:val="both"/>
        <w:rPr>
          <w:rFonts w:ascii="Times New Roman" w:hAnsi="Times New Roman" w:cs="Times New Roman"/>
        </w:rPr>
      </w:pPr>
      <w:r w:rsidRPr="00E35BC1">
        <w:rPr>
          <w:rFonts w:ascii="Times New Roman" w:hAnsi="Times New Roman" w:cs="Times New Roman"/>
        </w:rPr>
        <w:t xml:space="preserve">BRASIL. </w:t>
      </w:r>
      <w:r w:rsidRPr="00E35BC1">
        <w:rPr>
          <w:rFonts w:ascii="Times New Roman" w:hAnsi="Times New Roman" w:cs="Times New Roman"/>
          <w:b/>
          <w:bCs/>
        </w:rPr>
        <w:t>Decreto de 24 de abril de 2013</w:t>
      </w:r>
      <w:r w:rsidRPr="00E35BC1">
        <w:rPr>
          <w:rFonts w:ascii="Times New Roman" w:hAnsi="Times New Roman" w:cs="Times New Roman"/>
        </w:rPr>
        <w:t>. Brasília, DF: Presidência da República, 2013.</w:t>
      </w:r>
    </w:p>
    <w:p w14:paraId="5756F9F6" w14:textId="77777777" w:rsidR="00E35BC1" w:rsidRPr="00F47B23" w:rsidRDefault="00E35BC1" w:rsidP="003D0CAE">
      <w:pPr>
        <w:spacing w:line="360" w:lineRule="auto"/>
        <w:jc w:val="both"/>
        <w:rPr>
          <w:rFonts w:ascii="Times New Roman" w:hAnsi="Times New Roman" w:cs="Times New Roman"/>
        </w:rPr>
      </w:pPr>
      <w:r w:rsidRPr="00F47B23">
        <w:rPr>
          <w:rFonts w:ascii="Times New Roman" w:hAnsi="Times New Roman" w:cs="Times New Roman"/>
        </w:rPr>
        <w:t xml:space="preserve">BRASIL. </w:t>
      </w:r>
      <w:r w:rsidRPr="00F47B23">
        <w:rPr>
          <w:rFonts w:ascii="Times New Roman" w:hAnsi="Times New Roman" w:cs="Times New Roman"/>
          <w:b/>
          <w:bCs/>
        </w:rPr>
        <w:t>Lei nº 12.651, de 25 de maio de 2012</w:t>
      </w:r>
      <w:r w:rsidRPr="00F47B23">
        <w:rPr>
          <w:rFonts w:ascii="Times New Roman" w:hAnsi="Times New Roman" w:cs="Times New Roman"/>
        </w:rPr>
        <w:t>. Dispõe sobre a proteção da vegetação nativa; altera as Leis nºs 6.938, de 31 de agosto de 1981, 9.393, de 19 de dezembro de 1996, e 11.428, de 22 de dezembro de 2006; revoga as Leis nºs 4.771, de 15 de setembro de 1965, e 7.754, de 14 de abril de 1989, e a Medida Provisória nº 2.166-67, de 24 de agosto de 2001; e dá outras providências. Diário Oficial da União, Brasília, DF, 28 maio 2012.</w:t>
      </w:r>
    </w:p>
    <w:p w14:paraId="6D897DA1" w14:textId="77777777" w:rsidR="00E35BC1" w:rsidRPr="008B797B" w:rsidRDefault="00E35BC1" w:rsidP="003D0CAE">
      <w:pPr>
        <w:spacing w:line="360" w:lineRule="auto"/>
        <w:jc w:val="both"/>
        <w:rPr>
          <w:rFonts w:ascii="Times New Roman" w:hAnsi="Times New Roman" w:cs="Times New Roman"/>
        </w:rPr>
      </w:pPr>
      <w:r w:rsidRPr="008B797B">
        <w:rPr>
          <w:rFonts w:ascii="Times New Roman" w:hAnsi="Times New Roman" w:cs="Times New Roman"/>
        </w:rPr>
        <w:t xml:space="preserve">BRASIL. Superior Tribunal de Justiça (2. Turma). </w:t>
      </w:r>
      <w:r w:rsidRPr="008B797B">
        <w:rPr>
          <w:rFonts w:ascii="Times New Roman" w:hAnsi="Times New Roman" w:cs="Times New Roman"/>
          <w:b/>
          <w:bCs/>
        </w:rPr>
        <w:t>Recurso Especial nº 1.284.069/RS</w:t>
      </w:r>
      <w:r w:rsidRPr="008B797B">
        <w:rPr>
          <w:rFonts w:ascii="Times New Roman" w:hAnsi="Times New Roman" w:cs="Times New Roman"/>
        </w:rPr>
        <w:t>. Relator: Ministro Herman Benjamin. Julgado em 17 nov. 2016. DJe 28 ago. 2020.</w:t>
      </w:r>
    </w:p>
    <w:p w14:paraId="4EA58665" w14:textId="77777777" w:rsidR="00E35BC1" w:rsidRDefault="00E35BC1" w:rsidP="003D0CAE">
      <w:pPr>
        <w:spacing w:line="360" w:lineRule="auto"/>
        <w:jc w:val="both"/>
        <w:rPr>
          <w:rFonts w:ascii="Times New Roman" w:hAnsi="Times New Roman" w:cs="Times New Roman"/>
        </w:rPr>
      </w:pPr>
      <w:r w:rsidRPr="008B797B">
        <w:rPr>
          <w:rFonts w:ascii="Times New Roman" w:hAnsi="Times New Roman" w:cs="Times New Roman"/>
        </w:rPr>
        <w:t xml:space="preserve">BRASIL. Superior Tribunal de Justiça (2. Turma). </w:t>
      </w:r>
      <w:r w:rsidRPr="008B797B">
        <w:rPr>
          <w:rFonts w:ascii="Times New Roman" w:hAnsi="Times New Roman" w:cs="Times New Roman"/>
          <w:b/>
          <w:bCs/>
        </w:rPr>
        <w:t>Recurso Especial nº 1.644.195/SC</w:t>
      </w:r>
      <w:r w:rsidRPr="008B797B">
        <w:rPr>
          <w:rFonts w:ascii="Times New Roman" w:hAnsi="Times New Roman" w:cs="Times New Roman"/>
        </w:rPr>
        <w:t>. Relator: Ministro Herman Benjamin. Julgado em 27 abr. 2017. DJe 08 mai. 2017.</w:t>
      </w:r>
    </w:p>
    <w:p w14:paraId="5AD6C71E" w14:textId="0DEB0FED" w:rsidR="00B55AD7" w:rsidRPr="008B797B" w:rsidRDefault="00B55AD7" w:rsidP="003D0CAE">
      <w:pPr>
        <w:spacing w:line="360" w:lineRule="auto"/>
        <w:jc w:val="both"/>
        <w:rPr>
          <w:rFonts w:ascii="Times New Roman" w:hAnsi="Times New Roman" w:cs="Times New Roman"/>
        </w:rPr>
      </w:pPr>
      <w:r w:rsidRPr="00B55AD7">
        <w:rPr>
          <w:rFonts w:ascii="Times New Roman" w:hAnsi="Times New Roman" w:cs="Times New Roman"/>
        </w:rPr>
        <w:lastRenderedPageBreak/>
        <w:t xml:space="preserve">BRASIL. </w:t>
      </w:r>
      <w:r w:rsidRPr="00B55AD7">
        <w:rPr>
          <w:rFonts w:ascii="Times New Roman" w:hAnsi="Times New Roman" w:cs="Times New Roman"/>
          <w:b/>
          <w:bCs/>
        </w:rPr>
        <w:t>Lei nº 8.629, de 25 de fevereiro de 1993</w:t>
      </w:r>
      <w:r w:rsidRPr="00B55AD7">
        <w:rPr>
          <w:rFonts w:ascii="Times New Roman" w:hAnsi="Times New Roman" w:cs="Times New Roman"/>
        </w:rPr>
        <w:t xml:space="preserve">. Dispõe sobre a regulamentação dos dispositivos constitucionais relativos à reforma agrária, previstos no Capítulo III, Título VII, da Constituição Federal. Brasília, DF: Presidência da República, [1993]. Disponível em: </w:t>
      </w:r>
      <w:hyperlink r:id="rId6" w:tgtFrame="_blank" w:history="1">
        <w:r w:rsidRPr="00B55AD7">
          <w:rPr>
            <w:rStyle w:val="Hyperlink"/>
            <w:rFonts w:ascii="Times New Roman" w:hAnsi="Times New Roman" w:cs="Times New Roman"/>
          </w:rPr>
          <w:t>http://www.planalto.gov.br/ccivil_03/leis/l8629.htm</w:t>
        </w:r>
      </w:hyperlink>
      <w:r w:rsidRPr="00B55AD7">
        <w:rPr>
          <w:rFonts w:ascii="Times New Roman" w:hAnsi="Times New Roman" w:cs="Times New Roman"/>
        </w:rPr>
        <w:t>. Acesso em: 10 mar. 2026.</w:t>
      </w:r>
    </w:p>
    <w:p w14:paraId="3F21A2BD" w14:textId="77777777" w:rsidR="00E35BC1" w:rsidRPr="00E35BC1" w:rsidRDefault="00E35BC1" w:rsidP="003D0CAE">
      <w:pPr>
        <w:spacing w:line="360" w:lineRule="auto"/>
        <w:jc w:val="both"/>
        <w:rPr>
          <w:rFonts w:ascii="Times New Roman" w:hAnsi="Times New Roman" w:cs="Times New Roman"/>
        </w:rPr>
      </w:pPr>
      <w:r w:rsidRPr="00E35BC1">
        <w:rPr>
          <w:rFonts w:ascii="Times New Roman" w:hAnsi="Times New Roman" w:cs="Times New Roman"/>
        </w:rPr>
        <w:t xml:space="preserve">CONSELHO NACIONAL DE JUSTIÇA (CNJ). </w:t>
      </w:r>
      <w:r w:rsidRPr="00E35BC1">
        <w:rPr>
          <w:rFonts w:ascii="Times New Roman" w:hAnsi="Times New Roman" w:cs="Times New Roman"/>
          <w:b/>
          <w:bCs/>
        </w:rPr>
        <w:t>Protocolo para julgamento de ações ambientais</w:t>
      </w:r>
      <w:r w:rsidRPr="00E35BC1">
        <w:rPr>
          <w:rFonts w:ascii="Times New Roman" w:hAnsi="Times New Roman" w:cs="Times New Roman"/>
        </w:rPr>
        <w:t>: primeiro escopo: parâmetros para uso das provas produzidas exclusivamente por sensoriamento remoto ou obtidas por satélite no acervo probatório das ações judiciais ambientais. Brasília: CNJ, 2023.</w:t>
      </w:r>
    </w:p>
    <w:p w14:paraId="3BDB4709" w14:textId="77777777" w:rsid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FELIPPE, D. de; TRENTINI, F. O conceito de área rural consolidada no Código Florestal de 2012: principais controvérsias. </w:t>
      </w:r>
      <w:r w:rsidRPr="009C4947">
        <w:rPr>
          <w:rFonts w:ascii="Times New Roman" w:hAnsi="Times New Roman" w:cs="Times New Roman"/>
          <w:b/>
          <w:bCs/>
        </w:rPr>
        <w:t>Revista de Direito Agrário e Agroambiental</w:t>
      </w:r>
      <w:r w:rsidRPr="009C4947">
        <w:rPr>
          <w:rFonts w:ascii="Times New Roman" w:hAnsi="Times New Roman" w:cs="Times New Roman"/>
        </w:rPr>
        <w:t>, Salvador, v. 4, n. 1, p. 77-93, jan./jun. 2018.</w:t>
      </w:r>
    </w:p>
    <w:p w14:paraId="5906D506" w14:textId="694FF79E" w:rsidR="00E35BC1" w:rsidRPr="00E35BC1" w:rsidRDefault="00E35BC1" w:rsidP="003D0CAE">
      <w:pPr>
        <w:spacing w:line="360" w:lineRule="auto"/>
        <w:jc w:val="both"/>
        <w:rPr>
          <w:rFonts w:ascii="Times New Roman" w:hAnsi="Times New Roman" w:cs="Times New Roman"/>
        </w:rPr>
      </w:pPr>
      <w:r w:rsidRPr="00E35BC1">
        <w:rPr>
          <w:rFonts w:ascii="Times New Roman" w:hAnsi="Times New Roman" w:cs="Times New Roman"/>
        </w:rPr>
        <w:t xml:space="preserve">INSTITUTO INTERNACIONAL PARA SUSTENTABILIDADE (IIS). </w:t>
      </w:r>
      <w:r w:rsidRPr="00E35BC1">
        <w:rPr>
          <w:rFonts w:ascii="Times New Roman" w:hAnsi="Times New Roman" w:cs="Times New Roman"/>
          <w:b/>
          <w:bCs/>
        </w:rPr>
        <w:t>Análise Econômica de uma Pecuária Mais Sustentável</w:t>
      </w:r>
      <w:r w:rsidRPr="00E35BC1">
        <w:rPr>
          <w:rFonts w:ascii="Times New Roman" w:hAnsi="Times New Roman" w:cs="Times New Roman"/>
        </w:rPr>
        <w:t>. Rio de Janeiro: IIS, 2015.</w:t>
      </w:r>
    </w:p>
    <w:p w14:paraId="76273B2A" w14:textId="77777777" w:rsidR="00E35BC1" w:rsidRPr="00F47B23" w:rsidRDefault="00E35BC1" w:rsidP="003D0CAE">
      <w:pPr>
        <w:spacing w:line="360" w:lineRule="auto"/>
        <w:jc w:val="both"/>
        <w:rPr>
          <w:rFonts w:ascii="Times New Roman" w:hAnsi="Times New Roman" w:cs="Times New Roman"/>
        </w:rPr>
      </w:pPr>
      <w:r w:rsidRPr="00F47B23">
        <w:rPr>
          <w:rFonts w:ascii="Times New Roman" w:hAnsi="Times New Roman" w:cs="Times New Roman"/>
        </w:rPr>
        <w:t xml:space="preserve">MAPBIOMAS. </w:t>
      </w:r>
      <w:r w:rsidRPr="00F47B23">
        <w:rPr>
          <w:rFonts w:ascii="Times New Roman" w:hAnsi="Times New Roman" w:cs="Times New Roman"/>
          <w:b/>
          <w:bCs/>
        </w:rPr>
        <w:t>Relatório Anual do Desmatamento 2021</w:t>
      </w:r>
      <w:r w:rsidRPr="00F47B23">
        <w:rPr>
          <w:rFonts w:ascii="Times New Roman" w:hAnsi="Times New Roman" w:cs="Times New Roman"/>
        </w:rPr>
        <w:t>. MapBiomas Alerta. São Paulo: MapBiomas, 2022.</w:t>
      </w:r>
    </w:p>
    <w:p w14:paraId="5A15C15A" w14:textId="77777777" w:rsidR="00E35BC1" w:rsidRPr="00061C3F" w:rsidRDefault="00E35BC1" w:rsidP="003D0CAE">
      <w:pPr>
        <w:spacing w:line="360" w:lineRule="auto"/>
        <w:jc w:val="both"/>
        <w:rPr>
          <w:rFonts w:ascii="Times New Roman" w:hAnsi="Times New Roman" w:cs="Times New Roman"/>
        </w:rPr>
      </w:pPr>
      <w:r w:rsidRPr="00061C3F">
        <w:rPr>
          <w:rFonts w:ascii="Times New Roman" w:hAnsi="Times New Roman" w:cs="Times New Roman"/>
        </w:rPr>
        <w:t xml:space="preserve">PARÁ. </w:t>
      </w:r>
      <w:r w:rsidRPr="00061C3F">
        <w:rPr>
          <w:rFonts w:ascii="Times New Roman" w:hAnsi="Times New Roman" w:cs="Times New Roman"/>
          <w:b/>
          <w:bCs/>
        </w:rPr>
        <w:t>Lei Ordinária nº 7.243, de 9 de janeiro de 2009</w:t>
      </w:r>
      <w:r w:rsidRPr="00061C3F">
        <w:rPr>
          <w:rFonts w:ascii="Times New Roman" w:hAnsi="Times New Roman" w:cs="Times New Roman"/>
        </w:rPr>
        <w:t>. Dispõe sobre o Zoneamento Ecológico-Econômico da Área de Influência das Rodovias BR-163 (Cuiabá-Santarém) e BR-230 (Transamazônica) no Estado do Pará - Zona Oeste. Diário Oficial do Estado, Belém, PA, 9 jan. 2009.</w:t>
      </w:r>
    </w:p>
    <w:p w14:paraId="0FA786B8" w14:textId="77777777" w:rsidR="00E35BC1" w:rsidRPr="00F47B23" w:rsidRDefault="00E35BC1" w:rsidP="003D0CAE">
      <w:pPr>
        <w:spacing w:line="360" w:lineRule="auto"/>
        <w:jc w:val="both"/>
        <w:rPr>
          <w:rFonts w:ascii="Times New Roman" w:hAnsi="Times New Roman" w:cs="Times New Roman"/>
        </w:rPr>
      </w:pPr>
      <w:r w:rsidRPr="00F47B23">
        <w:rPr>
          <w:rFonts w:ascii="Times New Roman" w:hAnsi="Times New Roman" w:cs="Times New Roman"/>
        </w:rPr>
        <w:t xml:space="preserve">PARÁ. </w:t>
      </w:r>
      <w:r w:rsidRPr="00F47B23">
        <w:rPr>
          <w:rFonts w:ascii="Times New Roman" w:hAnsi="Times New Roman" w:cs="Times New Roman"/>
          <w:b/>
          <w:bCs/>
        </w:rPr>
        <w:t>Lei Ordinária nº 7.398, de 16 de abril de 2010</w:t>
      </w:r>
      <w:r w:rsidRPr="00F47B23">
        <w:rPr>
          <w:rFonts w:ascii="Times New Roman" w:hAnsi="Times New Roman" w:cs="Times New Roman"/>
        </w:rPr>
        <w:t>. Dispõe sobre o Zoneamento Ecológico-Econômico da Zona Leste e Calha Norte do Estado do Pará. Diário Oficial do Estado, Belém, PA, 22 abr. 2010.</w:t>
      </w:r>
    </w:p>
    <w:p w14:paraId="28E7FF56" w14:textId="77777777" w:rsidR="00E35BC1" w:rsidRPr="00F47B23" w:rsidRDefault="00E35BC1" w:rsidP="003D0CAE">
      <w:pPr>
        <w:spacing w:line="360" w:lineRule="auto"/>
        <w:jc w:val="both"/>
        <w:rPr>
          <w:rFonts w:ascii="Times New Roman" w:hAnsi="Times New Roman" w:cs="Times New Roman"/>
        </w:rPr>
      </w:pPr>
      <w:r w:rsidRPr="00F47B23">
        <w:rPr>
          <w:rFonts w:ascii="Times New Roman" w:hAnsi="Times New Roman" w:cs="Times New Roman"/>
        </w:rPr>
        <w:t xml:space="preserve">PARÁ. Secretaria de Estado de Meio Ambiente e Sustentabilidade. </w:t>
      </w:r>
      <w:r w:rsidRPr="00F47B23">
        <w:rPr>
          <w:rFonts w:ascii="Times New Roman" w:hAnsi="Times New Roman" w:cs="Times New Roman"/>
          <w:b/>
          <w:bCs/>
        </w:rPr>
        <w:t>Instrução Normativa nº 08, de 28 de outubro de 2015</w:t>
      </w:r>
      <w:r w:rsidRPr="00F47B23">
        <w:rPr>
          <w:rFonts w:ascii="Times New Roman" w:hAnsi="Times New Roman" w:cs="Times New Roman"/>
        </w:rPr>
        <w:t>. Define procedimentos administrativos para a realização de limpeza e autorização de supressão, a serem realizadas nas áreas de vegetação secundária em estágio inicial de regeneração, localizadas fora da Reserva Legal e da Área de Preservação Permanente - APP dos imóveis rurais, no âmbito do Estado do Pará, e dá outras providências. Diário Oficial do Estado, Belém, PA, 03 nov. 2015.</w:t>
      </w:r>
    </w:p>
    <w:p w14:paraId="673B4C73" w14:textId="77777777" w:rsidR="00E35BC1" w:rsidRPr="00A726DC" w:rsidRDefault="00E35BC1" w:rsidP="003D0CAE">
      <w:pPr>
        <w:spacing w:line="360" w:lineRule="auto"/>
        <w:jc w:val="both"/>
        <w:rPr>
          <w:rFonts w:ascii="Times New Roman" w:hAnsi="Times New Roman" w:cs="Times New Roman"/>
        </w:rPr>
      </w:pPr>
      <w:r w:rsidRPr="00A726DC">
        <w:rPr>
          <w:rFonts w:ascii="Times New Roman" w:hAnsi="Times New Roman" w:cs="Times New Roman"/>
        </w:rPr>
        <w:t xml:space="preserve">PARÁ. Secretaria de Estado de Meio Ambiente e Sustentabilidade. </w:t>
      </w:r>
      <w:r w:rsidRPr="00A726DC">
        <w:rPr>
          <w:rFonts w:ascii="Times New Roman" w:hAnsi="Times New Roman" w:cs="Times New Roman"/>
          <w:b/>
          <w:bCs/>
        </w:rPr>
        <w:t>Relatório de Ações do Programa Regulariza Pará 2021</w:t>
      </w:r>
      <w:r w:rsidRPr="00A726DC">
        <w:rPr>
          <w:rFonts w:ascii="Times New Roman" w:hAnsi="Times New Roman" w:cs="Times New Roman"/>
        </w:rPr>
        <w:t>: Decreto nº 941, de 3 de agosto de 2020. Belém: SEMAS, 2021.</w:t>
      </w:r>
    </w:p>
    <w:p w14:paraId="68F0B92F" w14:textId="77777777" w:rsidR="00E35BC1" w:rsidRPr="00E35BC1" w:rsidRDefault="00E35BC1" w:rsidP="003D0CAE">
      <w:pPr>
        <w:spacing w:line="360" w:lineRule="auto"/>
        <w:jc w:val="both"/>
        <w:rPr>
          <w:rFonts w:ascii="Times New Roman" w:hAnsi="Times New Roman" w:cs="Times New Roman"/>
        </w:rPr>
      </w:pPr>
      <w:r w:rsidRPr="00E35BC1">
        <w:rPr>
          <w:rFonts w:ascii="Times New Roman" w:hAnsi="Times New Roman" w:cs="Times New Roman"/>
        </w:rPr>
        <w:lastRenderedPageBreak/>
        <w:t xml:space="preserve">PARÁ. Secretaria de Estado de Meio Ambiente e Sustentabilidade. </w:t>
      </w:r>
      <w:r w:rsidRPr="00E35BC1">
        <w:rPr>
          <w:rFonts w:ascii="Times New Roman" w:hAnsi="Times New Roman" w:cs="Times New Roman"/>
          <w:b/>
          <w:bCs/>
        </w:rPr>
        <w:t>Relatório de Gestão SEMAS 2025</w:t>
      </w:r>
      <w:r w:rsidRPr="00E35BC1">
        <w:rPr>
          <w:rFonts w:ascii="Times New Roman" w:hAnsi="Times New Roman" w:cs="Times New Roman"/>
        </w:rPr>
        <w:t>. Belém: Governo do Pará, 2025.</w:t>
      </w:r>
    </w:p>
    <w:p w14:paraId="3C3CCB89" w14:textId="77777777" w:rsid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PORTO, A. J. M.; SANTOS, L. M. dos. Cotas de reserva ambiental: uma interpretação da análise econômica do direito. </w:t>
      </w:r>
      <w:r w:rsidRPr="009C4947">
        <w:rPr>
          <w:rFonts w:ascii="Times New Roman" w:hAnsi="Times New Roman" w:cs="Times New Roman"/>
          <w:b/>
          <w:bCs/>
        </w:rPr>
        <w:t>Revista Estudos Institucionais</w:t>
      </w:r>
      <w:r w:rsidRPr="009C4947">
        <w:rPr>
          <w:rFonts w:ascii="Times New Roman" w:hAnsi="Times New Roman" w:cs="Times New Roman"/>
        </w:rPr>
        <w:t>, v. 3, n. 2, p. 923-948, 2017.</w:t>
      </w:r>
    </w:p>
    <w:p w14:paraId="0A9B6EE4" w14:textId="5234520E" w:rsidR="00E35BC1" w:rsidRPr="00061C3F" w:rsidRDefault="00E35BC1" w:rsidP="003D0CAE">
      <w:pPr>
        <w:spacing w:line="360" w:lineRule="auto"/>
        <w:jc w:val="both"/>
        <w:rPr>
          <w:rFonts w:ascii="Times New Roman" w:hAnsi="Times New Roman" w:cs="Times New Roman"/>
        </w:rPr>
      </w:pPr>
      <w:r w:rsidRPr="00061C3F">
        <w:rPr>
          <w:rFonts w:ascii="Times New Roman" w:hAnsi="Times New Roman" w:cs="Times New Roman"/>
        </w:rPr>
        <w:t xml:space="preserve">RAJÃO, R.; GIUDICE, R. D.; VAN DER HOFF, R.; CARVALHO, E. B. </w:t>
      </w:r>
      <w:r w:rsidRPr="00061C3F">
        <w:rPr>
          <w:rFonts w:ascii="Times New Roman" w:hAnsi="Times New Roman" w:cs="Times New Roman"/>
          <w:b/>
          <w:bCs/>
        </w:rPr>
        <w:t>Uma Breve História da Legislação Florestal Brasileira:</w:t>
      </w:r>
      <w:r w:rsidRPr="00061C3F">
        <w:rPr>
          <w:rFonts w:ascii="Times New Roman" w:hAnsi="Times New Roman" w:cs="Times New Roman"/>
        </w:rPr>
        <w:t xml:space="preserve"> Contém a Lei nº 12.651, de 2012, com comentários críticos acerca da aplicação de seus artigos. 1. ed. Florianópolis: Expressão, 2021.</w:t>
      </w:r>
    </w:p>
    <w:p w14:paraId="04A4616D" w14:textId="77777777" w:rsidR="009C4947" w:rsidRP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SANTOS, S. da C. dos. </w:t>
      </w:r>
      <w:r w:rsidRPr="009C4947">
        <w:rPr>
          <w:rFonts w:ascii="Times New Roman" w:hAnsi="Times New Roman" w:cs="Times New Roman"/>
          <w:b/>
          <w:bCs/>
        </w:rPr>
        <w:t>Análise de Reserva Legal Pará</w:t>
      </w:r>
      <w:r w:rsidRPr="009C4947">
        <w:rPr>
          <w:rFonts w:ascii="Times New Roman" w:hAnsi="Times New Roman" w:cs="Times New Roman"/>
        </w:rPr>
        <w:t xml:space="preserve">: scripts para processamento de dados do CAR e integração com Google Earth Engine. Versão 1.0. Belém: NGEO-IDEFLOR-Bio, 2026. Disponível em: </w:t>
      </w:r>
      <w:hyperlink r:id="rId7" w:tgtFrame="_blank" w:history="1">
        <w:r w:rsidRPr="009C4947">
          <w:rPr>
            <w:rStyle w:val="Hyperlink"/>
            <w:rFonts w:ascii="Times New Roman" w:hAnsi="Times New Roman" w:cs="Times New Roman"/>
          </w:rPr>
          <w:t>https://github.com/NGEO-IDEFLOR-Bio/analise-reserva-legal-para</w:t>
        </w:r>
      </w:hyperlink>
      <w:r w:rsidRPr="009C4947">
        <w:rPr>
          <w:rFonts w:ascii="Times New Roman" w:hAnsi="Times New Roman" w:cs="Times New Roman"/>
        </w:rPr>
        <w:t>. Acesso em: 11 mar. 2026.</w:t>
      </w:r>
    </w:p>
    <w:p w14:paraId="313A34FE" w14:textId="77777777" w:rsidR="009C4947" w:rsidRP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SERAPHIM, M. C.; FREIRIA, R. C. Regularização ambiental de propriedades rurais na Amazônia Legal e reinserção de produtores na cadeia da pecuária no contexto da transformação ecológica. In: RIBEIRO, F. de M.; REI, F. (orgs.). </w:t>
      </w:r>
      <w:r w:rsidRPr="009C4947">
        <w:rPr>
          <w:rFonts w:ascii="Times New Roman" w:hAnsi="Times New Roman" w:cs="Times New Roman"/>
          <w:b/>
          <w:bCs/>
        </w:rPr>
        <w:t>Energia e Meio Ambiente</w:t>
      </w:r>
      <w:r w:rsidRPr="009C4947">
        <w:rPr>
          <w:rFonts w:ascii="Times New Roman" w:hAnsi="Times New Roman" w:cs="Times New Roman"/>
        </w:rPr>
        <w:t>. Santos: Editora Universitária Leopoldianum, 2025. p. 75-92.</w:t>
      </w:r>
    </w:p>
    <w:p w14:paraId="14869AB4" w14:textId="77777777" w:rsidR="00E35BC1" w:rsidRDefault="00E35BC1" w:rsidP="003D0CAE">
      <w:pPr>
        <w:spacing w:line="360" w:lineRule="auto"/>
        <w:jc w:val="both"/>
        <w:rPr>
          <w:rFonts w:ascii="Times New Roman" w:hAnsi="Times New Roman" w:cs="Times New Roman"/>
        </w:rPr>
      </w:pPr>
      <w:r w:rsidRPr="00061C3F">
        <w:rPr>
          <w:rFonts w:ascii="Times New Roman" w:hAnsi="Times New Roman" w:cs="Times New Roman"/>
        </w:rPr>
        <w:t xml:space="preserve">SPAROVEK, G.; BARRETTO, A.; KLUG, I.; PAPP, L.; LINO, J. A revisão do Código Florestal brasileiro. </w:t>
      </w:r>
      <w:r w:rsidRPr="00061C3F">
        <w:rPr>
          <w:rFonts w:ascii="Times New Roman" w:hAnsi="Times New Roman" w:cs="Times New Roman"/>
          <w:b/>
          <w:bCs/>
        </w:rPr>
        <w:t>Novos Estudos - CEBRAP</w:t>
      </w:r>
      <w:r w:rsidRPr="00061C3F">
        <w:rPr>
          <w:rFonts w:ascii="Times New Roman" w:hAnsi="Times New Roman" w:cs="Times New Roman"/>
        </w:rPr>
        <w:t>, São Paulo, n. 89, p. 111-135, mar. 2011.</w:t>
      </w:r>
    </w:p>
    <w:p w14:paraId="54FE2C1A" w14:textId="77777777" w:rsidR="00211F6A" w:rsidRPr="00211F6A" w:rsidRDefault="00211F6A" w:rsidP="00211F6A">
      <w:pPr>
        <w:spacing w:line="360" w:lineRule="auto"/>
        <w:jc w:val="both"/>
        <w:rPr>
          <w:rFonts w:ascii="Times New Roman" w:hAnsi="Times New Roman" w:cs="Times New Roman"/>
        </w:rPr>
      </w:pPr>
      <w:r w:rsidRPr="00211F6A">
        <w:rPr>
          <w:rFonts w:ascii="Times New Roman" w:hAnsi="Times New Roman" w:cs="Times New Roman"/>
        </w:rPr>
        <w:t xml:space="preserve">R CORE TEAM. </w:t>
      </w:r>
      <w:r w:rsidRPr="00211F6A">
        <w:rPr>
          <w:rFonts w:ascii="Times New Roman" w:hAnsi="Times New Roman" w:cs="Times New Roman"/>
          <w:b/>
          <w:bCs/>
        </w:rPr>
        <w:t>R</w:t>
      </w:r>
      <w:r w:rsidRPr="00211F6A">
        <w:rPr>
          <w:rFonts w:ascii="Times New Roman" w:hAnsi="Times New Roman" w:cs="Times New Roman"/>
        </w:rPr>
        <w:t xml:space="preserve">: a language and environment for statistical computing. Vienna: R Foundation for Statistical Computing, 2024. Disponível em: </w:t>
      </w:r>
      <w:hyperlink r:id="rId8" w:tgtFrame="_blank" w:history="1">
        <w:r w:rsidRPr="00211F6A">
          <w:rPr>
            <w:rStyle w:val="Hyperlink"/>
            <w:rFonts w:ascii="Times New Roman" w:hAnsi="Times New Roman" w:cs="Times New Roman"/>
          </w:rPr>
          <w:t>https://www.R-project.org/</w:t>
        </w:r>
      </w:hyperlink>
      <w:r w:rsidRPr="00211F6A">
        <w:rPr>
          <w:rFonts w:ascii="Times New Roman" w:hAnsi="Times New Roman" w:cs="Times New Roman"/>
        </w:rPr>
        <w:t>. Acesso em: 11 mar. 2026.</w:t>
      </w:r>
    </w:p>
    <w:p w14:paraId="15F80F89" w14:textId="5B6BD466" w:rsidR="00211F6A" w:rsidRDefault="00211F6A" w:rsidP="003D0CAE">
      <w:pPr>
        <w:spacing w:line="360" w:lineRule="auto"/>
        <w:jc w:val="both"/>
        <w:rPr>
          <w:rFonts w:ascii="Times New Roman" w:hAnsi="Times New Roman" w:cs="Times New Roman"/>
        </w:rPr>
      </w:pPr>
      <w:r w:rsidRPr="00211F6A">
        <w:rPr>
          <w:rFonts w:ascii="Times New Roman" w:hAnsi="Times New Roman" w:cs="Times New Roman"/>
        </w:rPr>
        <w:t xml:space="preserve">WICKHAM, H. et al. Welcome to the </w:t>
      </w:r>
      <w:r w:rsidRPr="00211F6A">
        <w:rPr>
          <w:rFonts w:ascii="Times New Roman" w:hAnsi="Times New Roman" w:cs="Times New Roman"/>
          <w:b/>
          <w:bCs/>
        </w:rPr>
        <w:t>tidyverse</w:t>
      </w:r>
      <w:r w:rsidRPr="00211F6A">
        <w:rPr>
          <w:rFonts w:ascii="Times New Roman" w:hAnsi="Times New Roman" w:cs="Times New Roman"/>
        </w:rPr>
        <w:t>. Journal of Open Source Software, v. 4, n. 43, p. 1686, 2019.</w:t>
      </w:r>
    </w:p>
    <w:sectPr w:rsidR="00211F6A" w:rsidSect="00571689">
      <w:pgSz w:w="11906" w:h="16838"/>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A05D0"/>
    <w:multiLevelType w:val="multilevel"/>
    <w:tmpl w:val="DA441D1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646CC"/>
    <w:multiLevelType w:val="multilevel"/>
    <w:tmpl w:val="73C02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881C63"/>
    <w:multiLevelType w:val="multilevel"/>
    <w:tmpl w:val="8E64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8607EC"/>
    <w:multiLevelType w:val="multilevel"/>
    <w:tmpl w:val="15D0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E8440A"/>
    <w:multiLevelType w:val="multilevel"/>
    <w:tmpl w:val="ABCE7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0282274">
    <w:abstractNumId w:val="3"/>
  </w:num>
  <w:num w:numId="2" w16cid:durableId="947472587">
    <w:abstractNumId w:val="1"/>
  </w:num>
  <w:num w:numId="3" w16cid:durableId="1755202286">
    <w:abstractNumId w:val="4"/>
  </w:num>
  <w:num w:numId="4" w16cid:durableId="1336424144">
    <w:abstractNumId w:val="2"/>
  </w:num>
  <w:num w:numId="5" w16cid:durableId="1045524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6DC"/>
    <w:rsid w:val="000075FB"/>
    <w:rsid w:val="00061C3F"/>
    <w:rsid w:val="0019372A"/>
    <w:rsid w:val="001B10D5"/>
    <w:rsid w:val="001B3A72"/>
    <w:rsid w:val="001C71DB"/>
    <w:rsid w:val="00211F6A"/>
    <w:rsid w:val="00303E76"/>
    <w:rsid w:val="00312AA8"/>
    <w:rsid w:val="00316DC2"/>
    <w:rsid w:val="003D0CAE"/>
    <w:rsid w:val="004122D1"/>
    <w:rsid w:val="00437888"/>
    <w:rsid w:val="00447203"/>
    <w:rsid w:val="004B2744"/>
    <w:rsid w:val="00571689"/>
    <w:rsid w:val="005E469B"/>
    <w:rsid w:val="006811A0"/>
    <w:rsid w:val="006D61FB"/>
    <w:rsid w:val="006F0076"/>
    <w:rsid w:val="00707CB9"/>
    <w:rsid w:val="00720B5F"/>
    <w:rsid w:val="00806EAF"/>
    <w:rsid w:val="00826E92"/>
    <w:rsid w:val="00867739"/>
    <w:rsid w:val="008A76A4"/>
    <w:rsid w:val="008B797B"/>
    <w:rsid w:val="008F3BB8"/>
    <w:rsid w:val="009565A6"/>
    <w:rsid w:val="009C4947"/>
    <w:rsid w:val="009E3361"/>
    <w:rsid w:val="00A67E14"/>
    <w:rsid w:val="00A726DC"/>
    <w:rsid w:val="00B402DF"/>
    <w:rsid w:val="00B55AD7"/>
    <w:rsid w:val="00C44CB5"/>
    <w:rsid w:val="00D53911"/>
    <w:rsid w:val="00D97E04"/>
    <w:rsid w:val="00DD24CC"/>
    <w:rsid w:val="00E35BC1"/>
    <w:rsid w:val="00EA2B6D"/>
    <w:rsid w:val="00EE2C45"/>
    <w:rsid w:val="00F36CC8"/>
    <w:rsid w:val="00F47B23"/>
    <w:rsid w:val="00F56739"/>
    <w:rsid w:val="00FF32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4321F"/>
  <w15:chartTrackingRefBased/>
  <w15:docId w15:val="{2890FAF0-D4C9-457E-9A4B-F5DD3CCC3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Nível 1"/>
    <w:basedOn w:val="Normal"/>
    <w:next w:val="Normal"/>
    <w:link w:val="Ttulo1Char"/>
    <w:uiPriority w:val="9"/>
    <w:qFormat/>
    <w:rsid w:val="00D53911"/>
    <w:pPr>
      <w:keepNext/>
      <w:keepLines/>
      <w:spacing w:before="360" w:after="80"/>
      <w:outlineLvl w:val="0"/>
    </w:pPr>
    <w:rPr>
      <w:rFonts w:ascii="Times New Roman" w:eastAsiaTheme="majorEastAsia" w:hAnsi="Times New Roman" w:cstheme="majorBidi"/>
      <w:color w:val="000000" w:themeColor="text1"/>
      <w:szCs w:val="40"/>
    </w:rPr>
  </w:style>
  <w:style w:type="paragraph" w:styleId="Ttulo2">
    <w:name w:val="heading 2"/>
    <w:basedOn w:val="Normal"/>
    <w:next w:val="Normal"/>
    <w:link w:val="Ttulo2Char"/>
    <w:uiPriority w:val="9"/>
    <w:semiHidden/>
    <w:unhideWhenUsed/>
    <w:qFormat/>
    <w:rsid w:val="00A72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726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726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726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726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726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726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726D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Nível 1 Char"/>
    <w:basedOn w:val="Fontepargpadro"/>
    <w:link w:val="Ttulo1"/>
    <w:uiPriority w:val="9"/>
    <w:rsid w:val="00D53911"/>
    <w:rPr>
      <w:rFonts w:ascii="Times New Roman" w:eastAsiaTheme="majorEastAsia" w:hAnsi="Times New Roman" w:cstheme="majorBidi"/>
      <w:color w:val="000000" w:themeColor="text1"/>
      <w:szCs w:val="40"/>
    </w:rPr>
  </w:style>
  <w:style w:type="character" w:customStyle="1" w:styleId="Ttulo2Char">
    <w:name w:val="Título 2 Char"/>
    <w:basedOn w:val="Fontepargpadro"/>
    <w:link w:val="Ttulo2"/>
    <w:uiPriority w:val="9"/>
    <w:semiHidden/>
    <w:rsid w:val="00A726D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726D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726D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726D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726D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726D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726D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726DC"/>
    <w:rPr>
      <w:rFonts w:eastAsiaTheme="majorEastAsia" w:cstheme="majorBidi"/>
      <w:color w:val="272727" w:themeColor="text1" w:themeTint="D8"/>
    </w:rPr>
  </w:style>
  <w:style w:type="paragraph" w:styleId="Ttulo">
    <w:name w:val="Title"/>
    <w:basedOn w:val="Normal"/>
    <w:next w:val="Normal"/>
    <w:link w:val="TtuloChar"/>
    <w:uiPriority w:val="10"/>
    <w:qFormat/>
    <w:rsid w:val="00A72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726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726D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726D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726DC"/>
    <w:pPr>
      <w:spacing w:before="160"/>
      <w:jc w:val="center"/>
    </w:pPr>
    <w:rPr>
      <w:i/>
      <w:iCs/>
      <w:color w:val="404040" w:themeColor="text1" w:themeTint="BF"/>
    </w:rPr>
  </w:style>
  <w:style w:type="character" w:customStyle="1" w:styleId="CitaoChar">
    <w:name w:val="Citação Char"/>
    <w:basedOn w:val="Fontepargpadro"/>
    <w:link w:val="Citao"/>
    <w:uiPriority w:val="29"/>
    <w:rsid w:val="00A726DC"/>
    <w:rPr>
      <w:i/>
      <w:iCs/>
      <w:color w:val="404040" w:themeColor="text1" w:themeTint="BF"/>
    </w:rPr>
  </w:style>
  <w:style w:type="paragraph" w:styleId="PargrafodaLista">
    <w:name w:val="List Paragraph"/>
    <w:basedOn w:val="Normal"/>
    <w:uiPriority w:val="34"/>
    <w:qFormat/>
    <w:rsid w:val="00A726DC"/>
    <w:pPr>
      <w:ind w:left="720"/>
      <w:contextualSpacing/>
    </w:pPr>
  </w:style>
  <w:style w:type="character" w:styleId="nfaseIntensa">
    <w:name w:val="Intense Emphasis"/>
    <w:basedOn w:val="Fontepargpadro"/>
    <w:uiPriority w:val="21"/>
    <w:qFormat/>
    <w:rsid w:val="00A726DC"/>
    <w:rPr>
      <w:i/>
      <w:iCs/>
      <w:color w:val="0F4761" w:themeColor="accent1" w:themeShade="BF"/>
    </w:rPr>
  </w:style>
  <w:style w:type="paragraph" w:styleId="CitaoIntensa">
    <w:name w:val="Intense Quote"/>
    <w:basedOn w:val="Normal"/>
    <w:next w:val="Normal"/>
    <w:link w:val="CitaoIntensaChar"/>
    <w:uiPriority w:val="30"/>
    <w:qFormat/>
    <w:rsid w:val="00A72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726DC"/>
    <w:rPr>
      <w:i/>
      <w:iCs/>
      <w:color w:val="0F4761" w:themeColor="accent1" w:themeShade="BF"/>
    </w:rPr>
  </w:style>
  <w:style w:type="character" w:styleId="RefernciaIntensa">
    <w:name w:val="Intense Reference"/>
    <w:basedOn w:val="Fontepargpadro"/>
    <w:uiPriority w:val="32"/>
    <w:qFormat/>
    <w:rsid w:val="00A726DC"/>
    <w:rPr>
      <w:b/>
      <w:bCs/>
      <w:smallCaps/>
      <w:color w:val="0F4761" w:themeColor="accent1" w:themeShade="BF"/>
      <w:spacing w:val="5"/>
    </w:rPr>
  </w:style>
  <w:style w:type="character" w:styleId="Hyperlink">
    <w:name w:val="Hyperlink"/>
    <w:basedOn w:val="Fontepargpadro"/>
    <w:uiPriority w:val="99"/>
    <w:unhideWhenUsed/>
    <w:rsid w:val="00B55AD7"/>
    <w:rPr>
      <w:color w:val="467886" w:themeColor="hyperlink"/>
      <w:u w:val="single"/>
    </w:rPr>
  </w:style>
  <w:style w:type="character" w:styleId="MenoPendente">
    <w:name w:val="Unresolved Mention"/>
    <w:basedOn w:val="Fontepargpadro"/>
    <w:uiPriority w:val="99"/>
    <w:semiHidden/>
    <w:unhideWhenUsed/>
    <w:rsid w:val="00B55AD7"/>
    <w:rPr>
      <w:color w:val="605E5C"/>
      <w:shd w:val="clear" w:color="auto" w:fill="E1DFDD"/>
    </w:rPr>
  </w:style>
  <w:style w:type="character" w:styleId="TextodoEspaoReservado">
    <w:name w:val="Placeholder Text"/>
    <w:basedOn w:val="Fontepargpadro"/>
    <w:uiPriority w:val="99"/>
    <w:semiHidden/>
    <w:rsid w:val="00B402D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project.org/" TargetMode="External"/><Relationship Id="rId3" Type="http://schemas.openxmlformats.org/officeDocument/2006/relationships/styles" Target="styles.xml"/><Relationship Id="rId7" Type="http://schemas.openxmlformats.org/officeDocument/2006/relationships/hyperlink" Target="https://github.com/NGEO-IDEFLOR-Bio/analise-reserva-legal-par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planalto.gov.br/ccivil_03/leis/l8629.ht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BDE862-F36B-4CB4-94B4-68D562DA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19</Pages>
  <Words>6438</Words>
  <Characters>36316</Characters>
  <Application>Microsoft Office Word</Application>
  <DocSecurity>0</DocSecurity>
  <Lines>576</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Santos</dc:creator>
  <cp:keywords/>
  <dc:description/>
  <cp:lastModifiedBy>Samuel Santos</cp:lastModifiedBy>
  <cp:revision>13</cp:revision>
  <dcterms:created xsi:type="dcterms:W3CDTF">2026-03-08T22:34:00Z</dcterms:created>
  <dcterms:modified xsi:type="dcterms:W3CDTF">2026-03-11T08:46:00Z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2026-03-08T23:29:21Z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d52c1a72-e071-48a5-8a2a-1c429f31c142</vt:lpwstr>
  </property>
  <property fmtid="{D5CDD505-2E9C-101B-9397-08002B2CF9AE}" pid="7" name="MSIP_Label_defa4170-0d19-0005-0004-bc88714345d2_ActionId">
    <vt:lpwstr>4d1205a2-7e76-441b-aab7-7da6679279a8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