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077B1"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GOVERNO DO ESTADO DO PARÁ</w:t>
      </w:r>
    </w:p>
    <w:p w14:paraId="6567F619"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INSTITUTO DE DESENVOLVIMENTO FLORESTAL E DA BIODIVERSIDADE (IDEFLOR-BIO)</w:t>
      </w:r>
    </w:p>
    <w:p w14:paraId="15DDF1BD" w14:textId="4006F168"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NÚCLEO DE GEOTECNOLOGIA (NGEO)</w:t>
      </w:r>
    </w:p>
    <w:p w14:paraId="65E40DAF" w14:textId="77777777" w:rsidR="005E598B" w:rsidRPr="005E598B" w:rsidRDefault="005E598B" w:rsidP="005E598B">
      <w:pPr>
        <w:spacing w:after="0" w:line="360" w:lineRule="auto"/>
        <w:jc w:val="both"/>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55A4A0A0" w14:textId="77777777" w:rsidR="005E598B" w:rsidRPr="005E598B" w:rsidRDefault="005E598B" w:rsidP="005E598B">
      <w:pPr>
        <w:spacing w:after="0" w:line="360" w:lineRule="auto"/>
        <w:jc w:val="both"/>
        <w:rPr>
          <w:rFonts w:ascii="Times New Roman" w:hAnsi="Times New Roman" w:cs="Times New Roman"/>
          <w:b/>
          <w:bCs/>
        </w:rPr>
      </w:pPr>
    </w:p>
    <w:p w14:paraId="18B32BFB" w14:textId="77777777" w:rsidR="005E598B" w:rsidRPr="005E598B" w:rsidRDefault="005E598B" w:rsidP="005E598B">
      <w:pPr>
        <w:spacing w:after="0" w:line="360" w:lineRule="auto"/>
        <w:jc w:val="both"/>
        <w:rPr>
          <w:rFonts w:ascii="Times New Roman" w:hAnsi="Times New Roman" w:cs="Times New Roman"/>
          <w:b/>
          <w:bCs/>
        </w:rPr>
      </w:pPr>
    </w:p>
    <w:p w14:paraId="476C31A2" w14:textId="77777777" w:rsidR="005E598B" w:rsidRPr="005E598B" w:rsidRDefault="005E598B" w:rsidP="005E598B">
      <w:pPr>
        <w:spacing w:after="0" w:line="360" w:lineRule="auto"/>
        <w:jc w:val="both"/>
        <w:rPr>
          <w:rFonts w:ascii="Times New Roman" w:hAnsi="Times New Roman" w:cs="Times New Roman"/>
          <w:b/>
          <w:bCs/>
        </w:rPr>
      </w:pPr>
    </w:p>
    <w:p w14:paraId="7FEA954B" w14:textId="77777777" w:rsidR="005E598B" w:rsidRPr="005E598B" w:rsidRDefault="005E598B" w:rsidP="005E598B">
      <w:pPr>
        <w:spacing w:after="0" w:line="360" w:lineRule="auto"/>
        <w:jc w:val="both"/>
        <w:rPr>
          <w:rFonts w:ascii="Times New Roman" w:hAnsi="Times New Roman" w:cs="Times New Roman"/>
          <w:b/>
          <w:bCs/>
        </w:rPr>
      </w:pPr>
    </w:p>
    <w:p w14:paraId="78EDF03A" w14:textId="77777777" w:rsidR="005E598B" w:rsidRPr="005E598B" w:rsidRDefault="005E598B" w:rsidP="005E598B">
      <w:pPr>
        <w:spacing w:after="0" w:line="360" w:lineRule="auto"/>
        <w:jc w:val="center"/>
        <w:rPr>
          <w:rFonts w:ascii="Times New Roman" w:hAnsi="Times New Roman" w:cs="Times New Roman"/>
          <w:b/>
          <w:bCs/>
          <w:sz w:val="28"/>
          <w:szCs w:val="28"/>
        </w:rPr>
      </w:pPr>
      <w:r w:rsidRPr="005E598B">
        <w:rPr>
          <w:rFonts w:ascii="Times New Roman" w:hAnsi="Times New Roman" w:cs="Times New Roman"/>
          <w:b/>
          <w:bCs/>
          <w:sz w:val="28"/>
          <w:szCs w:val="28"/>
        </w:rPr>
        <w:t>ANÁLISE GEOESTATÍSTICA DO PASSIVO DE RESERVA LEGAL EM IMÓVEIS DE MÉDIO E GRANDE PORTE NO ESTADO DO PARÁ: IMPACTOS DA TRANSIÇÃO NORMATIVA DO ARTIGO 12 DA LEI Nº 12.651/2012</w:t>
      </w:r>
    </w:p>
    <w:p w14:paraId="562A3386" w14:textId="77777777" w:rsidR="005E598B" w:rsidRPr="005E598B" w:rsidRDefault="005E598B" w:rsidP="005E598B">
      <w:pPr>
        <w:spacing w:after="0" w:line="360" w:lineRule="auto"/>
        <w:jc w:val="center"/>
        <w:rPr>
          <w:rFonts w:ascii="Times New Roman" w:hAnsi="Times New Roman" w:cs="Times New Roman"/>
          <w:b/>
          <w:bCs/>
        </w:rPr>
      </w:pPr>
    </w:p>
    <w:p w14:paraId="362E55BD" w14:textId="77777777" w:rsidR="005E598B" w:rsidRPr="005E598B" w:rsidRDefault="005E598B" w:rsidP="005E598B">
      <w:pPr>
        <w:spacing w:after="0" w:line="360" w:lineRule="auto"/>
        <w:jc w:val="center"/>
        <w:rPr>
          <w:rFonts w:ascii="Times New Roman" w:hAnsi="Times New Roman" w:cs="Times New Roman"/>
          <w:b/>
          <w:bCs/>
        </w:rPr>
      </w:pPr>
    </w:p>
    <w:p w14:paraId="36B5C12D"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br/>
      </w:r>
    </w:p>
    <w:p w14:paraId="5B25D25C" w14:textId="21ACE4DA" w:rsidR="005E598B" w:rsidRPr="005E598B" w:rsidRDefault="005E598B" w:rsidP="005E598B">
      <w:pPr>
        <w:spacing w:after="0" w:line="360" w:lineRule="auto"/>
        <w:jc w:val="center"/>
        <w:rPr>
          <w:rFonts w:ascii="Times New Roman" w:hAnsi="Times New Roman" w:cs="Times New Roman"/>
          <w:b/>
          <w:bCs/>
        </w:rPr>
      </w:pPr>
    </w:p>
    <w:p w14:paraId="550405D6"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SAMUEL DA COSTA DOS SANTOS</w:t>
      </w:r>
    </w:p>
    <w:p w14:paraId="3DB0B0D7" w14:textId="77777777" w:rsidR="005E598B" w:rsidRPr="005E598B" w:rsidRDefault="005E598B" w:rsidP="005E598B">
      <w:pPr>
        <w:spacing w:after="0" w:line="360" w:lineRule="auto"/>
        <w:jc w:val="both"/>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r w:rsidRPr="005E598B">
        <w:rPr>
          <w:rFonts w:ascii="Times New Roman" w:hAnsi="Times New Roman" w:cs="Times New Roman"/>
          <w:b/>
          <w:bCs/>
        </w:rPr>
        <w:br/>
      </w:r>
    </w:p>
    <w:p w14:paraId="1C3112DA" w14:textId="77777777" w:rsidR="005E598B" w:rsidRPr="005E598B" w:rsidRDefault="005E598B" w:rsidP="005E598B">
      <w:pPr>
        <w:spacing w:after="0" w:line="360" w:lineRule="auto"/>
        <w:jc w:val="both"/>
        <w:rPr>
          <w:rFonts w:ascii="Times New Roman" w:hAnsi="Times New Roman" w:cs="Times New Roman"/>
          <w:b/>
          <w:bCs/>
        </w:rPr>
      </w:pPr>
    </w:p>
    <w:p w14:paraId="6AAB1F7F" w14:textId="77777777" w:rsidR="005E598B" w:rsidRPr="005E598B" w:rsidRDefault="005E598B" w:rsidP="005E598B">
      <w:pPr>
        <w:spacing w:after="0" w:line="360" w:lineRule="auto"/>
        <w:jc w:val="both"/>
        <w:rPr>
          <w:rFonts w:ascii="Times New Roman" w:hAnsi="Times New Roman" w:cs="Times New Roman"/>
          <w:b/>
          <w:bCs/>
        </w:rPr>
      </w:pPr>
    </w:p>
    <w:p w14:paraId="47108270" w14:textId="77777777" w:rsidR="005E598B" w:rsidRPr="005E598B" w:rsidRDefault="005E598B" w:rsidP="005E598B">
      <w:pPr>
        <w:spacing w:after="0" w:line="360" w:lineRule="auto"/>
        <w:jc w:val="both"/>
        <w:rPr>
          <w:rFonts w:ascii="Times New Roman" w:hAnsi="Times New Roman" w:cs="Times New Roman"/>
          <w:b/>
          <w:bCs/>
        </w:rPr>
      </w:pPr>
    </w:p>
    <w:p w14:paraId="1660CA98" w14:textId="3E7CF462" w:rsidR="005E598B" w:rsidRPr="005E598B" w:rsidRDefault="005E598B" w:rsidP="005E598B">
      <w:pPr>
        <w:spacing w:after="0" w:line="360" w:lineRule="auto"/>
        <w:jc w:val="both"/>
        <w:rPr>
          <w:rFonts w:ascii="Times New Roman" w:hAnsi="Times New Roman" w:cs="Times New Roman"/>
          <w:b/>
          <w:bCs/>
        </w:rPr>
      </w:pPr>
      <w:r w:rsidRPr="005E598B">
        <w:rPr>
          <w:rFonts w:ascii="Times New Roman" w:hAnsi="Times New Roman" w:cs="Times New Roman"/>
          <w:b/>
          <w:bCs/>
        </w:rPr>
        <w:br/>
      </w:r>
    </w:p>
    <w:p w14:paraId="1A48F99F" w14:textId="77777777" w:rsidR="005E598B" w:rsidRPr="005E598B" w:rsidRDefault="005E598B" w:rsidP="005E598B">
      <w:pPr>
        <w:spacing w:after="0" w:line="360" w:lineRule="auto"/>
        <w:jc w:val="center"/>
        <w:rPr>
          <w:rFonts w:ascii="Times New Roman" w:hAnsi="Times New Roman" w:cs="Times New Roman"/>
          <w:b/>
          <w:bCs/>
        </w:rPr>
      </w:pPr>
      <w:r w:rsidRPr="005E598B">
        <w:rPr>
          <w:rFonts w:ascii="Times New Roman" w:hAnsi="Times New Roman" w:cs="Times New Roman"/>
          <w:b/>
          <w:bCs/>
        </w:rPr>
        <w:t>BELÉM – PA 2026</w:t>
      </w:r>
    </w:p>
    <w:p w14:paraId="6009A7FB" w14:textId="77777777" w:rsidR="005E598B" w:rsidRPr="005E598B" w:rsidRDefault="005E598B" w:rsidP="003D0CAE">
      <w:pPr>
        <w:spacing w:before="240" w:line="360" w:lineRule="auto"/>
        <w:jc w:val="both"/>
        <w:rPr>
          <w:rFonts w:ascii="Times New Roman" w:hAnsi="Times New Roman" w:cs="Times New Roman"/>
          <w:b/>
          <w:bCs/>
        </w:rPr>
      </w:pPr>
    </w:p>
    <w:p w14:paraId="05B39C25" w14:textId="77777777" w:rsidR="005E598B" w:rsidRPr="005E598B" w:rsidRDefault="005E598B" w:rsidP="005E598B">
      <w:pPr>
        <w:jc w:val="center"/>
        <w:rPr>
          <w:rFonts w:ascii="Times New Roman" w:hAnsi="Times New Roman" w:cs="Times New Roman"/>
          <w:b/>
          <w:bCs/>
        </w:rPr>
      </w:pPr>
      <w:r w:rsidRPr="005E598B">
        <w:rPr>
          <w:rFonts w:ascii="Times New Roman" w:hAnsi="Times New Roman" w:cs="Times New Roman"/>
          <w:b/>
          <w:bCs/>
        </w:rPr>
        <w:br w:type="page"/>
      </w:r>
      <w:r w:rsidRPr="005E598B">
        <w:rPr>
          <w:rFonts w:ascii="Times New Roman" w:hAnsi="Times New Roman" w:cs="Times New Roman"/>
          <w:b/>
          <w:bCs/>
        </w:rPr>
        <w:lastRenderedPageBreak/>
        <w:t>SAMUEL DA COSTA DOS SANTOS</w:t>
      </w:r>
    </w:p>
    <w:p w14:paraId="3B9573C5" w14:textId="77777777" w:rsidR="005E598B" w:rsidRDefault="005E598B" w:rsidP="005E598B">
      <w:pPr>
        <w:rPr>
          <w:rFonts w:ascii="Times New Roman" w:hAnsi="Times New Roman" w:cs="Times New Roman"/>
          <w:b/>
          <w:bCs/>
        </w:rPr>
      </w:pPr>
      <w:r w:rsidRPr="005E598B">
        <w:rPr>
          <w:rFonts w:ascii="Times New Roman" w:hAnsi="Times New Roman" w:cs="Times New Roman"/>
          <w:b/>
          <w:bCs/>
        </w:rPr>
        <w:br/>
      </w:r>
    </w:p>
    <w:p w14:paraId="5679E1B3" w14:textId="6F871984" w:rsidR="005E598B" w:rsidRPr="005E598B" w:rsidRDefault="005E598B" w:rsidP="005E598B">
      <w:pPr>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1CD47AF4" w14:textId="77777777" w:rsidR="005E598B" w:rsidRPr="005E598B" w:rsidRDefault="005E598B" w:rsidP="005E598B">
      <w:pPr>
        <w:jc w:val="center"/>
        <w:rPr>
          <w:rFonts w:ascii="Times New Roman" w:hAnsi="Times New Roman" w:cs="Times New Roman"/>
          <w:b/>
          <w:bCs/>
        </w:rPr>
      </w:pPr>
      <w:r w:rsidRPr="005E598B">
        <w:rPr>
          <w:rFonts w:ascii="Times New Roman" w:hAnsi="Times New Roman" w:cs="Times New Roman"/>
          <w:b/>
          <w:bCs/>
        </w:rPr>
        <w:t>ANÁLISE GEOESTATÍSTICA DO PASSIVO DE RESERVA LEGAL EM IMÓVEIS DE MÉDIO E GRANDE PORTE NO ESTADO DO PARÁ: IMPACTOS DA TRANSIÇÃO NORMATIVA DO ARTIGO 12 DA LEI Nº 12.651/2012</w:t>
      </w:r>
    </w:p>
    <w:p w14:paraId="6A4A187F" w14:textId="77777777" w:rsidR="005E598B" w:rsidRDefault="005E598B" w:rsidP="005E598B">
      <w:pPr>
        <w:ind w:left="4536"/>
        <w:jc w:val="both"/>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1E7D9DD6" w14:textId="4695577C" w:rsidR="005E598B" w:rsidRPr="005E598B" w:rsidRDefault="005E598B" w:rsidP="005E598B">
      <w:pPr>
        <w:ind w:left="4536"/>
        <w:jc w:val="both"/>
        <w:rPr>
          <w:rFonts w:ascii="Times New Roman" w:hAnsi="Times New Roman" w:cs="Times New Roman"/>
          <w:b/>
          <w:bCs/>
        </w:rPr>
      </w:pPr>
      <w:r w:rsidRPr="005E598B">
        <w:rPr>
          <w:rFonts w:ascii="Times New Roman" w:hAnsi="Times New Roman" w:cs="Times New Roman"/>
          <w:b/>
          <w:bCs/>
        </w:rPr>
        <w:br/>
      </w:r>
    </w:p>
    <w:p w14:paraId="541CE140" w14:textId="77777777" w:rsidR="005E598B" w:rsidRPr="005E598B" w:rsidRDefault="005E598B" w:rsidP="005E598B">
      <w:pPr>
        <w:ind w:left="4536" w:firstLine="709"/>
        <w:jc w:val="both"/>
        <w:rPr>
          <w:rFonts w:ascii="Times New Roman" w:hAnsi="Times New Roman" w:cs="Times New Roman"/>
        </w:rPr>
      </w:pPr>
      <w:r w:rsidRPr="005E598B">
        <w:rPr>
          <w:rFonts w:ascii="Times New Roman" w:hAnsi="Times New Roman" w:cs="Times New Roman"/>
        </w:rPr>
        <w:t>Relatório Técnico apresentado ao Instituto de Desenvolvimento Florestal e da Biodiversidade do Estado do Pará (IDEFLOR-Bio) como produto da análise geoespacial e estatística dos dados de regularização ambiental de imóveis rurais acima de 4 módulos fiscais, visando subsidiar a gestão do passivo florestal estadual.</w:t>
      </w:r>
    </w:p>
    <w:p w14:paraId="72FA2B2A" w14:textId="77777777" w:rsidR="005E598B" w:rsidRPr="005E598B" w:rsidRDefault="005E598B" w:rsidP="005E598B">
      <w:pPr>
        <w:ind w:left="4536"/>
        <w:jc w:val="both"/>
        <w:rPr>
          <w:rFonts w:ascii="Times New Roman" w:hAnsi="Times New Roman" w:cs="Times New Roman"/>
          <w:b/>
          <w:bCs/>
        </w:rPr>
      </w:pPr>
      <w:r w:rsidRPr="005E598B">
        <w:rPr>
          <w:rFonts w:ascii="Times New Roman" w:hAnsi="Times New Roman" w:cs="Times New Roman"/>
          <w:b/>
          <w:bCs/>
        </w:rPr>
        <w:t xml:space="preserve">Responsável Técnico: </w:t>
      </w:r>
      <w:r w:rsidRPr="005E598B">
        <w:rPr>
          <w:rFonts w:ascii="Times New Roman" w:hAnsi="Times New Roman" w:cs="Times New Roman"/>
        </w:rPr>
        <w:t>Samuel da Costa dos Santos Coordenador do Núcleo de Geotecnologias – NGEO IDEFLOR-Bio</w:t>
      </w:r>
    </w:p>
    <w:p w14:paraId="42428FC9" w14:textId="77777777" w:rsidR="005E598B" w:rsidRDefault="005E598B" w:rsidP="005E598B">
      <w:pPr>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p>
    <w:p w14:paraId="3324C2FA" w14:textId="77777777" w:rsidR="005E598B" w:rsidRDefault="005E598B" w:rsidP="005E598B">
      <w:pPr>
        <w:rPr>
          <w:rFonts w:ascii="Times New Roman" w:hAnsi="Times New Roman" w:cs="Times New Roman"/>
          <w:b/>
          <w:bCs/>
        </w:rPr>
      </w:pPr>
    </w:p>
    <w:p w14:paraId="7CD3CD87" w14:textId="77777777" w:rsidR="005E598B" w:rsidRDefault="005E598B" w:rsidP="005E598B">
      <w:pPr>
        <w:rPr>
          <w:rFonts w:ascii="Times New Roman" w:hAnsi="Times New Roman" w:cs="Times New Roman"/>
          <w:b/>
          <w:bCs/>
        </w:rPr>
      </w:pPr>
    </w:p>
    <w:p w14:paraId="3AA08ED7" w14:textId="77777777" w:rsidR="005E598B" w:rsidRDefault="005E598B" w:rsidP="005E598B">
      <w:pPr>
        <w:rPr>
          <w:rFonts w:ascii="Times New Roman" w:hAnsi="Times New Roman" w:cs="Times New Roman"/>
          <w:b/>
          <w:bCs/>
        </w:rPr>
      </w:pPr>
    </w:p>
    <w:p w14:paraId="0256DF13" w14:textId="3C949118" w:rsidR="005E598B" w:rsidRPr="005E598B" w:rsidRDefault="005E598B" w:rsidP="005E598B">
      <w:pPr>
        <w:rPr>
          <w:rFonts w:ascii="Times New Roman" w:hAnsi="Times New Roman" w:cs="Times New Roman"/>
          <w:b/>
          <w:bCs/>
        </w:rPr>
      </w:pPr>
      <w:r w:rsidRPr="005E598B">
        <w:rPr>
          <w:rFonts w:ascii="Times New Roman" w:hAnsi="Times New Roman" w:cs="Times New Roman"/>
          <w:b/>
          <w:bCs/>
        </w:rPr>
        <w:br/>
      </w:r>
      <w:r w:rsidRPr="005E598B">
        <w:rPr>
          <w:rFonts w:ascii="Times New Roman" w:hAnsi="Times New Roman" w:cs="Times New Roman"/>
          <w:b/>
          <w:bCs/>
        </w:rPr>
        <w:br/>
      </w:r>
      <w:r w:rsidRPr="005E598B">
        <w:rPr>
          <w:rFonts w:ascii="Times New Roman" w:hAnsi="Times New Roman" w:cs="Times New Roman"/>
          <w:b/>
          <w:bCs/>
        </w:rPr>
        <w:br/>
      </w:r>
    </w:p>
    <w:p w14:paraId="59B89645" w14:textId="77777777" w:rsidR="005E598B" w:rsidRPr="005E598B" w:rsidRDefault="005E598B" w:rsidP="005E598B">
      <w:pPr>
        <w:jc w:val="center"/>
        <w:rPr>
          <w:rFonts w:ascii="Times New Roman" w:hAnsi="Times New Roman" w:cs="Times New Roman"/>
          <w:b/>
          <w:bCs/>
        </w:rPr>
      </w:pPr>
      <w:r w:rsidRPr="005E598B">
        <w:rPr>
          <w:rFonts w:ascii="Times New Roman" w:hAnsi="Times New Roman" w:cs="Times New Roman"/>
          <w:b/>
          <w:bCs/>
        </w:rPr>
        <w:t>BELÉM – PA 2026</w:t>
      </w:r>
    </w:p>
    <w:sdt>
      <w:sdtPr>
        <w:id w:val="-122205985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1A0AADD" w14:textId="3663A848" w:rsidR="004A059C" w:rsidRPr="004A059C" w:rsidRDefault="004A059C" w:rsidP="004A059C">
          <w:pPr>
            <w:pStyle w:val="CabealhodoSumrio"/>
            <w:jc w:val="center"/>
            <w:rPr>
              <w:rFonts w:ascii="Times New Roman" w:hAnsi="Times New Roman" w:cs="Times New Roman"/>
              <w:b/>
              <w:bCs/>
              <w:color w:val="auto"/>
              <w:sz w:val="24"/>
              <w:szCs w:val="24"/>
            </w:rPr>
          </w:pPr>
          <w:r w:rsidRPr="004A059C">
            <w:rPr>
              <w:rFonts w:ascii="Times New Roman" w:hAnsi="Times New Roman" w:cs="Times New Roman"/>
              <w:b/>
              <w:bCs/>
              <w:color w:val="auto"/>
              <w:sz w:val="24"/>
              <w:szCs w:val="24"/>
            </w:rPr>
            <w:t>SUMÁRIO</w:t>
          </w:r>
        </w:p>
        <w:p w14:paraId="0E085BB3" w14:textId="5EC32E2F" w:rsidR="000903DF" w:rsidRDefault="004A059C">
          <w:pPr>
            <w:pStyle w:val="Sumrio1"/>
            <w:tabs>
              <w:tab w:val="right" w:leader="dot" w:pos="9060"/>
            </w:tabs>
            <w:rPr>
              <w:rFonts w:eastAsiaTheme="minorEastAsia"/>
              <w:noProof/>
              <w:lang w:eastAsia="pt-BR"/>
            </w:rPr>
          </w:pPr>
          <w:r>
            <w:fldChar w:fldCharType="begin"/>
          </w:r>
          <w:r>
            <w:instrText xml:space="preserve"> TOC \o "1-3" \h \z \u </w:instrText>
          </w:r>
          <w:r>
            <w:fldChar w:fldCharType="separate"/>
          </w:r>
          <w:hyperlink w:anchor="_Toc224164510" w:history="1">
            <w:r w:rsidR="000903DF" w:rsidRPr="00A970A0">
              <w:rPr>
                <w:rStyle w:val="Hyperlink"/>
                <w:rFonts w:cs="Times New Roman"/>
                <w:noProof/>
              </w:rPr>
              <w:t>1 INTRODUÇÃO</w:t>
            </w:r>
            <w:r w:rsidR="000903DF">
              <w:rPr>
                <w:noProof/>
                <w:webHidden/>
              </w:rPr>
              <w:tab/>
            </w:r>
            <w:r w:rsidR="000903DF">
              <w:rPr>
                <w:noProof/>
                <w:webHidden/>
              </w:rPr>
              <w:fldChar w:fldCharType="begin"/>
            </w:r>
            <w:r w:rsidR="000903DF">
              <w:rPr>
                <w:noProof/>
                <w:webHidden/>
              </w:rPr>
              <w:instrText xml:space="preserve"> PAGEREF _Toc224164510 \h </w:instrText>
            </w:r>
            <w:r w:rsidR="000903DF">
              <w:rPr>
                <w:noProof/>
                <w:webHidden/>
              </w:rPr>
            </w:r>
            <w:r w:rsidR="000903DF">
              <w:rPr>
                <w:noProof/>
                <w:webHidden/>
              </w:rPr>
              <w:fldChar w:fldCharType="separate"/>
            </w:r>
            <w:r w:rsidR="000903DF">
              <w:rPr>
                <w:noProof/>
                <w:webHidden/>
              </w:rPr>
              <w:t>6</w:t>
            </w:r>
            <w:r w:rsidR="000903DF">
              <w:rPr>
                <w:noProof/>
                <w:webHidden/>
              </w:rPr>
              <w:fldChar w:fldCharType="end"/>
            </w:r>
          </w:hyperlink>
        </w:p>
        <w:p w14:paraId="71B29CCE" w14:textId="38FDC318" w:rsidR="000903DF" w:rsidRDefault="000903DF">
          <w:pPr>
            <w:pStyle w:val="Sumrio2"/>
            <w:tabs>
              <w:tab w:val="right" w:leader="dot" w:pos="9060"/>
            </w:tabs>
            <w:rPr>
              <w:rFonts w:eastAsiaTheme="minorEastAsia"/>
              <w:noProof/>
              <w:lang w:eastAsia="pt-BR"/>
            </w:rPr>
          </w:pPr>
          <w:hyperlink w:anchor="_Toc224164511" w:history="1">
            <w:r w:rsidRPr="00A970A0">
              <w:rPr>
                <w:rStyle w:val="Hyperlink"/>
                <w:rFonts w:ascii="Times New Roman" w:hAnsi="Times New Roman" w:cs="Times New Roman"/>
                <w:noProof/>
              </w:rPr>
              <w:t>1.1 DELIMITAÇÃO DO PROBLEMA</w:t>
            </w:r>
            <w:r>
              <w:rPr>
                <w:noProof/>
                <w:webHidden/>
              </w:rPr>
              <w:tab/>
            </w:r>
            <w:r>
              <w:rPr>
                <w:noProof/>
                <w:webHidden/>
              </w:rPr>
              <w:fldChar w:fldCharType="begin"/>
            </w:r>
            <w:r>
              <w:rPr>
                <w:noProof/>
                <w:webHidden/>
              </w:rPr>
              <w:instrText xml:space="preserve"> PAGEREF _Toc224164511 \h </w:instrText>
            </w:r>
            <w:r>
              <w:rPr>
                <w:noProof/>
                <w:webHidden/>
              </w:rPr>
            </w:r>
            <w:r>
              <w:rPr>
                <w:noProof/>
                <w:webHidden/>
              </w:rPr>
              <w:fldChar w:fldCharType="separate"/>
            </w:r>
            <w:r>
              <w:rPr>
                <w:noProof/>
                <w:webHidden/>
              </w:rPr>
              <w:t>6</w:t>
            </w:r>
            <w:r>
              <w:rPr>
                <w:noProof/>
                <w:webHidden/>
              </w:rPr>
              <w:fldChar w:fldCharType="end"/>
            </w:r>
          </w:hyperlink>
        </w:p>
        <w:p w14:paraId="6C368AEC" w14:textId="72AAB935" w:rsidR="000903DF" w:rsidRDefault="000903DF">
          <w:pPr>
            <w:pStyle w:val="Sumrio2"/>
            <w:tabs>
              <w:tab w:val="right" w:leader="dot" w:pos="9060"/>
            </w:tabs>
            <w:rPr>
              <w:rFonts w:eastAsiaTheme="minorEastAsia"/>
              <w:noProof/>
              <w:lang w:eastAsia="pt-BR"/>
            </w:rPr>
          </w:pPr>
          <w:hyperlink w:anchor="_Toc224164512" w:history="1">
            <w:r w:rsidRPr="00A970A0">
              <w:rPr>
                <w:rStyle w:val="Hyperlink"/>
                <w:rFonts w:ascii="Times New Roman" w:hAnsi="Times New Roman" w:cs="Times New Roman"/>
                <w:noProof/>
              </w:rPr>
              <w:t>1.2 OBJETIVOS</w:t>
            </w:r>
            <w:r>
              <w:rPr>
                <w:noProof/>
                <w:webHidden/>
              </w:rPr>
              <w:tab/>
            </w:r>
            <w:r>
              <w:rPr>
                <w:noProof/>
                <w:webHidden/>
              </w:rPr>
              <w:fldChar w:fldCharType="begin"/>
            </w:r>
            <w:r>
              <w:rPr>
                <w:noProof/>
                <w:webHidden/>
              </w:rPr>
              <w:instrText xml:space="preserve"> PAGEREF _Toc224164512 \h </w:instrText>
            </w:r>
            <w:r>
              <w:rPr>
                <w:noProof/>
                <w:webHidden/>
              </w:rPr>
            </w:r>
            <w:r>
              <w:rPr>
                <w:noProof/>
                <w:webHidden/>
              </w:rPr>
              <w:fldChar w:fldCharType="separate"/>
            </w:r>
            <w:r>
              <w:rPr>
                <w:noProof/>
                <w:webHidden/>
              </w:rPr>
              <w:t>7</w:t>
            </w:r>
            <w:r>
              <w:rPr>
                <w:noProof/>
                <w:webHidden/>
              </w:rPr>
              <w:fldChar w:fldCharType="end"/>
            </w:r>
          </w:hyperlink>
        </w:p>
        <w:p w14:paraId="037C808A" w14:textId="26C9EC22" w:rsidR="000903DF" w:rsidRDefault="000903DF">
          <w:pPr>
            <w:pStyle w:val="Sumrio3"/>
            <w:tabs>
              <w:tab w:val="right" w:leader="dot" w:pos="9060"/>
            </w:tabs>
            <w:rPr>
              <w:rFonts w:eastAsiaTheme="minorEastAsia"/>
              <w:noProof/>
              <w:lang w:eastAsia="pt-BR"/>
            </w:rPr>
          </w:pPr>
          <w:hyperlink w:anchor="_Toc224164513" w:history="1">
            <w:r w:rsidRPr="00A970A0">
              <w:rPr>
                <w:rStyle w:val="Hyperlink"/>
                <w:rFonts w:ascii="Times New Roman" w:hAnsi="Times New Roman" w:cs="Times New Roman"/>
                <w:b/>
                <w:bCs/>
                <w:noProof/>
              </w:rPr>
              <w:t>1.2.1 Objetivo geral</w:t>
            </w:r>
            <w:r>
              <w:rPr>
                <w:noProof/>
                <w:webHidden/>
              </w:rPr>
              <w:tab/>
            </w:r>
            <w:r>
              <w:rPr>
                <w:noProof/>
                <w:webHidden/>
              </w:rPr>
              <w:fldChar w:fldCharType="begin"/>
            </w:r>
            <w:r>
              <w:rPr>
                <w:noProof/>
                <w:webHidden/>
              </w:rPr>
              <w:instrText xml:space="preserve"> PAGEREF _Toc224164513 \h </w:instrText>
            </w:r>
            <w:r>
              <w:rPr>
                <w:noProof/>
                <w:webHidden/>
              </w:rPr>
            </w:r>
            <w:r>
              <w:rPr>
                <w:noProof/>
                <w:webHidden/>
              </w:rPr>
              <w:fldChar w:fldCharType="separate"/>
            </w:r>
            <w:r>
              <w:rPr>
                <w:noProof/>
                <w:webHidden/>
              </w:rPr>
              <w:t>7</w:t>
            </w:r>
            <w:r>
              <w:rPr>
                <w:noProof/>
                <w:webHidden/>
              </w:rPr>
              <w:fldChar w:fldCharType="end"/>
            </w:r>
          </w:hyperlink>
        </w:p>
        <w:p w14:paraId="5A5BEAE6" w14:textId="32CD67B2" w:rsidR="000903DF" w:rsidRDefault="000903DF">
          <w:pPr>
            <w:pStyle w:val="Sumrio3"/>
            <w:tabs>
              <w:tab w:val="right" w:leader="dot" w:pos="9060"/>
            </w:tabs>
            <w:rPr>
              <w:rFonts w:eastAsiaTheme="minorEastAsia"/>
              <w:noProof/>
              <w:lang w:eastAsia="pt-BR"/>
            </w:rPr>
          </w:pPr>
          <w:hyperlink w:anchor="_Toc224164514" w:history="1">
            <w:r w:rsidRPr="00A970A0">
              <w:rPr>
                <w:rStyle w:val="Hyperlink"/>
                <w:rFonts w:ascii="Times New Roman" w:hAnsi="Times New Roman" w:cs="Times New Roman"/>
                <w:b/>
                <w:bCs/>
                <w:noProof/>
              </w:rPr>
              <w:t>1.2.2 Objetivos Específicos</w:t>
            </w:r>
            <w:r>
              <w:rPr>
                <w:noProof/>
                <w:webHidden/>
              </w:rPr>
              <w:tab/>
            </w:r>
            <w:r>
              <w:rPr>
                <w:noProof/>
                <w:webHidden/>
              </w:rPr>
              <w:fldChar w:fldCharType="begin"/>
            </w:r>
            <w:r>
              <w:rPr>
                <w:noProof/>
                <w:webHidden/>
              </w:rPr>
              <w:instrText xml:space="preserve"> PAGEREF _Toc224164514 \h </w:instrText>
            </w:r>
            <w:r>
              <w:rPr>
                <w:noProof/>
                <w:webHidden/>
              </w:rPr>
            </w:r>
            <w:r>
              <w:rPr>
                <w:noProof/>
                <w:webHidden/>
              </w:rPr>
              <w:fldChar w:fldCharType="separate"/>
            </w:r>
            <w:r>
              <w:rPr>
                <w:noProof/>
                <w:webHidden/>
              </w:rPr>
              <w:t>7</w:t>
            </w:r>
            <w:r>
              <w:rPr>
                <w:noProof/>
                <w:webHidden/>
              </w:rPr>
              <w:fldChar w:fldCharType="end"/>
            </w:r>
          </w:hyperlink>
        </w:p>
        <w:p w14:paraId="134F5F4F" w14:textId="34387B7F" w:rsidR="000903DF" w:rsidRDefault="000903DF">
          <w:pPr>
            <w:pStyle w:val="Sumrio2"/>
            <w:tabs>
              <w:tab w:val="right" w:leader="dot" w:pos="9060"/>
            </w:tabs>
            <w:rPr>
              <w:rFonts w:eastAsiaTheme="minorEastAsia"/>
              <w:noProof/>
              <w:lang w:eastAsia="pt-BR"/>
            </w:rPr>
          </w:pPr>
          <w:hyperlink w:anchor="_Toc224164515" w:history="1">
            <w:r w:rsidRPr="00A970A0">
              <w:rPr>
                <w:rStyle w:val="Hyperlink"/>
                <w:rFonts w:ascii="Times New Roman" w:hAnsi="Times New Roman" w:cs="Times New Roman"/>
                <w:noProof/>
              </w:rPr>
              <w:t>1.3 JUSTIFICATIVA</w:t>
            </w:r>
            <w:r>
              <w:rPr>
                <w:noProof/>
                <w:webHidden/>
              </w:rPr>
              <w:tab/>
            </w:r>
            <w:r>
              <w:rPr>
                <w:noProof/>
                <w:webHidden/>
              </w:rPr>
              <w:fldChar w:fldCharType="begin"/>
            </w:r>
            <w:r>
              <w:rPr>
                <w:noProof/>
                <w:webHidden/>
              </w:rPr>
              <w:instrText xml:space="preserve"> PAGEREF _Toc224164515 \h </w:instrText>
            </w:r>
            <w:r>
              <w:rPr>
                <w:noProof/>
                <w:webHidden/>
              </w:rPr>
            </w:r>
            <w:r>
              <w:rPr>
                <w:noProof/>
                <w:webHidden/>
              </w:rPr>
              <w:fldChar w:fldCharType="separate"/>
            </w:r>
            <w:r>
              <w:rPr>
                <w:noProof/>
                <w:webHidden/>
              </w:rPr>
              <w:t>7</w:t>
            </w:r>
            <w:r>
              <w:rPr>
                <w:noProof/>
                <w:webHidden/>
              </w:rPr>
              <w:fldChar w:fldCharType="end"/>
            </w:r>
          </w:hyperlink>
        </w:p>
        <w:p w14:paraId="670826CC" w14:textId="2A5FEC77" w:rsidR="000903DF" w:rsidRDefault="000903DF">
          <w:pPr>
            <w:pStyle w:val="Sumrio3"/>
            <w:tabs>
              <w:tab w:val="right" w:leader="dot" w:pos="9060"/>
            </w:tabs>
            <w:rPr>
              <w:rFonts w:eastAsiaTheme="minorEastAsia"/>
              <w:noProof/>
              <w:lang w:eastAsia="pt-BR"/>
            </w:rPr>
          </w:pPr>
          <w:hyperlink w:anchor="_Toc224164516" w:history="1">
            <w:r w:rsidRPr="00A970A0">
              <w:rPr>
                <w:rStyle w:val="Hyperlink"/>
                <w:rFonts w:ascii="Times New Roman" w:hAnsi="Times New Roman" w:cs="Times New Roman"/>
                <w:b/>
                <w:bCs/>
                <w:noProof/>
              </w:rPr>
              <w:t>1.3.1 Eficiência na gestão pública: a desclogagem do Programa de Regularização Ambiental (PRA)</w:t>
            </w:r>
            <w:r>
              <w:rPr>
                <w:noProof/>
                <w:webHidden/>
              </w:rPr>
              <w:tab/>
            </w:r>
            <w:r>
              <w:rPr>
                <w:noProof/>
                <w:webHidden/>
              </w:rPr>
              <w:fldChar w:fldCharType="begin"/>
            </w:r>
            <w:r>
              <w:rPr>
                <w:noProof/>
                <w:webHidden/>
              </w:rPr>
              <w:instrText xml:space="preserve"> PAGEREF _Toc224164516 \h </w:instrText>
            </w:r>
            <w:r>
              <w:rPr>
                <w:noProof/>
                <w:webHidden/>
              </w:rPr>
            </w:r>
            <w:r>
              <w:rPr>
                <w:noProof/>
                <w:webHidden/>
              </w:rPr>
              <w:fldChar w:fldCharType="separate"/>
            </w:r>
            <w:r>
              <w:rPr>
                <w:noProof/>
                <w:webHidden/>
              </w:rPr>
              <w:t>8</w:t>
            </w:r>
            <w:r>
              <w:rPr>
                <w:noProof/>
                <w:webHidden/>
              </w:rPr>
              <w:fldChar w:fldCharType="end"/>
            </w:r>
          </w:hyperlink>
        </w:p>
        <w:p w14:paraId="3EC55CCA" w14:textId="2DBB6336" w:rsidR="000903DF" w:rsidRDefault="000903DF">
          <w:pPr>
            <w:pStyle w:val="Sumrio3"/>
            <w:tabs>
              <w:tab w:val="right" w:leader="dot" w:pos="9060"/>
            </w:tabs>
            <w:rPr>
              <w:rFonts w:eastAsiaTheme="minorEastAsia"/>
              <w:noProof/>
              <w:lang w:eastAsia="pt-BR"/>
            </w:rPr>
          </w:pPr>
          <w:hyperlink w:anchor="_Toc224164517" w:history="1">
            <w:r w:rsidRPr="00A970A0">
              <w:rPr>
                <w:rStyle w:val="Hyperlink"/>
                <w:rFonts w:ascii="Times New Roman" w:hAnsi="Times New Roman" w:cs="Times New Roman"/>
                <w:b/>
                <w:bCs/>
                <w:noProof/>
              </w:rPr>
              <w:t>1.3.2 Viabilidade econômica e social da redução para 50%</w:t>
            </w:r>
            <w:r>
              <w:rPr>
                <w:noProof/>
                <w:webHidden/>
              </w:rPr>
              <w:tab/>
            </w:r>
            <w:r>
              <w:rPr>
                <w:noProof/>
                <w:webHidden/>
              </w:rPr>
              <w:fldChar w:fldCharType="begin"/>
            </w:r>
            <w:r>
              <w:rPr>
                <w:noProof/>
                <w:webHidden/>
              </w:rPr>
              <w:instrText xml:space="preserve"> PAGEREF _Toc224164517 \h </w:instrText>
            </w:r>
            <w:r>
              <w:rPr>
                <w:noProof/>
                <w:webHidden/>
              </w:rPr>
            </w:r>
            <w:r>
              <w:rPr>
                <w:noProof/>
                <w:webHidden/>
              </w:rPr>
              <w:fldChar w:fldCharType="separate"/>
            </w:r>
            <w:r>
              <w:rPr>
                <w:noProof/>
                <w:webHidden/>
              </w:rPr>
              <w:t>8</w:t>
            </w:r>
            <w:r>
              <w:rPr>
                <w:noProof/>
                <w:webHidden/>
              </w:rPr>
              <w:fldChar w:fldCharType="end"/>
            </w:r>
          </w:hyperlink>
        </w:p>
        <w:p w14:paraId="348594D0" w14:textId="2AA662F4" w:rsidR="000903DF" w:rsidRDefault="000903DF">
          <w:pPr>
            <w:pStyle w:val="Sumrio3"/>
            <w:tabs>
              <w:tab w:val="right" w:leader="dot" w:pos="9060"/>
            </w:tabs>
            <w:rPr>
              <w:rFonts w:eastAsiaTheme="minorEastAsia"/>
              <w:noProof/>
              <w:lang w:eastAsia="pt-BR"/>
            </w:rPr>
          </w:pPr>
          <w:hyperlink w:anchor="_Toc224164518" w:history="1">
            <w:r w:rsidRPr="00A970A0">
              <w:rPr>
                <w:rStyle w:val="Hyperlink"/>
                <w:rFonts w:ascii="Times New Roman" w:hAnsi="Times New Roman" w:cs="Times New Roman"/>
                <w:b/>
                <w:bCs/>
                <w:noProof/>
              </w:rPr>
              <w:t>1.3.3 Segurança jurídica e respaldo legal</w:t>
            </w:r>
            <w:r>
              <w:rPr>
                <w:noProof/>
                <w:webHidden/>
              </w:rPr>
              <w:tab/>
            </w:r>
            <w:r>
              <w:rPr>
                <w:noProof/>
                <w:webHidden/>
              </w:rPr>
              <w:fldChar w:fldCharType="begin"/>
            </w:r>
            <w:r>
              <w:rPr>
                <w:noProof/>
                <w:webHidden/>
              </w:rPr>
              <w:instrText xml:space="preserve"> PAGEREF _Toc224164518 \h </w:instrText>
            </w:r>
            <w:r>
              <w:rPr>
                <w:noProof/>
                <w:webHidden/>
              </w:rPr>
            </w:r>
            <w:r>
              <w:rPr>
                <w:noProof/>
                <w:webHidden/>
              </w:rPr>
              <w:fldChar w:fldCharType="separate"/>
            </w:r>
            <w:r>
              <w:rPr>
                <w:noProof/>
                <w:webHidden/>
              </w:rPr>
              <w:t>8</w:t>
            </w:r>
            <w:r>
              <w:rPr>
                <w:noProof/>
                <w:webHidden/>
              </w:rPr>
              <w:fldChar w:fldCharType="end"/>
            </w:r>
          </w:hyperlink>
        </w:p>
        <w:p w14:paraId="03AACAD4" w14:textId="40AF4CAB" w:rsidR="000903DF" w:rsidRDefault="000903DF">
          <w:pPr>
            <w:pStyle w:val="Sumrio3"/>
            <w:tabs>
              <w:tab w:val="right" w:leader="dot" w:pos="9060"/>
            </w:tabs>
            <w:rPr>
              <w:rFonts w:eastAsiaTheme="minorEastAsia"/>
              <w:noProof/>
              <w:lang w:eastAsia="pt-BR"/>
            </w:rPr>
          </w:pPr>
          <w:hyperlink w:anchor="_Toc224164519" w:history="1">
            <w:r w:rsidRPr="00A970A0">
              <w:rPr>
                <w:rStyle w:val="Hyperlink"/>
                <w:rFonts w:ascii="Times New Roman" w:hAnsi="Times New Roman" w:cs="Times New Roman"/>
                <w:b/>
                <w:bCs/>
                <w:noProof/>
              </w:rPr>
              <w:t>1.3.4 Rigor probatório e combate a fraudes por meio de geotecnologias</w:t>
            </w:r>
            <w:r>
              <w:rPr>
                <w:noProof/>
                <w:webHidden/>
              </w:rPr>
              <w:tab/>
            </w:r>
            <w:r>
              <w:rPr>
                <w:noProof/>
                <w:webHidden/>
              </w:rPr>
              <w:fldChar w:fldCharType="begin"/>
            </w:r>
            <w:r>
              <w:rPr>
                <w:noProof/>
                <w:webHidden/>
              </w:rPr>
              <w:instrText xml:space="preserve"> PAGEREF _Toc224164519 \h </w:instrText>
            </w:r>
            <w:r>
              <w:rPr>
                <w:noProof/>
                <w:webHidden/>
              </w:rPr>
            </w:r>
            <w:r>
              <w:rPr>
                <w:noProof/>
                <w:webHidden/>
              </w:rPr>
              <w:fldChar w:fldCharType="separate"/>
            </w:r>
            <w:r>
              <w:rPr>
                <w:noProof/>
                <w:webHidden/>
              </w:rPr>
              <w:t>9</w:t>
            </w:r>
            <w:r>
              <w:rPr>
                <w:noProof/>
                <w:webHidden/>
              </w:rPr>
              <w:fldChar w:fldCharType="end"/>
            </w:r>
          </w:hyperlink>
        </w:p>
        <w:p w14:paraId="4A33E3A2" w14:textId="17EE83E3" w:rsidR="000903DF" w:rsidRDefault="000903DF">
          <w:pPr>
            <w:pStyle w:val="Sumrio1"/>
            <w:tabs>
              <w:tab w:val="right" w:leader="dot" w:pos="9060"/>
            </w:tabs>
            <w:rPr>
              <w:rFonts w:eastAsiaTheme="minorEastAsia"/>
              <w:noProof/>
              <w:lang w:eastAsia="pt-BR"/>
            </w:rPr>
          </w:pPr>
          <w:hyperlink w:anchor="_Toc224164520" w:history="1">
            <w:r w:rsidRPr="00A970A0">
              <w:rPr>
                <w:rStyle w:val="Hyperlink"/>
                <w:rFonts w:cs="Times New Roman"/>
                <w:noProof/>
              </w:rPr>
              <w:t>2 REFERENCIAL TEÓRICO</w:t>
            </w:r>
            <w:r>
              <w:rPr>
                <w:noProof/>
                <w:webHidden/>
              </w:rPr>
              <w:tab/>
            </w:r>
            <w:r>
              <w:rPr>
                <w:noProof/>
                <w:webHidden/>
              </w:rPr>
              <w:fldChar w:fldCharType="begin"/>
            </w:r>
            <w:r>
              <w:rPr>
                <w:noProof/>
                <w:webHidden/>
              </w:rPr>
              <w:instrText xml:space="preserve"> PAGEREF _Toc224164520 \h </w:instrText>
            </w:r>
            <w:r>
              <w:rPr>
                <w:noProof/>
                <w:webHidden/>
              </w:rPr>
            </w:r>
            <w:r>
              <w:rPr>
                <w:noProof/>
                <w:webHidden/>
              </w:rPr>
              <w:fldChar w:fldCharType="separate"/>
            </w:r>
            <w:r>
              <w:rPr>
                <w:noProof/>
                <w:webHidden/>
              </w:rPr>
              <w:t>9</w:t>
            </w:r>
            <w:r>
              <w:rPr>
                <w:noProof/>
                <w:webHidden/>
              </w:rPr>
              <w:fldChar w:fldCharType="end"/>
            </w:r>
          </w:hyperlink>
        </w:p>
        <w:p w14:paraId="43B095AB" w14:textId="07AE4C78" w:rsidR="000903DF" w:rsidRDefault="000903DF">
          <w:pPr>
            <w:pStyle w:val="Sumrio2"/>
            <w:tabs>
              <w:tab w:val="right" w:leader="dot" w:pos="9060"/>
            </w:tabs>
            <w:rPr>
              <w:rFonts w:eastAsiaTheme="minorEastAsia"/>
              <w:noProof/>
              <w:lang w:eastAsia="pt-BR"/>
            </w:rPr>
          </w:pPr>
          <w:hyperlink w:anchor="_Toc224164521" w:history="1">
            <w:r w:rsidRPr="00A970A0">
              <w:rPr>
                <w:rStyle w:val="Hyperlink"/>
                <w:rFonts w:ascii="Times New Roman" w:hAnsi="Times New Roman" w:cs="Times New Roman"/>
                <w:noProof/>
              </w:rPr>
              <w:t>2.1 FUNÇÃO SOCIOAMBIENTAL DA RESERVA LEGAL</w:t>
            </w:r>
            <w:r>
              <w:rPr>
                <w:noProof/>
                <w:webHidden/>
              </w:rPr>
              <w:tab/>
            </w:r>
            <w:r>
              <w:rPr>
                <w:noProof/>
                <w:webHidden/>
              </w:rPr>
              <w:fldChar w:fldCharType="begin"/>
            </w:r>
            <w:r>
              <w:rPr>
                <w:noProof/>
                <w:webHidden/>
              </w:rPr>
              <w:instrText xml:space="preserve"> PAGEREF _Toc224164521 \h </w:instrText>
            </w:r>
            <w:r>
              <w:rPr>
                <w:noProof/>
                <w:webHidden/>
              </w:rPr>
            </w:r>
            <w:r>
              <w:rPr>
                <w:noProof/>
                <w:webHidden/>
              </w:rPr>
              <w:fldChar w:fldCharType="separate"/>
            </w:r>
            <w:r>
              <w:rPr>
                <w:noProof/>
                <w:webHidden/>
              </w:rPr>
              <w:t>9</w:t>
            </w:r>
            <w:r>
              <w:rPr>
                <w:noProof/>
                <w:webHidden/>
              </w:rPr>
              <w:fldChar w:fldCharType="end"/>
            </w:r>
          </w:hyperlink>
        </w:p>
        <w:p w14:paraId="686A9676" w14:textId="6D2A82F3" w:rsidR="000903DF" w:rsidRDefault="000903DF">
          <w:pPr>
            <w:pStyle w:val="Sumrio2"/>
            <w:tabs>
              <w:tab w:val="right" w:leader="dot" w:pos="9060"/>
            </w:tabs>
            <w:rPr>
              <w:rFonts w:eastAsiaTheme="minorEastAsia"/>
              <w:noProof/>
              <w:lang w:eastAsia="pt-BR"/>
            </w:rPr>
          </w:pPr>
          <w:hyperlink w:anchor="_Toc224164522" w:history="1">
            <w:r w:rsidRPr="00A970A0">
              <w:rPr>
                <w:rStyle w:val="Hyperlink"/>
                <w:rFonts w:ascii="Times New Roman" w:hAnsi="Times New Roman" w:cs="Times New Roman"/>
                <w:noProof/>
              </w:rPr>
              <w:t>2.2 O CAR COMO PRINCIPAL FERRAMENTA DE MONITORAMENTO</w:t>
            </w:r>
            <w:r>
              <w:rPr>
                <w:noProof/>
                <w:webHidden/>
              </w:rPr>
              <w:tab/>
            </w:r>
            <w:r>
              <w:rPr>
                <w:noProof/>
                <w:webHidden/>
              </w:rPr>
              <w:fldChar w:fldCharType="begin"/>
            </w:r>
            <w:r>
              <w:rPr>
                <w:noProof/>
                <w:webHidden/>
              </w:rPr>
              <w:instrText xml:space="preserve"> PAGEREF _Toc224164522 \h </w:instrText>
            </w:r>
            <w:r>
              <w:rPr>
                <w:noProof/>
                <w:webHidden/>
              </w:rPr>
            </w:r>
            <w:r>
              <w:rPr>
                <w:noProof/>
                <w:webHidden/>
              </w:rPr>
              <w:fldChar w:fldCharType="separate"/>
            </w:r>
            <w:r>
              <w:rPr>
                <w:noProof/>
                <w:webHidden/>
              </w:rPr>
              <w:t>10</w:t>
            </w:r>
            <w:r>
              <w:rPr>
                <w:noProof/>
                <w:webHidden/>
              </w:rPr>
              <w:fldChar w:fldCharType="end"/>
            </w:r>
          </w:hyperlink>
        </w:p>
        <w:p w14:paraId="5C1B28CC" w14:textId="66DB636E" w:rsidR="000903DF" w:rsidRDefault="000903DF">
          <w:pPr>
            <w:pStyle w:val="Sumrio2"/>
            <w:tabs>
              <w:tab w:val="right" w:leader="dot" w:pos="9060"/>
            </w:tabs>
            <w:rPr>
              <w:rFonts w:eastAsiaTheme="minorEastAsia"/>
              <w:noProof/>
              <w:lang w:eastAsia="pt-BR"/>
            </w:rPr>
          </w:pPr>
          <w:hyperlink w:anchor="_Toc224164523" w:history="1">
            <w:r w:rsidRPr="00A970A0">
              <w:rPr>
                <w:rStyle w:val="Hyperlink"/>
                <w:rFonts w:ascii="Times New Roman" w:hAnsi="Times New Roman" w:cs="Times New Roman"/>
                <w:noProof/>
              </w:rPr>
              <w:t>2.3 O PROBLEMA: O IMPASSE DOS 80% E O PASSIVO CONSOLIDADO</w:t>
            </w:r>
            <w:r>
              <w:rPr>
                <w:noProof/>
                <w:webHidden/>
              </w:rPr>
              <w:tab/>
            </w:r>
            <w:r>
              <w:rPr>
                <w:noProof/>
                <w:webHidden/>
              </w:rPr>
              <w:fldChar w:fldCharType="begin"/>
            </w:r>
            <w:r>
              <w:rPr>
                <w:noProof/>
                <w:webHidden/>
              </w:rPr>
              <w:instrText xml:space="preserve"> PAGEREF _Toc224164523 \h </w:instrText>
            </w:r>
            <w:r>
              <w:rPr>
                <w:noProof/>
                <w:webHidden/>
              </w:rPr>
            </w:r>
            <w:r>
              <w:rPr>
                <w:noProof/>
                <w:webHidden/>
              </w:rPr>
              <w:fldChar w:fldCharType="separate"/>
            </w:r>
            <w:r>
              <w:rPr>
                <w:noProof/>
                <w:webHidden/>
              </w:rPr>
              <w:t>10</w:t>
            </w:r>
            <w:r>
              <w:rPr>
                <w:noProof/>
                <w:webHidden/>
              </w:rPr>
              <w:fldChar w:fldCharType="end"/>
            </w:r>
          </w:hyperlink>
        </w:p>
        <w:p w14:paraId="18F90496" w14:textId="6A699C5F" w:rsidR="000903DF" w:rsidRDefault="000903DF">
          <w:pPr>
            <w:pStyle w:val="Sumrio3"/>
            <w:tabs>
              <w:tab w:val="right" w:leader="dot" w:pos="9060"/>
            </w:tabs>
            <w:rPr>
              <w:rFonts w:eastAsiaTheme="minorEastAsia"/>
              <w:noProof/>
              <w:lang w:eastAsia="pt-BR"/>
            </w:rPr>
          </w:pPr>
          <w:hyperlink w:anchor="_Toc224164524" w:history="1">
            <w:r w:rsidRPr="00A970A0">
              <w:rPr>
                <w:rStyle w:val="Hyperlink"/>
                <w:rFonts w:ascii="Times New Roman" w:hAnsi="Times New Roman" w:cs="Times New Roman"/>
                <w:b/>
                <w:bCs/>
                <w:noProof/>
              </w:rPr>
              <w:t>2.3.1 A definição do marco temporal de 22 de julho de 2008</w:t>
            </w:r>
            <w:r>
              <w:rPr>
                <w:noProof/>
                <w:webHidden/>
              </w:rPr>
              <w:tab/>
            </w:r>
            <w:r>
              <w:rPr>
                <w:noProof/>
                <w:webHidden/>
              </w:rPr>
              <w:fldChar w:fldCharType="begin"/>
            </w:r>
            <w:r>
              <w:rPr>
                <w:noProof/>
                <w:webHidden/>
              </w:rPr>
              <w:instrText xml:space="preserve"> PAGEREF _Toc224164524 \h </w:instrText>
            </w:r>
            <w:r>
              <w:rPr>
                <w:noProof/>
                <w:webHidden/>
              </w:rPr>
            </w:r>
            <w:r>
              <w:rPr>
                <w:noProof/>
                <w:webHidden/>
              </w:rPr>
              <w:fldChar w:fldCharType="separate"/>
            </w:r>
            <w:r>
              <w:rPr>
                <w:noProof/>
                <w:webHidden/>
              </w:rPr>
              <w:t>10</w:t>
            </w:r>
            <w:r>
              <w:rPr>
                <w:noProof/>
                <w:webHidden/>
              </w:rPr>
              <w:fldChar w:fldCharType="end"/>
            </w:r>
          </w:hyperlink>
        </w:p>
        <w:p w14:paraId="2431A63E" w14:textId="63F91519" w:rsidR="000903DF" w:rsidRDefault="000903DF">
          <w:pPr>
            <w:pStyle w:val="Sumrio3"/>
            <w:tabs>
              <w:tab w:val="right" w:leader="dot" w:pos="9060"/>
            </w:tabs>
            <w:rPr>
              <w:rFonts w:eastAsiaTheme="minorEastAsia"/>
              <w:noProof/>
              <w:lang w:eastAsia="pt-BR"/>
            </w:rPr>
          </w:pPr>
          <w:hyperlink w:anchor="_Toc224164525" w:history="1">
            <w:r w:rsidRPr="00A970A0">
              <w:rPr>
                <w:rStyle w:val="Hyperlink"/>
                <w:rFonts w:ascii="Times New Roman" w:hAnsi="Times New Roman" w:cs="Times New Roman"/>
                <w:b/>
                <w:bCs/>
                <w:noProof/>
              </w:rPr>
              <w:t>2.3.2 O impacto econômico da manutenção ou recomposição do passivo</w:t>
            </w:r>
            <w:r>
              <w:rPr>
                <w:noProof/>
                <w:webHidden/>
              </w:rPr>
              <w:tab/>
            </w:r>
            <w:r>
              <w:rPr>
                <w:noProof/>
                <w:webHidden/>
              </w:rPr>
              <w:fldChar w:fldCharType="begin"/>
            </w:r>
            <w:r>
              <w:rPr>
                <w:noProof/>
                <w:webHidden/>
              </w:rPr>
              <w:instrText xml:space="preserve"> PAGEREF _Toc224164525 \h </w:instrText>
            </w:r>
            <w:r>
              <w:rPr>
                <w:noProof/>
                <w:webHidden/>
              </w:rPr>
            </w:r>
            <w:r>
              <w:rPr>
                <w:noProof/>
                <w:webHidden/>
              </w:rPr>
              <w:fldChar w:fldCharType="separate"/>
            </w:r>
            <w:r>
              <w:rPr>
                <w:noProof/>
                <w:webHidden/>
              </w:rPr>
              <w:t>11</w:t>
            </w:r>
            <w:r>
              <w:rPr>
                <w:noProof/>
                <w:webHidden/>
              </w:rPr>
              <w:fldChar w:fldCharType="end"/>
            </w:r>
          </w:hyperlink>
        </w:p>
        <w:p w14:paraId="1FC35165" w14:textId="74C2E570" w:rsidR="000903DF" w:rsidRDefault="000903DF">
          <w:pPr>
            <w:pStyle w:val="Sumrio3"/>
            <w:tabs>
              <w:tab w:val="right" w:leader="dot" w:pos="9060"/>
            </w:tabs>
            <w:rPr>
              <w:rFonts w:eastAsiaTheme="minorEastAsia"/>
              <w:noProof/>
              <w:lang w:eastAsia="pt-BR"/>
            </w:rPr>
          </w:pPr>
          <w:hyperlink w:anchor="_Toc224164526" w:history="1">
            <w:r w:rsidRPr="00A970A0">
              <w:rPr>
                <w:rStyle w:val="Hyperlink"/>
                <w:rFonts w:ascii="Times New Roman" w:hAnsi="Times New Roman" w:cs="Times New Roman"/>
                <w:b/>
                <w:bCs/>
                <w:noProof/>
              </w:rPr>
              <w:t>2.3.3 O impacto jurídico do passivo consolidado</w:t>
            </w:r>
            <w:r>
              <w:rPr>
                <w:noProof/>
                <w:webHidden/>
              </w:rPr>
              <w:tab/>
            </w:r>
            <w:r>
              <w:rPr>
                <w:noProof/>
                <w:webHidden/>
              </w:rPr>
              <w:fldChar w:fldCharType="begin"/>
            </w:r>
            <w:r>
              <w:rPr>
                <w:noProof/>
                <w:webHidden/>
              </w:rPr>
              <w:instrText xml:space="preserve"> PAGEREF _Toc224164526 \h </w:instrText>
            </w:r>
            <w:r>
              <w:rPr>
                <w:noProof/>
                <w:webHidden/>
              </w:rPr>
            </w:r>
            <w:r>
              <w:rPr>
                <w:noProof/>
                <w:webHidden/>
              </w:rPr>
              <w:fldChar w:fldCharType="separate"/>
            </w:r>
            <w:r>
              <w:rPr>
                <w:noProof/>
                <w:webHidden/>
              </w:rPr>
              <w:t>11</w:t>
            </w:r>
            <w:r>
              <w:rPr>
                <w:noProof/>
                <w:webHidden/>
              </w:rPr>
              <w:fldChar w:fldCharType="end"/>
            </w:r>
          </w:hyperlink>
        </w:p>
        <w:p w14:paraId="2316645D" w14:textId="4AE73BA9" w:rsidR="000903DF" w:rsidRDefault="000903DF">
          <w:pPr>
            <w:pStyle w:val="Sumrio3"/>
            <w:tabs>
              <w:tab w:val="right" w:leader="dot" w:pos="9060"/>
            </w:tabs>
            <w:rPr>
              <w:rFonts w:eastAsiaTheme="minorEastAsia"/>
              <w:noProof/>
              <w:lang w:eastAsia="pt-BR"/>
            </w:rPr>
          </w:pPr>
          <w:hyperlink w:anchor="_Toc224164527" w:history="1">
            <w:r w:rsidRPr="00A970A0">
              <w:rPr>
                <w:rStyle w:val="Hyperlink"/>
                <w:rFonts w:ascii="Times New Roman" w:hAnsi="Times New Roman" w:cs="Times New Roman"/>
                <w:b/>
                <w:bCs/>
                <w:noProof/>
              </w:rPr>
              <w:t>2.3.4 A diferenciação por módulos fiscais e o benefício do artigo 67</w:t>
            </w:r>
            <w:r>
              <w:rPr>
                <w:noProof/>
                <w:webHidden/>
              </w:rPr>
              <w:tab/>
            </w:r>
            <w:r>
              <w:rPr>
                <w:noProof/>
                <w:webHidden/>
              </w:rPr>
              <w:fldChar w:fldCharType="begin"/>
            </w:r>
            <w:r>
              <w:rPr>
                <w:noProof/>
                <w:webHidden/>
              </w:rPr>
              <w:instrText xml:space="preserve"> PAGEREF _Toc224164527 \h </w:instrText>
            </w:r>
            <w:r>
              <w:rPr>
                <w:noProof/>
                <w:webHidden/>
              </w:rPr>
            </w:r>
            <w:r>
              <w:rPr>
                <w:noProof/>
                <w:webHidden/>
              </w:rPr>
              <w:fldChar w:fldCharType="separate"/>
            </w:r>
            <w:r>
              <w:rPr>
                <w:noProof/>
                <w:webHidden/>
              </w:rPr>
              <w:t>12</w:t>
            </w:r>
            <w:r>
              <w:rPr>
                <w:noProof/>
                <w:webHidden/>
              </w:rPr>
              <w:fldChar w:fldCharType="end"/>
            </w:r>
          </w:hyperlink>
        </w:p>
        <w:p w14:paraId="2D150101" w14:textId="30E91700" w:rsidR="000903DF" w:rsidRDefault="000903DF">
          <w:pPr>
            <w:pStyle w:val="Sumrio2"/>
            <w:tabs>
              <w:tab w:val="right" w:leader="dot" w:pos="9060"/>
            </w:tabs>
            <w:rPr>
              <w:rFonts w:eastAsiaTheme="minorEastAsia"/>
              <w:noProof/>
              <w:lang w:eastAsia="pt-BR"/>
            </w:rPr>
          </w:pPr>
          <w:hyperlink w:anchor="_Toc224164528" w:history="1">
            <w:r w:rsidRPr="00A970A0">
              <w:rPr>
                <w:rStyle w:val="Hyperlink"/>
                <w:rFonts w:ascii="Times New Roman" w:hAnsi="Times New Roman" w:cs="Times New Roman"/>
                <w:noProof/>
              </w:rPr>
              <w:t>2.4 FUNDAMENTAÇÃO LEGAL DA FLEXIBILIZAÇÃO: O ARTIGO 12 E O ZEE-PA</w:t>
            </w:r>
            <w:r>
              <w:rPr>
                <w:noProof/>
                <w:webHidden/>
              </w:rPr>
              <w:tab/>
            </w:r>
            <w:r>
              <w:rPr>
                <w:noProof/>
                <w:webHidden/>
              </w:rPr>
              <w:fldChar w:fldCharType="begin"/>
            </w:r>
            <w:r>
              <w:rPr>
                <w:noProof/>
                <w:webHidden/>
              </w:rPr>
              <w:instrText xml:space="preserve"> PAGEREF _Toc224164528 \h </w:instrText>
            </w:r>
            <w:r>
              <w:rPr>
                <w:noProof/>
                <w:webHidden/>
              </w:rPr>
            </w:r>
            <w:r>
              <w:rPr>
                <w:noProof/>
                <w:webHidden/>
              </w:rPr>
              <w:fldChar w:fldCharType="separate"/>
            </w:r>
            <w:r>
              <w:rPr>
                <w:noProof/>
                <w:webHidden/>
              </w:rPr>
              <w:t>13</w:t>
            </w:r>
            <w:r>
              <w:rPr>
                <w:noProof/>
                <w:webHidden/>
              </w:rPr>
              <w:fldChar w:fldCharType="end"/>
            </w:r>
          </w:hyperlink>
        </w:p>
        <w:p w14:paraId="19D44634" w14:textId="7B4B81F3" w:rsidR="000903DF" w:rsidRDefault="000903DF">
          <w:pPr>
            <w:pStyle w:val="Sumrio3"/>
            <w:tabs>
              <w:tab w:val="right" w:leader="dot" w:pos="9060"/>
            </w:tabs>
            <w:rPr>
              <w:rFonts w:eastAsiaTheme="minorEastAsia"/>
              <w:noProof/>
              <w:lang w:eastAsia="pt-BR"/>
            </w:rPr>
          </w:pPr>
          <w:hyperlink w:anchor="_Toc224164529" w:history="1">
            <w:r w:rsidRPr="00A970A0">
              <w:rPr>
                <w:rStyle w:val="Hyperlink"/>
                <w:rFonts w:ascii="Times New Roman" w:hAnsi="Times New Roman" w:cs="Times New Roman"/>
                <w:b/>
                <w:bCs/>
                <w:noProof/>
              </w:rPr>
              <w:t>2.4.1 Os critérios de porcentagem de áreas protegidas (Artigo 12)</w:t>
            </w:r>
            <w:r>
              <w:rPr>
                <w:noProof/>
                <w:webHidden/>
              </w:rPr>
              <w:tab/>
            </w:r>
            <w:r>
              <w:rPr>
                <w:noProof/>
                <w:webHidden/>
              </w:rPr>
              <w:fldChar w:fldCharType="begin"/>
            </w:r>
            <w:r>
              <w:rPr>
                <w:noProof/>
                <w:webHidden/>
              </w:rPr>
              <w:instrText xml:space="preserve"> PAGEREF _Toc224164529 \h </w:instrText>
            </w:r>
            <w:r>
              <w:rPr>
                <w:noProof/>
                <w:webHidden/>
              </w:rPr>
            </w:r>
            <w:r>
              <w:rPr>
                <w:noProof/>
                <w:webHidden/>
              </w:rPr>
              <w:fldChar w:fldCharType="separate"/>
            </w:r>
            <w:r>
              <w:rPr>
                <w:noProof/>
                <w:webHidden/>
              </w:rPr>
              <w:t>13</w:t>
            </w:r>
            <w:r>
              <w:rPr>
                <w:noProof/>
                <w:webHidden/>
              </w:rPr>
              <w:fldChar w:fldCharType="end"/>
            </w:r>
          </w:hyperlink>
        </w:p>
        <w:p w14:paraId="7F95ED43" w14:textId="1BE41BFD" w:rsidR="000903DF" w:rsidRDefault="000903DF">
          <w:pPr>
            <w:pStyle w:val="Sumrio3"/>
            <w:tabs>
              <w:tab w:val="right" w:leader="dot" w:pos="9060"/>
            </w:tabs>
            <w:rPr>
              <w:rFonts w:eastAsiaTheme="minorEastAsia"/>
              <w:noProof/>
              <w:lang w:eastAsia="pt-BR"/>
            </w:rPr>
          </w:pPr>
          <w:hyperlink w:anchor="_Toc224164530" w:history="1">
            <w:r w:rsidRPr="00A970A0">
              <w:rPr>
                <w:rStyle w:val="Hyperlink"/>
                <w:rFonts w:ascii="Times New Roman" w:hAnsi="Times New Roman" w:cs="Times New Roman"/>
                <w:b/>
                <w:bCs/>
                <w:noProof/>
              </w:rPr>
              <w:t>2.4.2 A aplicação do Zoneamento Ecológico-Econômico (ZEE) no Pará</w:t>
            </w:r>
            <w:r>
              <w:rPr>
                <w:noProof/>
                <w:webHidden/>
              </w:rPr>
              <w:tab/>
            </w:r>
            <w:r>
              <w:rPr>
                <w:noProof/>
                <w:webHidden/>
              </w:rPr>
              <w:fldChar w:fldCharType="begin"/>
            </w:r>
            <w:r>
              <w:rPr>
                <w:noProof/>
                <w:webHidden/>
              </w:rPr>
              <w:instrText xml:space="preserve"> PAGEREF _Toc224164530 \h </w:instrText>
            </w:r>
            <w:r>
              <w:rPr>
                <w:noProof/>
                <w:webHidden/>
              </w:rPr>
            </w:r>
            <w:r>
              <w:rPr>
                <w:noProof/>
                <w:webHidden/>
              </w:rPr>
              <w:fldChar w:fldCharType="separate"/>
            </w:r>
            <w:r>
              <w:rPr>
                <w:noProof/>
                <w:webHidden/>
              </w:rPr>
              <w:t>13</w:t>
            </w:r>
            <w:r>
              <w:rPr>
                <w:noProof/>
                <w:webHidden/>
              </w:rPr>
              <w:fldChar w:fldCharType="end"/>
            </w:r>
          </w:hyperlink>
        </w:p>
        <w:p w14:paraId="35BC2245" w14:textId="725F08F0" w:rsidR="000903DF" w:rsidRDefault="000903DF">
          <w:pPr>
            <w:pStyle w:val="Sumrio2"/>
            <w:tabs>
              <w:tab w:val="right" w:leader="dot" w:pos="9060"/>
            </w:tabs>
            <w:rPr>
              <w:rFonts w:eastAsiaTheme="minorEastAsia"/>
              <w:noProof/>
              <w:lang w:eastAsia="pt-BR"/>
            </w:rPr>
          </w:pPr>
          <w:hyperlink w:anchor="_Toc224164531" w:history="1">
            <w:r w:rsidRPr="00A970A0">
              <w:rPr>
                <w:rStyle w:val="Hyperlink"/>
                <w:rFonts w:ascii="Times New Roman" w:hAnsi="Times New Roman" w:cs="Times New Roman"/>
                <w:noProof/>
              </w:rPr>
              <w:t>2.5 JUSTIFICATIVA TÉCNICA E GEOTECNOLÓGICA DA ANÁLISE DE PASSIVOS AMBIENTAIS</w:t>
            </w:r>
            <w:r>
              <w:rPr>
                <w:noProof/>
                <w:webHidden/>
              </w:rPr>
              <w:tab/>
            </w:r>
            <w:r>
              <w:rPr>
                <w:noProof/>
                <w:webHidden/>
              </w:rPr>
              <w:fldChar w:fldCharType="begin"/>
            </w:r>
            <w:r>
              <w:rPr>
                <w:noProof/>
                <w:webHidden/>
              </w:rPr>
              <w:instrText xml:space="preserve"> PAGEREF _Toc224164531 \h </w:instrText>
            </w:r>
            <w:r>
              <w:rPr>
                <w:noProof/>
                <w:webHidden/>
              </w:rPr>
            </w:r>
            <w:r>
              <w:rPr>
                <w:noProof/>
                <w:webHidden/>
              </w:rPr>
              <w:fldChar w:fldCharType="separate"/>
            </w:r>
            <w:r>
              <w:rPr>
                <w:noProof/>
                <w:webHidden/>
              </w:rPr>
              <w:t>14</w:t>
            </w:r>
            <w:r>
              <w:rPr>
                <w:noProof/>
                <w:webHidden/>
              </w:rPr>
              <w:fldChar w:fldCharType="end"/>
            </w:r>
          </w:hyperlink>
        </w:p>
        <w:p w14:paraId="0D7B7F85" w14:textId="2A96D939" w:rsidR="000903DF" w:rsidRDefault="000903DF">
          <w:pPr>
            <w:pStyle w:val="Sumrio3"/>
            <w:tabs>
              <w:tab w:val="right" w:leader="dot" w:pos="9060"/>
            </w:tabs>
            <w:rPr>
              <w:rFonts w:eastAsiaTheme="minorEastAsia"/>
              <w:noProof/>
              <w:lang w:eastAsia="pt-BR"/>
            </w:rPr>
          </w:pPr>
          <w:hyperlink w:anchor="_Toc224164532" w:history="1">
            <w:r w:rsidRPr="00A970A0">
              <w:rPr>
                <w:rStyle w:val="Hyperlink"/>
                <w:rFonts w:ascii="Times New Roman" w:hAnsi="Times New Roman" w:cs="Times New Roman"/>
                <w:b/>
                <w:bCs/>
                <w:noProof/>
              </w:rPr>
              <w:t>2.5.1 Alta resolução e correção geométrica de imagens</w:t>
            </w:r>
            <w:r>
              <w:rPr>
                <w:noProof/>
                <w:webHidden/>
              </w:rPr>
              <w:tab/>
            </w:r>
            <w:r>
              <w:rPr>
                <w:noProof/>
                <w:webHidden/>
              </w:rPr>
              <w:fldChar w:fldCharType="begin"/>
            </w:r>
            <w:r>
              <w:rPr>
                <w:noProof/>
                <w:webHidden/>
              </w:rPr>
              <w:instrText xml:space="preserve"> PAGEREF _Toc224164532 \h </w:instrText>
            </w:r>
            <w:r>
              <w:rPr>
                <w:noProof/>
                <w:webHidden/>
              </w:rPr>
            </w:r>
            <w:r>
              <w:rPr>
                <w:noProof/>
                <w:webHidden/>
              </w:rPr>
              <w:fldChar w:fldCharType="separate"/>
            </w:r>
            <w:r>
              <w:rPr>
                <w:noProof/>
                <w:webHidden/>
              </w:rPr>
              <w:t>14</w:t>
            </w:r>
            <w:r>
              <w:rPr>
                <w:noProof/>
                <w:webHidden/>
              </w:rPr>
              <w:fldChar w:fldCharType="end"/>
            </w:r>
          </w:hyperlink>
        </w:p>
        <w:p w14:paraId="55D7CB9C" w14:textId="50EC497E" w:rsidR="000903DF" w:rsidRDefault="000903DF">
          <w:pPr>
            <w:pStyle w:val="Sumrio3"/>
            <w:tabs>
              <w:tab w:val="right" w:leader="dot" w:pos="9060"/>
            </w:tabs>
            <w:rPr>
              <w:rFonts w:eastAsiaTheme="minorEastAsia"/>
              <w:noProof/>
              <w:lang w:eastAsia="pt-BR"/>
            </w:rPr>
          </w:pPr>
          <w:hyperlink w:anchor="_Toc224164533" w:history="1">
            <w:r w:rsidRPr="00A970A0">
              <w:rPr>
                <w:rStyle w:val="Hyperlink"/>
                <w:rFonts w:ascii="Times New Roman" w:hAnsi="Times New Roman" w:cs="Times New Roman"/>
                <w:b/>
                <w:bCs/>
                <w:noProof/>
              </w:rPr>
              <w:t>2.5.2 Reconstituição histórica via séries temporais (marco de 2008)</w:t>
            </w:r>
            <w:r>
              <w:rPr>
                <w:noProof/>
                <w:webHidden/>
              </w:rPr>
              <w:tab/>
            </w:r>
            <w:r>
              <w:rPr>
                <w:noProof/>
                <w:webHidden/>
              </w:rPr>
              <w:fldChar w:fldCharType="begin"/>
            </w:r>
            <w:r>
              <w:rPr>
                <w:noProof/>
                <w:webHidden/>
              </w:rPr>
              <w:instrText xml:space="preserve"> PAGEREF _Toc224164533 \h </w:instrText>
            </w:r>
            <w:r>
              <w:rPr>
                <w:noProof/>
                <w:webHidden/>
              </w:rPr>
            </w:r>
            <w:r>
              <w:rPr>
                <w:noProof/>
                <w:webHidden/>
              </w:rPr>
              <w:fldChar w:fldCharType="separate"/>
            </w:r>
            <w:r>
              <w:rPr>
                <w:noProof/>
                <w:webHidden/>
              </w:rPr>
              <w:t>15</w:t>
            </w:r>
            <w:r>
              <w:rPr>
                <w:noProof/>
                <w:webHidden/>
              </w:rPr>
              <w:fldChar w:fldCharType="end"/>
            </w:r>
          </w:hyperlink>
        </w:p>
        <w:p w14:paraId="52AB05A6" w14:textId="1EE5CC8D" w:rsidR="000903DF" w:rsidRDefault="000903DF">
          <w:pPr>
            <w:pStyle w:val="Sumrio3"/>
            <w:tabs>
              <w:tab w:val="right" w:leader="dot" w:pos="9060"/>
            </w:tabs>
            <w:rPr>
              <w:rFonts w:eastAsiaTheme="minorEastAsia"/>
              <w:noProof/>
              <w:lang w:eastAsia="pt-BR"/>
            </w:rPr>
          </w:pPr>
          <w:hyperlink w:anchor="_Toc224164534" w:history="1">
            <w:r w:rsidRPr="00A970A0">
              <w:rPr>
                <w:rStyle w:val="Hyperlink"/>
                <w:rFonts w:ascii="Times New Roman" w:hAnsi="Times New Roman" w:cs="Times New Roman"/>
                <w:b/>
                <w:bCs/>
                <w:noProof/>
              </w:rPr>
              <w:t>2.5.3 Cálculo automatizado e monitoramento no CAR/SICAR</w:t>
            </w:r>
            <w:r>
              <w:rPr>
                <w:noProof/>
                <w:webHidden/>
              </w:rPr>
              <w:tab/>
            </w:r>
            <w:r>
              <w:rPr>
                <w:noProof/>
                <w:webHidden/>
              </w:rPr>
              <w:fldChar w:fldCharType="begin"/>
            </w:r>
            <w:r>
              <w:rPr>
                <w:noProof/>
                <w:webHidden/>
              </w:rPr>
              <w:instrText xml:space="preserve"> PAGEREF _Toc224164534 \h </w:instrText>
            </w:r>
            <w:r>
              <w:rPr>
                <w:noProof/>
                <w:webHidden/>
              </w:rPr>
            </w:r>
            <w:r>
              <w:rPr>
                <w:noProof/>
                <w:webHidden/>
              </w:rPr>
              <w:fldChar w:fldCharType="separate"/>
            </w:r>
            <w:r>
              <w:rPr>
                <w:noProof/>
                <w:webHidden/>
              </w:rPr>
              <w:t>16</w:t>
            </w:r>
            <w:r>
              <w:rPr>
                <w:noProof/>
                <w:webHidden/>
              </w:rPr>
              <w:fldChar w:fldCharType="end"/>
            </w:r>
          </w:hyperlink>
        </w:p>
        <w:p w14:paraId="06049351" w14:textId="1F1199BB" w:rsidR="000903DF" w:rsidRDefault="000903DF">
          <w:pPr>
            <w:pStyle w:val="Sumrio3"/>
            <w:tabs>
              <w:tab w:val="right" w:leader="dot" w:pos="9060"/>
            </w:tabs>
            <w:rPr>
              <w:rFonts w:eastAsiaTheme="minorEastAsia"/>
              <w:noProof/>
              <w:lang w:eastAsia="pt-BR"/>
            </w:rPr>
          </w:pPr>
          <w:hyperlink w:anchor="_Toc224164535" w:history="1">
            <w:r w:rsidRPr="00A970A0">
              <w:rPr>
                <w:rStyle w:val="Hyperlink"/>
                <w:rFonts w:ascii="Times New Roman" w:hAnsi="Times New Roman" w:cs="Times New Roman"/>
                <w:b/>
                <w:bCs/>
                <w:noProof/>
              </w:rPr>
              <w:t>2.5.4 Uso de inteligência artificial e imagens de altíssima resolução</w:t>
            </w:r>
            <w:r>
              <w:rPr>
                <w:noProof/>
                <w:webHidden/>
              </w:rPr>
              <w:tab/>
            </w:r>
            <w:r>
              <w:rPr>
                <w:noProof/>
                <w:webHidden/>
              </w:rPr>
              <w:fldChar w:fldCharType="begin"/>
            </w:r>
            <w:r>
              <w:rPr>
                <w:noProof/>
                <w:webHidden/>
              </w:rPr>
              <w:instrText xml:space="preserve"> PAGEREF _Toc224164535 \h </w:instrText>
            </w:r>
            <w:r>
              <w:rPr>
                <w:noProof/>
                <w:webHidden/>
              </w:rPr>
            </w:r>
            <w:r>
              <w:rPr>
                <w:noProof/>
                <w:webHidden/>
              </w:rPr>
              <w:fldChar w:fldCharType="separate"/>
            </w:r>
            <w:r>
              <w:rPr>
                <w:noProof/>
                <w:webHidden/>
              </w:rPr>
              <w:t>16</w:t>
            </w:r>
            <w:r>
              <w:rPr>
                <w:noProof/>
                <w:webHidden/>
              </w:rPr>
              <w:fldChar w:fldCharType="end"/>
            </w:r>
          </w:hyperlink>
        </w:p>
        <w:p w14:paraId="78942E03" w14:textId="0E2F634D" w:rsidR="000903DF" w:rsidRDefault="000903DF">
          <w:pPr>
            <w:pStyle w:val="Sumrio1"/>
            <w:tabs>
              <w:tab w:val="right" w:leader="dot" w:pos="9060"/>
            </w:tabs>
            <w:rPr>
              <w:rFonts w:eastAsiaTheme="minorEastAsia"/>
              <w:noProof/>
              <w:lang w:eastAsia="pt-BR"/>
            </w:rPr>
          </w:pPr>
          <w:hyperlink w:anchor="_Toc224164536" w:history="1">
            <w:r w:rsidRPr="00A970A0">
              <w:rPr>
                <w:rStyle w:val="Hyperlink"/>
                <w:rFonts w:cs="Times New Roman"/>
                <w:noProof/>
              </w:rPr>
              <w:t>3 METODOLOGIA</w:t>
            </w:r>
            <w:r>
              <w:rPr>
                <w:noProof/>
                <w:webHidden/>
              </w:rPr>
              <w:tab/>
            </w:r>
            <w:r>
              <w:rPr>
                <w:noProof/>
                <w:webHidden/>
              </w:rPr>
              <w:fldChar w:fldCharType="begin"/>
            </w:r>
            <w:r>
              <w:rPr>
                <w:noProof/>
                <w:webHidden/>
              </w:rPr>
              <w:instrText xml:space="preserve"> PAGEREF _Toc224164536 \h </w:instrText>
            </w:r>
            <w:r>
              <w:rPr>
                <w:noProof/>
                <w:webHidden/>
              </w:rPr>
            </w:r>
            <w:r>
              <w:rPr>
                <w:noProof/>
                <w:webHidden/>
              </w:rPr>
              <w:fldChar w:fldCharType="separate"/>
            </w:r>
            <w:r>
              <w:rPr>
                <w:noProof/>
                <w:webHidden/>
              </w:rPr>
              <w:t>16</w:t>
            </w:r>
            <w:r>
              <w:rPr>
                <w:noProof/>
                <w:webHidden/>
              </w:rPr>
              <w:fldChar w:fldCharType="end"/>
            </w:r>
          </w:hyperlink>
        </w:p>
        <w:p w14:paraId="67B63401" w14:textId="0B7C17F8" w:rsidR="000903DF" w:rsidRDefault="000903DF">
          <w:pPr>
            <w:pStyle w:val="Sumrio2"/>
            <w:tabs>
              <w:tab w:val="right" w:leader="dot" w:pos="9060"/>
            </w:tabs>
            <w:rPr>
              <w:rFonts w:eastAsiaTheme="minorEastAsia"/>
              <w:noProof/>
              <w:lang w:eastAsia="pt-BR"/>
            </w:rPr>
          </w:pPr>
          <w:hyperlink w:anchor="_Toc224164537" w:history="1">
            <w:r w:rsidRPr="00A970A0">
              <w:rPr>
                <w:rStyle w:val="Hyperlink"/>
                <w:rFonts w:ascii="Times New Roman" w:hAnsi="Times New Roman" w:cs="Times New Roman"/>
                <w:noProof/>
              </w:rPr>
              <w:t>3.1 ÁREA DE ESTUDO E BASE DE DADOS</w:t>
            </w:r>
            <w:r>
              <w:rPr>
                <w:noProof/>
                <w:webHidden/>
              </w:rPr>
              <w:tab/>
            </w:r>
            <w:r>
              <w:rPr>
                <w:noProof/>
                <w:webHidden/>
              </w:rPr>
              <w:fldChar w:fldCharType="begin"/>
            </w:r>
            <w:r>
              <w:rPr>
                <w:noProof/>
                <w:webHidden/>
              </w:rPr>
              <w:instrText xml:space="preserve"> PAGEREF _Toc224164537 \h </w:instrText>
            </w:r>
            <w:r>
              <w:rPr>
                <w:noProof/>
                <w:webHidden/>
              </w:rPr>
            </w:r>
            <w:r>
              <w:rPr>
                <w:noProof/>
                <w:webHidden/>
              </w:rPr>
              <w:fldChar w:fldCharType="separate"/>
            </w:r>
            <w:r>
              <w:rPr>
                <w:noProof/>
                <w:webHidden/>
              </w:rPr>
              <w:t>17</w:t>
            </w:r>
            <w:r>
              <w:rPr>
                <w:noProof/>
                <w:webHidden/>
              </w:rPr>
              <w:fldChar w:fldCharType="end"/>
            </w:r>
          </w:hyperlink>
        </w:p>
        <w:p w14:paraId="53F60193" w14:textId="2B6EC21F" w:rsidR="000903DF" w:rsidRDefault="000903DF">
          <w:pPr>
            <w:pStyle w:val="Sumrio2"/>
            <w:tabs>
              <w:tab w:val="right" w:leader="dot" w:pos="9060"/>
            </w:tabs>
            <w:rPr>
              <w:rFonts w:eastAsiaTheme="minorEastAsia"/>
              <w:noProof/>
              <w:lang w:eastAsia="pt-BR"/>
            </w:rPr>
          </w:pPr>
          <w:hyperlink w:anchor="_Toc224164538" w:history="1">
            <w:r w:rsidRPr="00A970A0">
              <w:rPr>
                <w:rStyle w:val="Hyperlink"/>
                <w:rFonts w:ascii="Times New Roman" w:hAnsi="Times New Roman" w:cs="Times New Roman"/>
                <w:noProof/>
              </w:rPr>
              <w:t>3.2 INTEGRAÇÃO E HIGIENIZAÇÃO DE BIG DATA (ETL)</w:t>
            </w:r>
            <w:r>
              <w:rPr>
                <w:noProof/>
                <w:webHidden/>
              </w:rPr>
              <w:tab/>
            </w:r>
            <w:r>
              <w:rPr>
                <w:noProof/>
                <w:webHidden/>
              </w:rPr>
              <w:fldChar w:fldCharType="begin"/>
            </w:r>
            <w:r>
              <w:rPr>
                <w:noProof/>
                <w:webHidden/>
              </w:rPr>
              <w:instrText xml:space="preserve"> PAGEREF _Toc224164538 \h </w:instrText>
            </w:r>
            <w:r>
              <w:rPr>
                <w:noProof/>
                <w:webHidden/>
              </w:rPr>
            </w:r>
            <w:r>
              <w:rPr>
                <w:noProof/>
                <w:webHidden/>
              </w:rPr>
              <w:fldChar w:fldCharType="separate"/>
            </w:r>
            <w:r>
              <w:rPr>
                <w:noProof/>
                <w:webHidden/>
              </w:rPr>
              <w:t>17</w:t>
            </w:r>
            <w:r>
              <w:rPr>
                <w:noProof/>
                <w:webHidden/>
              </w:rPr>
              <w:fldChar w:fldCharType="end"/>
            </w:r>
          </w:hyperlink>
        </w:p>
        <w:p w14:paraId="1FA73DDE" w14:textId="2331B1C1" w:rsidR="000903DF" w:rsidRDefault="000903DF">
          <w:pPr>
            <w:pStyle w:val="Sumrio2"/>
            <w:tabs>
              <w:tab w:val="right" w:leader="dot" w:pos="9060"/>
            </w:tabs>
            <w:rPr>
              <w:rFonts w:eastAsiaTheme="minorEastAsia"/>
              <w:noProof/>
              <w:lang w:eastAsia="pt-BR"/>
            </w:rPr>
          </w:pPr>
          <w:hyperlink w:anchor="_Toc224164539" w:history="1">
            <w:r w:rsidRPr="00A970A0">
              <w:rPr>
                <w:rStyle w:val="Hyperlink"/>
                <w:rFonts w:ascii="Times New Roman" w:hAnsi="Times New Roman" w:cs="Times New Roman"/>
                <w:noProof/>
              </w:rPr>
              <w:t>3.3 PROCESSAMENTO EM NUVEM E MODELAGEM DE CENÁRIOS</w:t>
            </w:r>
            <w:r>
              <w:rPr>
                <w:noProof/>
                <w:webHidden/>
              </w:rPr>
              <w:tab/>
            </w:r>
            <w:r>
              <w:rPr>
                <w:noProof/>
                <w:webHidden/>
              </w:rPr>
              <w:fldChar w:fldCharType="begin"/>
            </w:r>
            <w:r>
              <w:rPr>
                <w:noProof/>
                <w:webHidden/>
              </w:rPr>
              <w:instrText xml:space="preserve"> PAGEREF _Toc224164539 \h </w:instrText>
            </w:r>
            <w:r>
              <w:rPr>
                <w:noProof/>
                <w:webHidden/>
              </w:rPr>
            </w:r>
            <w:r>
              <w:rPr>
                <w:noProof/>
                <w:webHidden/>
              </w:rPr>
              <w:fldChar w:fldCharType="separate"/>
            </w:r>
            <w:r>
              <w:rPr>
                <w:noProof/>
                <w:webHidden/>
              </w:rPr>
              <w:t>18</w:t>
            </w:r>
            <w:r>
              <w:rPr>
                <w:noProof/>
                <w:webHidden/>
              </w:rPr>
              <w:fldChar w:fldCharType="end"/>
            </w:r>
          </w:hyperlink>
        </w:p>
        <w:p w14:paraId="6DFD42D7" w14:textId="08FA3E1B" w:rsidR="000903DF" w:rsidRDefault="000903DF">
          <w:pPr>
            <w:pStyle w:val="Sumrio2"/>
            <w:tabs>
              <w:tab w:val="right" w:leader="dot" w:pos="9060"/>
            </w:tabs>
            <w:rPr>
              <w:rFonts w:eastAsiaTheme="minorEastAsia"/>
              <w:noProof/>
              <w:lang w:eastAsia="pt-BR"/>
            </w:rPr>
          </w:pPr>
          <w:hyperlink w:anchor="_Toc224164540" w:history="1">
            <w:r w:rsidRPr="00A970A0">
              <w:rPr>
                <w:rStyle w:val="Hyperlink"/>
                <w:rFonts w:ascii="Times New Roman" w:hAnsi="Times New Roman" w:cs="Times New Roman"/>
                <w:noProof/>
              </w:rPr>
              <w:t>3.4 PROCESSAMENTO E ANÁLISE ESTATÍSTICA DE DADOS</w:t>
            </w:r>
            <w:r>
              <w:rPr>
                <w:noProof/>
                <w:webHidden/>
              </w:rPr>
              <w:tab/>
            </w:r>
            <w:r>
              <w:rPr>
                <w:noProof/>
                <w:webHidden/>
              </w:rPr>
              <w:fldChar w:fldCharType="begin"/>
            </w:r>
            <w:r>
              <w:rPr>
                <w:noProof/>
                <w:webHidden/>
              </w:rPr>
              <w:instrText xml:space="preserve"> PAGEREF _Toc224164540 \h </w:instrText>
            </w:r>
            <w:r>
              <w:rPr>
                <w:noProof/>
                <w:webHidden/>
              </w:rPr>
            </w:r>
            <w:r>
              <w:rPr>
                <w:noProof/>
                <w:webHidden/>
              </w:rPr>
              <w:fldChar w:fldCharType="separate"/>
            </w:r>
            <w:r>
              <w:rPr>
                <w:noProof/>
                <w:webHidden/>
              </w:rPr>
              <w:t>19</w:t>
            </w:r>
            <w:r>
              <w:rPr>
                <w:noProof/>
                <w:webHidden/>
              </w:rPr>
              <w:fldChar w:fldCharType="end"/>
            </w:r>
          </w:hyperlink>
        </w:p>
        <w:p w14:paraId="27FA201A" w14:textId="7CC49C4C" w:rsidR="000903DF" w:rsidRDefault="000903DF">
          <w:pPr>
            <w:pStyle w:val="Sumrio3"/>
            <w:tabs>
              <w:tab w:val="right" w:leader="dot" w:pos="9060"/>
            </w:tabs>
            <w:rPr>
              <w:rFonts w:eastAsiaTheme="minorEastAsia"/>
              <w:noProof/>
              <w:lang w:eastAsia="pt-BR"/>
            </w:rPr>
          </w:pPr>
          <w:hyperlink w:anchor="_Toc224164541" w:history="1">
            <w:r w:rsidRPr="00A970A0">
              <w:rPr>
                <w:rStyle w:val="Hyperlink"/>
                <w:rFonts w:ascii="Times New Roman" w:hAnsi="Times New Roman" w:cs="Times New Roman"/>
                <w:b/>
                <w:bCs/>
                <w:noProof/>
              </w:rPr>
              <w:t>3.4.1 Integração de bases e critérios de elegibilidade</w:t>
            </w:r>
            <w:r>
              <w:rPr>
                <w:noProof/>
                <w:webHidden/>
              </w:rPr>
              <w:tab/>
            </w:r>
            <w:r>
              <w:rPr>
                <w:noProof/>
                <w:webHidden/>
              </w:rPr>
              <w:fldChar w:fldCharType="begin"/>
            </w:r>
            <w:r>
              <w:rPr>
                <w:noProof/>
                <w:webHidden/>
              </w:rPr>
              <w:instrText xml:space="preserve"> PAGEREF _Toc224164541 \h </w:instrText>
            </w:r>
            <w:r>
              <w:rPr>
                <w:noProof/>
                <w:webHidden/>
              </w:rPr>
            </w:r>
            <w:r>
              <w:rPr>
                <w:noProof/>
                <w:webHidden/>
              </w:rPr>
              <w:fldChar w:fldCharType="separate"/>
            </w:r>
            <w:r>
              <w:rPr>
                <w:noProof/>
                <w:webHidden/>
              </w:rPr>
              <w:t>19</w:t>
            </w:r>
            <w:r>
              <w:rPr>
                <w:noProof/>
                <w:webHidden/>
              </w:rPr>
              <w:fldChar w:fldCharType="end"/>
            </w:r>
          </w:hyperlink>
        </w:p>
        <w:p w14:paraId="41AE51CC" w14:textId="131F28FF" w:rsidR="000903DF" w:rsidRDefault="000903DF">
          <w:pPr>
            <w:pStyle w:val="Sumrio3"/>
            <w:tabs>
              <w:tab w:val="right" w:leader="dot" w:pos="9060"/>
            </w:tabs>
            <w:rPr>
              <w:rFonts w:eastAsiaTheme="minorEastAsia"/>
              <w:noProof/>
              <w:lang w:eastAsia="pt-BR"/>
            </w:rPr>
          </w:pPr>
          <w:hyperlink w:anchor="_Toc224164542" w:history="1">
            <w:r w:rsidRPr="00A970A0">
              <w:rPr>
                <w:rStyle w:val="Hyperlink"/>
                <w:rFonts w:ascii="Times New Roman" w:hAnsi="Times New Roman" w:cs="Times New Roman"/>
                <w:b/>
                <w:bCs/>
                <w:noProof/>
              </w:rPr>
              <w:t>3.4.2 Cálculo de passivos e impacto regulatório</w:t>
            </w:r>
            <w:r>
              <w:rPr>
                <w:noProof/>
                <w:webHidden/>
              </w:rPr>
              <w:tab/>
            </w:r>
            <w:r>
              <w:rPr>
                <w:noProof/>
                <w:webHidden/>
              </w:rPr>
              <w:fldChar w:fldCharType="begin"/>
            </w:r>
            <w:r>
              <w:rPr>
                <w:noProof/>
                <w:webHidden/>
              </w:rPr>
              <w:instrText xml:space="preserve"> PAGEREF _Toc224164542 \h </w:instrText>
            </w:r>
            <w:r>
              <w:rPr>
                <w:noProof/>
                <w:webHidden/>
              </w:rPr>
            </w:r>
            <w:r>
              <w:rPr>
                <w:noProof/>
                <w:webHidden/>
              </w:rPr>
              <w:fldChar w:fldCharType="separate"/>
            </w:r>
            <w:r>
              <w:rPr>
                <w:noProof/>
                <w:webHidden/>
              </w:rPr>
              <w:t>20</w:t>
            </w:r>
            <w:r>
              <w:rPr>
                <w:noProof/>
                <w:webHidden/>
              </w:rPr>
              <w:fldChar w:fldCharType="end"/>
            </w:r>
          </w:hyperlink>
        </w:p>
        <w:p w14:paraId="5784DC78" w14:textId="69305E59" w:rsidR="000903DF" w:rsidRDefault="000903DF">
          <w:pPr>
            <w:pStyle w:val="Sumrio3"/>
            <w:tabs>
              <w:tab w:val="right" w:leader="dot" w:pos="9060"/>
            </w:tabs>
            <w:rPr>
              <w:rFonts w:eastAsiaTheme="minorEastAsia"/>
              <w:noProof/>
              <w:lang w:eastAsia="pt-BR"/>
            </w:rPr>
          </w:pPr>
          <w:hyperlink w:anchor="_Toc224164543" w:history="1">
            <w:r w:rsidRPr="00A970A0">
              <w:rPr>
                <w:rStyle w:val="Hyperlink"/>
                <w:rFonts w:ascii="Times New Roman" w:hAnsi="Times New Roman" w:cs="Times New Roman"/>
                <w:b/>
                <w:bCs/>
                <w:noProof/>
              </w:rPr>
              <w:t>3.4.3 Sumarização e visualização de dados</w:t>
            </w:r>
            <w:r>
              <w:rPr>
                <w:noProof/>
                <w:webHidden/>
              </w:rPr>
              <w:tab/>
            </w:r>
            <w:r>
              <w:rPr>
                <w:noProof/>
                <w:webHidden/>
              </w:rPr>
              <w:fldChar w:fldCharType="begin"/>
            </w:r>
            <w:r>
              <w:rPr>
                <w:noProof/>
                <w:webHidden/>
              </w:rPr>
              <w:instrText xml:space="preserve"> PAGEREF _Toc224164543 \h </w:instrText>
            </w:r>
            <w:r>
              <w:rPr>
                <w:noProof/>
                <w:webHidden/>
              </w:rPr>
            </w:r>
            <w:r>
              <w:rPr>
                <w:noProof/>
                <w:webHidden/>
              </w:rPr>
              <w:fldChar w:fldCharType="separate"/>
            </w:r>
            <w:r>
              <w:rPr>
                <w:noProof/>
                <w:webHidden/>
              </w:rPr>
              <w:t>20</w:t>
            </w:r>
            <w:r>
              <w:rPr>
                <w:noProof/>
                <w:webHidden/>
              </w:rPr>
              <w:fldChar w:fldCharType="end"/>
            </w:r>
          </w:hyperlink>
        </w:p>
        <w:p w14:paraId="1F0ACDE0" w14:textId="49E2106F" w:rsidR="000903DF" w:rsidRDefault="000903DF">
          <w:pPr>
            <w:pStyle w:val="Sumrio2"/>
            <w:tabs>
              <w:tab w:val="right" w:leader="dot" w:pos="9060"/>
            </w:tabs>
            <w:rPr>
              <w:rFonts w:eastAsiaTheme="minorEastAsia"/>
              <w:noProof/>
              <w:lang w:eastAsia="pt-BR"/>
            </w:rPr>
          </w:pPr>
          <w:hyperlink w:anchor="_Toc224164544" w:history="1">
            <w:r w:rsidRPr="00A970A0">
              <w:rPr>
                <w:rStyle w:val="Hyperlink"/>
                <w:rFonts w:ascii="Times New Roman" w:hAnsi="Times New Roman" w:cs="Times New Roman"/>
                <w:noProof/>
              </w:rPr>
              <w:t>3.5 INTEGRAÇÃO GEOESPACIAL E REPRESENTAÇÃO CARTOGRÁFICA</w:t>
            </w:r>
            <w:r>
              <w:rPr>
                <w:noProof/>
                <w:webHidden/>
              </w:rPr>
              <w:tab/>
            </w:r>
            <w:r>
              <w:rPr>
                <w:noProof/>
                <w:webHidden/>
              </w:rPr>
              <w:fldChar w:fldCharType="begin"/>
            </w:r>
            <w:r>
              <w:rPr>
                <w:noProof/>
                <w:webHidden/>
              </w:rPr>
              <w:instrText xml:space="preserve"> PAGEREF _Toc224164544 \h </w:instrText>
            </w:r>
            <w:r>
              <w:rPr>
                <w:noProof/>
                <w:webHidden/>
              </w:rPr>
            </w:r>
            <w:r>
              <w:rPr>
                <w:noProof/>
                <w:webHidden/>
              </w:rPr>
              <w:fldChar w:fldCharType="separate"/>
            </w:r>
            <w:r>
              <w:rPr>
                <w:noProof/>
                <w:webHidden/>
              </w:rPr>
              <w:t>20</w:t>
            </w:r>
            <w:r>
              <w:rPr>
                <w:noProof/>
                <w:webHidden/>
              </w:rPr>
              <w:fldChar w:fldCharType="end"/>
            </w:r>
          </w:hyperlink>
        </w:p>
        <w:p w14:paraId="7C88BB86" w14:textId="2E31F0EA" w:rsidR="000903DF" w:rsidRDefault="000903DF">
          <w:pPr>
            <w:pStyle w:val="Sumrio2"/>
            <w:tabs>
              <w:tab w:val="right" w:leader="dot" w:pos="9060"/>
            </w:tabs>
            <w:rPr>
              <w:rFonts w:eastAsiaTheme="minorEastAsia"/>
              <w:noProof/>
              <w:lang w:eastAsia="pt-BR"/>
            </w:rPr>
          </w:pPr>
          <w:hyperlink w:anchor="_Toc224164545" w:history="1">
            <w:r w:rsidRPr="00A970A0">
              <w:rPr>
                <w:rStyle w:val="Hyperlink"/>
                <w:rFonts w:ascii="Times New Roman" w:hAnsi="Times New Roman" w:cs="Times New Roman"/>
                <w:noProof/>
              </w:rPr>
              <w:t>3.6 TIPIFICAÇÃO E CATEGORIZAÇÃO DOS IMÓVEIS E PASSIVOS</w:t>
            </w:r>
            <w:r>
              <w:rPr>
                <w:noProof/>
                <w:webHidden/>
              </w:rPr>
              <w:tab/>
            </w:r>
            <w:r>
              <w:rPr>
                <w:noProof/>
                <w:webHidden/>
              </w:rPr>
              <w:fldChar w:fldCharType="begin"/>
            </w:r>
            <w:r>
              <w:rPr>
                <w:noProof/>
                <w:webHidden/>
              </w:rPr>
              <w:instrText xml:space="preserve"> PAGEREF _Toc224164545 \h </w:instrText>
            </w:r>
            <w:r>
              <w:rPr>
                <w:noProof/>
                <w:webHidden/>
              </w:rPr>
            </w:r>
            <w:r>
              <w:rPr>
                <w:noProof/>
                <w:webHidden/>
              </w:rPr>
              <w:fldChar w:fldCharType="separate"/>
            </w:r>
            <w:r>
              <w:rPr>
                <w:noProof/>
                <w:webHidden/>
              </w:rPr>
              <w:t>21</w:t>
            </w:r>
            <w:r>
              <w:rPr>
                <w:noProof/>
                <w:webHidden/>
              </w:rPr>
              <w:fldChar w:fldCharType="end"/>
            </w:r>
          </w:hyperlink>
        </w:p>
        <w:p w14:paraId="248F09E1" w14:textId="47DA007E" w:rsidR="000903DF" w:rsidRDefault="000903DF">
          <w:pPr>
            <w:pStyle w:val="Sumrio3"/>
            <w:tabs>
              <w:tab w:val="right" w:leader="dot" w:pos="9060"/>
            </w:tabs>
            <w:rPr>
              <w:rFonts w:eastAsiaTheme="minorEastAsia"/>
              <w:noProof/>
              <w:lang w:eastAsia="pt-BR"/>
            </w:rPr>
          </w:pPr>
          <w:hyperlink w:anchor="_Toc224164546" w:history="1">
            <w:r w:rsidRPr="00A970A0">
              <w:rPr>
                <w:rStyle w:val="Hyperlink"/>
                <w:rFonts w:ascii="Times New Roman" w:hAnsi="Times New Roman" w:cs="Times New Roman"/>
                <w:b/>
                <w:bCs/>
                <w:noProof/>
              </w:rPr>
              <w:t>3.6.1 Critérios de elegibilidade territorial</w:t>
            </w:r>
            <w:r>
              <w:rPr>
                <w:noProof/>
                <w:webHidden/>
              </w:rPr>
              <w:tab/>
            </w:r>
            <w:r>
              <w:rPr>
                <w:noProof/>
                <w:webHidden/>
              </w:rPr>
              <w:fldChar w:fldCharType="begin"/>
            </w:r>
            <w:r>
              <w:rPr>
                <w:noProof/>
                <w:webHidden/>
              </w:rPr>
              <w:instrText xml:space="preserve"> PAGEREF _Toc224164546 \h </w:instrText>
            </w:r>
            <w:r>
              <w:rPr>
                <w:noProof/>
                <w:webHidden/>
              </w:rPr>
            </w:r>
            <w:r>
              <w:rPr>
                <w:noProof/>
                <w:webHidden/>
              </w:rPr>
              <w:fldChar w:fldCharType="separate"/>
            </w:r>
            <w:r>
              <w:rPr>
                <w:noProof/>
                <w:webHidden/>
              </w:rPr>
              <w:t>21</w:t>
            </w:r>
            <w:r>
              <w:rPr>
                <w:noProof/>
                <w:webHidden/>
              </w:rPr>
              <w:fldChar w:fldCharType="end"/>
            </w:r>
          </w:hyperlink>
        </w:p>
        <w:p w14:paraId="1E7ABC81" w14:textId="0971925F" w:rsidR="000903DF" w:rsidRDefault="000903DF">
          <w:pPr>
            <w:pStyle w:val="Sumrio3"/>
            <w:tabs>
              <w:tab w:val="right" w:leader="dot" w:pos="9060"/>
            </w:tabs>
            <w:rPr>
              <w:rFonts w:eastAsiaTheme="minorEastAsia"/>
              <w:noProof/>
              <w:lang w:eastAsia="pt-BR"/>
            </w:rPr>
          </w:pPr>
          <w:hyperlink w:anchor="_Toc224164547" w:history="1">
            <w:r w:rsidRPr="00A970A0">
              <w:rPr>
                <w:rStyle w:val="Hyperlink"/>
                <w:rFonts w:ascii="Times New Roman" w:hAnsi="Times New Roman" w:cs="Times New Roman"/>
                <w:b/>
                <w:bCs/>
                <w:noProof/>
              </w:rPr>
              <w:t>3.6.2 Matriz de status de conformidade</w:t>
            </w:r>
            <w:r>
              <w:rPr>
                <w:noProof/>
                <w:webHidden/>
              </w:rPr>
              <w:tab/>
            </w:r>
            <w:r>
              <w:rPr>
                <w:noProof/>
                <w:webHidden/>
              </w:rPr>
              <w:fldChar w:fldCharType="begin"/>
            </w:r>
            <w:r>
              <w:rPr>
                <w:noProof/>
                <w:webHidden/>
              </w:rPr>
              <w:instrText xml:space="preserve"> PAGEREF _Toc224164547 \h </w:instrText>
            </w:r>
            <w:r>
              <w:rPr>
                <w:noProof/>
                <w:webHidden/>
              </w:rPr>
            </w:r>
            <w:r>
              <w:rPr>
                <w:noProof/>
                <w:webHidden/>
              </w:rPr>
              <w:fldChar w:fldCharType="separate"/>
            </w:r>
            <w:r>
              <w:rPr>
                <w:noProof/>
                <w:webHidden/>
              </w:rPr>
              <w:t>21</w:t>
            </w:r>
            <w:r>
              <w:rPr>
                <w:noProof/>
                <w:webHidden/>
              </w:rPr>
              <w:fldChar w:fldCharType="end"/>
            </w:r>
          </w:hyperlink>
        </w:p>
        <w:p w14:paraId="659E6A71" w14:textId="25EF3F20" w:rsidR="000903DF" w:rsidRDefault="000903DF">
          <w:pPr>
            <w:pStyle w:val="Sumrio3"/>
            <w:tabs>
              <w:tab w:val="right" w:leader="dot" w:pos="9060"/>
            </w:tabs>
            <w:rPr>
              <w:rFonts w:eastAsiaTheme="minorEastAsia"/>
              <w:noProof/>
              <w:lang w:eastAsia="pt-BR"/>
            </w:rPr>
          </w:pPr>
          <w:hyperlink w:anchor="_Toc224164548" w:history="1">
            <w:r w:rsidRPr="00A970A0">
              <w:rPr>
                <w:rStyle w:val="Hyperlink"/>
                <w:rFonts w:ascii="Times New Roman" w:hAnsi="Times New Roman" w:cs="Times New Roman"/>
                <w:b/>
                <w:bCs/>
                <w:noProof/>
              </w:rPr>
              <w:t>3.6.3 Estratificação da magnitude do passivo não consolidado</w:t>
            </w:r>
            <w:r>
              <w:rPr>
                <w:noProof/>
                <w:webHidden/>
              </w:rPr>
              <w:tab/>
            </w:r>
            <w:r>
              <w:rPr>
                <w:noProof/>
                <w:webHidden/>
              </w:rPr>
              <w:fldChar w:fldCharType="begin"/>
            </w:r>
            <w:r>
              <w:rPr>
                <w:noProof/>
                <w:webHidden/>
              </w:rPr>
              <w:instrText xml:space="preserve"> PAGEREF _Toc224164548 \h </w:instrText>
            </w:r>
            <w:r>
              <w:rPr>
                <w:noProof/>
                <w:webHidden/>
              </w:rPr>
            </w:r>
            <w:r>
              <w:rPr>
                <w:noProof/>
                <w:webHidden/>
              </w:rPr>
              <w:fldChar w:fldCharType="separate"/>
            </w:r>
            <w:r>
              <w:rPr>
                <w:noProof/>
                <w:webHidden/>
              </w:rPr>
              <w:t>22</w:t>
            </w:r>
            <w:r>
              <w:rPr>
                <w:noProof/>
                <w:webHidden/>
              </w:rPr>
              <w:fldChar w:fldCharType="end"/>
            </w:r>
          </w:hyperlink>
        </w:p>
        <w:p w14:paraId="09665921" w14:textId="776D10E9" w:rsidR="000903DF" w:rsidRDefault="000903DF">
          <w:pPr>
            <w:pStyle w:val="Sumrio1"/>
            <w:tabs>
              <w:tab w:val="right" w:leader="dot" w:pos="9060"/>
            </w:tabs>
            <w:rPr>
              <w:rFonts w:eastAsiaTheme="minorEastAsia"/>
              <w:noProof/>
              <w:lang w:eastAsia="pt-BR"/>
            </w:rPr>
          </w:pPr>
          <w:hyperlink w:anchor="_Toc224164549" w:history="1">
            <w:r w:rsidRPr="00A970A0">
              <w:rPr>
                <w:rStyle w:val="Hyperlink"/>
                <w:rFonts w:cs="Times New Roman"/>
                <w:noProof/>
              </w:rPr>
              <w:t>4 RESULTADOS E DISCUSSÃO</w:t>
            </w:r>
            <w:r>
              <w:rPr>
                <w:noProof/>
                <w:webHidden/>
              </w:rPr>
              <w:tab/>
            </w:r>
            <w:r>
              <w:rPr>
                <w:noProof/>
                <w:webHidden/>
              </w:rPr>
              <w:fldChar w:fldCharType="begin"/>
            </w:r>
            <w:r>
              <w:rPr>
                <w:noProof/>
                <w:webHidden/>
              </w:rPr>
              <w:instrText xml:space="preserve"> PAGEREF _Toc224164549 \h </w:instrText>
            </w:r>
            <w:r>
              <w:rPr>
                <w:noProof/>
                <w:webHidden/>
              </w:rPr>
            </w:r>
            <w:r>
              <w:rPr>
                <w:noProof/>
                <w:webHidden/>
              </w:rPr>
              <w:fldChar w:fldCharType="separate"/>
            </w:r>
            <w:r>
              <w:rPr>
                <w:noProof/>
                <w:webHidden/>
              </w:rPr>
              <w:t>22</w:t>
            </w:r>
            <w:r>
              <w:rPr>
                <w:noProof/>
                <w:webHidden/>
              </w:rPr>
              <w:fldChar w:fldCharType="end"/>
            </w:r>
          </w:hyperlink>
        </w:p>
        <w:p w14:paraId="367605EE" w14:textId="532478BF" w:rsidR="000903DF" w:rsidRDefault="000903DF">
          <w:pPr>
            <w:pStyle w:val="Sumrio2"/>
            <w:tabs>
              <w:tab w:val="right" w:leader="dot" w:pos="9060"/>
            </w:tabs>
            <w:rPr>
              <w:rFonts w:eastAsiaTheme="minorEastAsia"/>
              <w:noProof/>
              <w:lang w:eastAsia="pt-BR"/>
            </w:rPr>
          </w:pPr>
          <w:hyperlink w:anchor="_Toc224164550" w:history="1">
            <w:r w:rsidRPr="00A970A0">
              <w:rPr>
                <w:rStyle w:val="Hyperlink"/>
                <w:rFonts w:ascii="Times New Roman" w:hAnsi="Times New Roman" w:cs="Times New Roman"/>
                <w:noProof/>
              </w:rPr>
              <w:t>4.1 ELEGIBILIDADE TERRITORIAL E ABRANGÊNCIA DO ART. 12</w:t>
            </w:r>
            <w:r>
              <w:rPr>
                <w:noProof/>
                <w:webHidden/>
              </w:rPr>
              <w:tab/>
            </w:r>
            <w:r>
              <w:rPr>
                <w:noProof/>
                <w:webHidden/>
              </w:rPr>
              <w:fldChar w:fldCharType="begin"/>
            </w:r>
            <w:r>
              <w:rPr>
                <w:noProof/>
                <w:webHidden/>
              </w:rPr>
              <w:instrText xml:space="preserve"> PAGEREF _Toc224164550 \h </w:instrText>
            </w:r>
            <w:r>
              <w:rPr>
                <w:noProof/>
                <w:webHidden/>
              </w:rPr>
            </w:r>
            <w:r>
              <w:rPr>
                <w:noProof/>
                <w:webHidden/>
              </w:rPr>
              <w:fldChar w:fldCharType="separate"/>
            </w:r>
            <w:r>
              <w:rPr>
                <w:noProof/>
                <w:webHidden/>
              </w:rPr>
              <w:t>22</w:t>
            </w:r>
            <w:r>
              <w:rPr>
                <w:noProof/>
                <w:webHidden/>
              </w:rPr>
              <w:fldChar w:fldCharType="end"/>
            </w:r>
          </w:hyperlink>
        </w:p>
        <w:p w14:paraId="68CE451D" w14:textId="5E22C68F" w:rsidR="000903DF" w:rsidRDefault="000903DF">
          <w:pPr>
            <w:pStyle w:val="Sumrio2"/>
            <w:tabs>
              <w:tab w:val="right" w:leader="dot" w:pos="9060"/>
            </w:tabs>
            <w:rPr>
              <w:rFonts w:eastAsiaTheme="minorEastAsia"/>
              <w:noProof/>
              <w:lang w:eastAsia="pt-BR"/>
            </w:rPr>
          </w:pPr>
          <w:hyperlink w:anchor="_Toc224164551" w:history="1">
            <w:r w:rsidRPr="00A970A0">
              <w:rPr>
                <w:rStyle w:val="Hyperlink"/>
                <w:rFonts w:ascii="Times New Roman" w:hAnsi="Times New Roman" w:cs="Times New Roman"/>
                <w:noProof/>
              </w:rPr>
              <w:t>4.2 QUANTIFICAÇÃO DA VARIAÇÃO REGULATÓRIA</w:t>
            </w:r>
            <w:r>
              <w:rPr>
                <w:noProof/>
                <w:webHidden/>
              </w:rPr>
              <w:tab/>
            </w:r>
            <w:r>
              <w:rPr>
                <w:noProof/>
                <w:webHidden/>
              </w:rPr>
              <w:fldChar w:fldCharType="begin"/>
            </w:r>
            <w:r>
              <w:rPr>
                <w:noProof/>
                <w:webHidden/>
              </w:rPr>
              <w:instrText xml:space="preserve"> PAGEREF _Toc224164551 \h </w:instrText>
            </w:r>
            <w:r>
              <w:rPr>
                <w:noProof/>
                <w:webHidden/>
              </w:rPr>
            </w:r>
            <w:r>
              <w:rPr>
                <w:noProof/>
                <w:webHidden/>
              </w:rPr>
              <w:fldChar w:fldCharType="separate"/>
            </w:r>
            <w:r>
              <w:rPr>
                <w:noProof/>
                <w:webHidden/>
              </w:rPr>
              <w:t>24</w:t>
            </w:r>
            <w:r>
              <w:rPr>
                <w:noProof/>
                <w:webHidden/>
              </w:rPr>
              <w:fldChar w:fldCharType="end"/>
            </w:r>
          </w:hyperlink>
        </w:p>
        <w:p w14:paraId="4C3E5894" w14:textId="5EB82021" w:rsidR="000903DF" w:rsidRDefault="000903DF">
          <w:pPr>
            <w:pStyle w:val="Sumrio2"/>
            <w:tabs>
              <w:tab w:val="right" w:leader="dot" w:pos="9060"/>
            </w:tabs>
            <w:rPr>
              <w:rFonts w:eastAsiaTheme="minorEastAsia"/>
              <w:noProof/>
              <w:lang w:eastAsia="pt-BR"/>
            </w:rPr>
          </w:pPr>
          <w:hyperlink w:anchor="_Toc224164552" w:history="1">
            <w:r w:rsidRPr="00A970A0">
              <w:rPr>
                <w:rStyle w:val="Hyperlink"/>
                <w:rFonts w:ascii="Times New Roman" w:hAnsi="Times New Roman" w:cs="Times New Roman"/>
                <w:noProof/>
              </w:rPr>
              <w:t>4.3 PERFIL DO PASSIVO: CONSOLIDADO VS. PÓS-2008</w:t>
            </w:r>
            <w:r>
              <w:rPr>
                <w:noProof/>
                <w:webHidden/>
              </w:rPr>
              <w:tab/>
            </w:r>
            <w:r>
              <w:rPr>
                <w:noProof/>
                <w:webHidden/>
              </w:rPr>
              <w:fldChar w:fldCharType="begin"/>
            </w:r>
            <w:r>
              <w:rPr>
                <w:noProof/>
                <w:webHidden/>
              </w:rPr>
              <w:instrText xml:space="preserve"> PAGEREF _Toc224164552 \h </w:instrText>
            </w:r>
            <w:r>
              <w:rPr>
                <w:noProof/>
                <w:webHidden/>
              </w:rPr>
            </w:r>
            <w:r>
              <w:rPr>
                <w:noProof/>
                <w:webHidden/>
              </w:rPr>
              <w:fldChar w:fldCharType="separate"/>
            </w:r>
            <w:r>
              <w:rPr>
                <w:noProof/>
                <w:webHidden/>
              </w:rPr>
              <w:t>25</w:t>
            </w:r>
            <w:r>
              <w:rPr>
                <w:noProof/>
                <w:webHidden/>
              </w:rPr>
              <w:fldChar w:fldCharType="end"/>
            </w:r>
          </w:hyperlink>
        </w:p>
        <w:p w14:paraId="0ED906F3" w14:textId="43A2EDEE" w:rsidR="000903DF" w:rsidRDefault="000903DF">
          <w:pPr>
            <w:pStyle w:val="Sumrio2"/>
            <w:tabs>
              <w:tab w:val="right" w:leader="dot" w:pos="9060"/>
            </w:tabs>
            <w:rPr>
              <w:rFonts w:eastAsiaTheme="minorEastAsia"/>
              <w:noProof/>
              <w:lang w:eastAsia="pt-BR"/>
            </w:rPr>
          </w:pPr>
          <w:hyperlink w:anchor="_Toc224164553" w:history="1">
            <w:r w:rsidRPr="00A970A0">
              <w:rPr>
                <w:rStyle w:val="Hyperlink"/>
                <w:rFonts w:ascii="Times New Roman" w:hAnsi="Times New Roman" w:cs="Times New Roman"/>
                <w:noProof/>
              </w:rPr>
              <w:t>4.4 DISTRIBUIÇÃO MUNICIPAL E ÁREAS DE MAIOR INCIDÊNCIA</w:t>
            </w:r>
            <w:r>
              <w:rPr>
                <w:noProof/>
                <w:webHidden/>
              </w:rPr>
              <w:tab/>
            </w:r>
            <w:r>
              <w:rPr>
                <w:noProof/>
                <w:webHidden/>
              </w:rPr>
              <w:fldChar w:fldCharType="begin"/>
            </w:r>
            <w:r>
              <w:rPr>
                <w:noProof/>
                <w:webHidden/>
              </w:rPr>
              <w:instrText xml:space="preserve"> PAGEREF _Toc224164553 \h </w:instrText>
            </w:r>
            <w:r>
              <w:rPr>
                <w:noProof/>
                <w:webHidden/>
              </w:rPr>
            </w:r>
            <w:r>
              <w:rPr>
                <w:noProof/>
                <w:webHidden/>
              </w:rPr>
              <w:fldChar w:fldCharType="separate"/>
            </w:r>
            <w:r>
              <w:rPr>
                <w:noProof/>
                <w:webHidden/>
              </w:rPr>
              <w:t>27</w:t>
            </w:r>
            <w:r>
              <w:rPr>
                <w:noProof/>
                <w:webHidden/>
              </w:rPr>
              <w:fldChar w:fldCharType="end"/>
            </w:r>
          </w:hyperlink>
        </w:p>
        <w:p w14:paraId="36EC624F" w14:textId="6394C2E8" w:rsidR="000903DF" w:rsidRDefault="000903DF">
          <w:pPr>
            <w:pStyle w:val="Sumrio2"/>
            <w:tabs>
              <w:tab w:val="right" w:leader="dot" w:pos="9060"/>
            </w:tabs>
            <w:rPr>
              <w:rFonts w:eastAsiaTheme="minorEastAsia"/>
              <w:noProof/>
              <w:lang w:eastAsia="pt-BR"/>
            </w:rPr>
          </w:pPr>
          <w:hyperlink w:anchor="_Toc224164554" w:history="1">
            <w:r w:rsidRPr="00A970A0">
              <w:rPr>
                <w:rStyle w:val="Hyperlink"/>
                <w:rFonts w:ascii="Times New Roman" w:hAnsi="Times New Roman" w:cs="Times New Roman"/>
                <w:noProof/>
              </w:rPr>
              <w:t>4.5 TIPOLOGIA DO PASSIVO E POTENCIAL DE CONFORMIDADE</w:t>
            </w:r>
            <w:r>
              <w:rPr>
                <w:noProof/>
                <w:webHidden/>
              </w:rPr>
              <w:tab/>
            </w:r>
            <w:r>
              <w:rPr>
                <w:noProof/>
                <w:webHidden/>
              </w:rPr>
              <w:fldChar w:fldCharType="begin"/>
            </w:r>
            <w:r>
              <w:rPr>
                <w:noProof/>
                <w:webHidden/>
              </w:rPr>
              <w:instrText xml:space="preserve"> PAGEREF _Toc224164554 \h </w:instrText>
            </w:r>
            <w:r>
              <w:rPr>
                <w:noProof/>
                <w:webHidden/>
              </w:rPr>
            </w:r>
            <w:r>
              <w:rPr>
                <w:noProof/>
                <w:webHidden/>
              </w:rPr>
              <w:fldChar w:fldCharType="separate"/>
            </w:r>
            <w:r>
              <w:rPr>
                <w:noProof/>
                <w:webHidden/>
              </w:rPr>
              <w:t>28</w:t>
            </w:r>
            <w:r>
              <w:rPr>
                <w:noProof/>
                <w:webHidden/>
              </w:rPr>
              <w:fldChar w:fldCharType="end"/>
            </w:r>
          </w:hyperlink>
        </w:p>
        <w:p w14:paraId="258435DC" w14:textId="4E9026A8" w:rsidR="000903DF" w:rsidRDefault="000903DF">
          <w:pPr>
            <w:pStyle w:val="Sumrio1"/>
            <w:tabs>
              <w:tab w:val="right" w:leader="dot" w:pos="9060"/>
            </w:tabs>
            <w:rPr>
              <w:rFonts w:eastAsiaTheme="minorEastAsia"/>
              <w:noProof/>
              <w:lang w:eastAsia="pt-BR"/>
            </w:rPr>
          </w:pPr>
          <w:hyperlink w:anchor="_Toc224164555" w:history="1">
            <w:r w:rsidRPr="00A970A0">
              <w:rPr>
                <w:rStyle w:val="Hyperlink"/>
                <w:rFonts w:cs="Times New Roman"/>
                <w:noProof/>
              </w:rPr>
              <w:t>5. DISCUSSÃO E IMPLICAÇÕES PARA A GESTÃO PÚBLICA</w:t>
            </w:r>
            <w:r>
              <w:rPr>
                <w:noProof/>
                <w:webHidden/>
              </w:rPr>
              <w:tab/>
            </w:r>
            <w:r>
              <w:rPr>
                <w:noProof/>
                <w:webHidden/>
              </w:rPr>
              <w:fldChar w:fldCharType="begin"/>
            </w:r>
            <w:r>
              <w:rPr>
                <w:noProof/>
                <w:webHidden/>
              </w:rPr>
              <w:instrText xml:space="preserve"> PAGEREF _Toc224164555 \h </w:instrText>
            </w:r>
            <w:r>
              <w:rPr>
                <w:noProof/>
                <w:webHidden/>
              </w:rPr>
            </w:r>
            <w:r>
              <w:rPr>
                <w:noProof/>
                <w:webHidden/>
              </w:rPr>
              <w:fldChar w:fldCharType="separate"/>
            </w:r>
            <w:r>
              <w:rPr>
                <w:noProof/>
                <w:webHidden/>
              </w:rPr>
              <w:t>30</w:t>
            </w:r>
            <w:r>
              <w:rPr>
                <w:noProof/>
                <w:webHidden/>
              </w:rPr>
              <w:fldChar w:fldCharType="end"/>
            </w:r>
          </w:hyperlink>
        </w:p>
        <w:p w14:paraId="5C13057F" w14:textId="12C4F930" w:rsidR="000903DF" w:rsidRDefault="000903DF">
          <w:pPr>
            <w:pStyle w:val="Sumrio2"/>
            <w:tabs>
              <w:tab w:val="right" w:leader="dot" w:pos="9060"/>
            </w:tabs>
            <w:rPr>
              <w:rFonts w:eastAsiaTheme="minorEastAsia"/>
              <w:noProof/>
              <w:lang w:eastAsia="pt-BR"/>
            </w:rPr>
          </w:pPr>
          <w:hyperlink w:anchor="_Toc224164556" w:history="1">
            <w:r w:rsidRPr="00A970A0">
              <w:rPr>
                <w:rStyle w:val="Hyperlink"/>
                <w:rFonts w:ascii="Times New Roman" w:hAnsi="Times New Roman" w:cs="Times New Roman"/>
                <w:noProof/>
              </w:rPr>
              <w:t>5.2 O CUSTO DA INFLEXIBILIDADE</w:t>
            </w:r>
            <w:r>
              <w:rPr>
                <w:noProof/>
                <w:webHidden/>
              </w:rPr>
              <w:tab/>
            </w:r>
            <w:r>
              <w:rPr>
                <w:noProof/>
                <w:webHidden/>
              </w:rPr>
              <w:fldChar w:fldCharType="begin"/>
            </w:r>
            <w:r>
              <w:rPr>
                <w:noProof/>
                <w:webHidden/>
              </w:rPr>
              <w:instrText xml:space="preserve"> PAGEREF _Toc224164556 \h </w:instrText>
            </w:r>
            <w:r>
              <w:rPr>
                <w:noProof/>
                <w:webHidden/>
              </w:rPr>
            </w:r>
            <w:r>
              <w:rPr>
                <w:noProof/>
                <w:webHidden/>
              </w:rPr>
              <w:fldChar w:fldCharType="separate"/>
            </w:r>
            <w:r>
              <w:rPr>
                <w:noProof/>
                <w:webHidden/>
              </w:rPr>
              <w:t>30</w:t>
            </w:r>
            <w:r>
              <w:rPr>
                <w:noProof/>
                <w:webHidden/>
              </w:rPr>
              <w:fldChar w:fldCharType="end"/>
            </w:r>
          </w:hyperlink>
        </w:p>
        <w:p w14:paraId="60C6CB67" w14:textId="5359C7B7" w:rsidR="000903DF" w:rsidRDefault="000903DF">
          <w:pPr>
            <w:pStyle w:val="Sumrio2"/>
            <w:tabs>
              <w:tab w:val="right" w:leader="dot" w:pos="9060"/>
            </w:tabs>
            <w:rPr>
              <w:rFonts w:eastAsiaTheme="minorEastAsia"/>
              <w:noProof/>
              <w:lang w:eastAsia="pt-BR"/>
            </w:rPr>
          </w:pPr>
          <w:hyperlink w:anchor="_Toc224164557" w:history="1">
            <w:r w:rsidRPr="00A970A0">
              <w:rPr>
                <w:rStyle w:val="Hyperlink"/>
                <w:rFonts w:ascii="Times New Roman" w:hAnsi="Times New Roman" w:cs="Times New Roman"/>
                <w:noProof/>
              </w:rPr>
              <w:t>5.3 O DESMATAMENTO PÓS-2008 E O RIGOR PROBATÓRIO</w:t>
            </w:r>
            <w:r>
              <w:rPr>
                <w:noProof/>
                <w:webHidden/>
              </w:rPr>
              <w:tab/>
            </w:r>
            <w:r>
              <w:rPr>
                <w:noProof/>
                <w:webHidden/>
              </w:rPr>
              <w:fldChar w:fldCharType="begin"/>
            </w:r>
            <w:r>
              <w:rPr>
                <w:noProof/>
                <w:webHidden/>
              </w:rPr>
              <w:instrText xml:space="preserve"> PAGEREF _Toc224164557 \h </w:instrText>
            </w:r>
            <w:r>
              <w:rPr>
                <w:noProof/>
                <w:webHidden/>
              </w:rPr>
            </w:r>
            <w:r>
              <w:rPr>
                <w:noProof/>
                <w:webHidden/>
              </w:rPr>
              <w:fldChar w:fldCharType="separate"/>
            </w:r>
            <w:r>
              <w:rPr>
                <w:noProof/>
                <w:webHidden/>
              </w:rPr>
              <w:t>31</w:t>
            </w:r>
            <w:r>
              <w:rPr>
                <w:noProof/>
                <w:webHidden/>
              </w:rPr>
              <w:fldChar w:fldCharType="end"/>
            </w:r>
          </w:hyperlink>
        </w:p>
        <w:p w14:paraId="45760855" w14:textId="274CF407" w:rsidR="000903DF" w:rsidRDefault="000903DF">
          <w:pPr>
            <w:pStyle w:val="Sumrio1"/>
            <w:tabs>
              <w:tab w:val="right" w:leader="dot" w:pos="9060"/>
            </w:tabs>
            <w:rPr>
              <w:rFonts w:eastAsiaTheme="minorEastAsia"/>
              <w:noProof/>
              <w:lang w:eastAsia="pt-BR"/>
            </w:rPr>
          </w:pPr>
          <w:hyperlink w:anchor="_Toc224164558" w:history="1">
            <w:r w:rsidRPr="00A970A0">
              <w:rPr>
                <w:rStyle w:val="Hyperlink"/>
                <w:rFonts w:cs="Times New Roman"/>
                <w:noProof/>
              </w:rPr>
              <w:t>6 CONCLUSÃO</w:t>
            </w:r>
            <w:r>
              <w:rPr>
                <w:noProof/>
                <w:webHidden/>
              </w:rPr>
              <w:tab/>
            </w:r>
            <w:r>
              <w:rPr>
                <w:noProof/>
                <w:webHidden/>
              </w:rPr>
              <w:fldChar w:fldCharType="begin"/>
            </w:r>
            <w:r>
              <w:rPr>
                <w:noProof/>
                <w:webHidden/>
              </w:rPr>
              <w:instrText xml:space="preserve"> PAGEREF _Toc224164558 \h </w:instrText>
            </w:r>
            <w:r>
              <w:rPr>
                <w:noProof/>
                <w:webHidden/>
              </w:rPr>
            </w:r>
            <w:r>
              <w:rPr>
                <w:noProof/>
                <w:webHidden/>
              </w:rPr>
              <w:fldChar w:fldCharType="separate"/>
            </w:r>
            <w:r>
              <w:rPr>
                <w:noProof/>
                <w:webHidden/>
              </w:rPr>
              <w:t>32</w:t>
            </w:r>
            <w:r>
              <w:rPr>
                <w:noProof/>
                <w:webHidden/>
              </w:rPr>
              <w:fldChar w:fldCharType="end"/>
            </w:r>
          </w:hyperlink>
        </w:p>
        <w:p w14:paraId="5C2A7D85" w14:textId="36F2A23D" w:rsidR="000903DF" w:rsidRDefault="000903DF">
          <w:pPr>
            <w:pStyle w:val="Sumrio2"/>
            <w:tabs>
              <w:tab w:val="right" w:leader="dot" w:pos="9060"/>
            </w:tabs>
            <w:rPr>
              <w:rFonts w:eastAsiaTheme="minorEastAsia"/>
              <w:noProof/>
              <w:lang w:eastAsia="pt-BR"/>
            </w:rPr>
          </w:pPr>
          <w:hyperlink w:anchor="_Toc224164559" w:history="1">
            <w:r w:rsidRPr="00A970A0">
              <w:rPr>
                <w:rStyle w:val="Hyperlink"/>
                <w:rFonts w:ascii="Times New Roman" w:hAnsi="Times New Roman" w:cs="Times New Roman"/>
                <w:noProof/>
              </w:rPr>
              <w:t>6.1 SÍNTESE DO IMPACTO TERRITORIAL</w:t>
            </w:r>
            <w:r>
              <w:rPr>
                <w:noProof/>
                <w:webHidden/>
              </w:rPr>
              <w:tab/>
            </w:r>
            <w:r>
              <w:rPr>
                <w:noProof/>
                <w:webHidden/>
              </w:rPr>
              <w:fldChar w:fldCharType="begin"/>
            </w:r>
            <w:r>
              <w:rPr>
                <w:noProof/>
                <w:webHidden/>
              </w:rPr>
              <w:instrText xml:space="preserve"> PAGEREF _Toc224164559 \h </w:instrText>
            </w:r>
            <w:r>
              <w:rPr>
                <w:noProof/>
                <w:webHidden/>
              </w:rPr>
            </w:r>
            <w:r>
              <w:rPr>
                <w:noProof/>
                <w:webHidden/>
              </w:rPr>
              <w:fldChar w:fldCharType="separate"/>
            </w:r>
            <w:r>
              <w:rPr>
                <w:noProof/>
                <w:webHidden/>
              </w:rPr>
              <w:t>32</w:t>
            </w:r>
            <w:r>
              <w:rPr>
                <w:noProof/>
                <w:webHidden/>
              </w:rPr>
              <w:fldChar w:fldCharType="end"/>
            </w:r>
          </w:hyperlink>
        </w:p>
        <w:p w14:paraId="651E2C95" w14:textId="5A970123" w:rsidR="000903DF" w:rsidRDefault="000903DF">
          <w:pPr>
            <w:pStyle w:val="Sumrio2"/>
            <w:tabs>
              <w:tab w:val="right" w:leader="dot" w:pos="9060"/>
            </w:tabs>
            <w:rPr>
              <w:rFonts w:eastAsiaTheme="minorEastAsia"/>
              <w:noProof/>
              <w:lang w:eastAsia="pt-BR"/>
            </w:rPr>
          </w:pPr>
          <w:hyperlink w:anchor="_Toc224164560" w:history="1">
            <w:r w:rsidRPr="00A970A0">
              <w:rPr>
                <w:rStyle w:val="Hyperlink"/>
                <w:rFonts w:ascii="Times New Roman" w:hAnsi="Times New Roman" w:cs="Times New Roman"/>
                <w:noProof/>
              </w:rPr>
              <w:t>6.2 PARECER QUANTO À ADOÇÃO DA METODOLOGIA</w:t>
            </w:r>
            <w:r>
              <w:rPr>
                <w:noProof/>
                <w:webHidden/>
              </w:rPr>
              <w:tab/>
            </w:r>
            <w:r>
              <w:rPr>
                <w:noProof/>
                <w:webHidden/>
              </w:rPr>
              <w:fldChar w:fldCharType="begin"/>
            </w:r>
            <w:r>
              <w:rPr>
                <w:noProof/>
                <w:webHidden/>
              </w:rPr>
              <w:instrText xml:space="preserve"> PAGEREF _Toc224164560 \h </w:instrText>
            </w:r>
            <w:r>
              <w:rPr>
                <w:noProof/>
                <w:webHidden/>
              </w:rPr>
            </w:r>
            <w:r>
              <w:rPr>
                <w:noProof/>
                <w:webHidden/>
              </w:rPr>
              <w:fldChar w:fldCharType="separate"/>
            </w:r>
            <w:r>
              <w:rPr>
                <w:noProof/>
                <w:webHidden/>
              </w:rPr>
              <w:t>32</w:t>
            </w:r>
            <w:r>
              <w:rPr>
                <w:noProof/>
                <w:webHidden/>
              </w:rPr>
              <w:fldChar w:fldCharType="end"/>
            </w:r>
          </w:hyperlink>
        </w:p>
        <w:p w14:paraId="51A14517" w14:textId="7AFC20FB" w:rsidR="000903DF" w:rsidRDefault="000903DF">
          <w:pPr>
            <w:pStyle w:val="Sumrio2"/>
            <w:tabs>
              <w:tab w:val="right" w:leader="dot" w:pos="9060"/>
            </w:tabs>
            <w:rPr>
              <w:rFonts w:eastAsiaTheme="minorEastAsia"/>
              <w:noProof/>
              <w:lang w:eastAsia="pt-BR"/>
            </w:rPr>
          </w:pPr>
          <w:hyperlink w:anchor="_Toc224164561" w:history="1">
            <w:r w:rsidRPr="00A970A0">
              <w:rPr>
                <w:rStyle w:val="Hyperlink"/>
                <w:rFonts w:ascii="Times New Roman" w:hAnsi="Times New Roman" w:cs="Times New Roman"/>
                <w:noProof/>
              </w:rPr>
              <w:t>6.3 DISPONIBILIDADE DE DADOS E REPRODUTIBILIDADE</w:t>
            </w:r>
            <w:r>
              <w:rPr>
                <w:noProof/>
                <w:webHidden/>
              </w:rPr>
              <w:tab/>
            </w:r>
            <w:r>
              <w:rPr>
                <w:noProof/>
                <w:webHidden/>
              </w:rPr>
              <w:fldChar w:fldCharType="begin"/>
            </w:r>
            <w:r>
              <w:rPr>
                <w:noProof/>
                <w:webHidden/>
              </w:rPr>
              <w:instrText xml:space="preserve"> PAGEREF _Toc224164561 \h </w:instrText>
            </w:r>
            <w:r>
              <w:rPr>
                <w:noProof/>
                <w:webHidden/>
              </w:rPr>
            </w:r>
            <w:r>
              <w:rPr>
                <w:noProof/>
                <w:webHidden/>
              </w:rPr>
              <w:fldChar w:fldCharType="separate"/>
            </w:r>
            <w:r>
              <w:rPr>
                <w:noProof/>
                <w:webHidden/>
              </w:rPr>
              <w:t>33</w:t>
            </w:r>
            <w:r>
              <w:rPr>
                <w:noProof/>
                <w:webHidden/>
              </w:rPr>
              <w:fldChar w:fldCharType="end"/>
            </w:r>
          </w:hyperlink>
        </w:p>
        <w:p w14:paraId="32E471F3" w14:textId="10F4ECA6" w:rsidR="000903DF" w:rsidRDefault="000903DF">
          <w:pPr>
            <w:pStyle w:val="Sumrio1"/>
            <w:tabs>
              <w:tab w:val="right" w:leader="dot" w:pos="9060"/>
            </w:tabs>
            <w:rPr>
              <w:rFonts w:eastAsiaTheme="minorEastAsia"/>
              <w:noProof/>
              <w:lang w:eastAsia="pt-BR"/>
            </w:rPr>
          </w:pPr>
          <w:hyperlink w:anchor="_Toc224164562" w:history="1">
            <w:r w:rsidRPr="00A970A0">
              <w:rPr>
                <w:rStyle w:val="Hyperlink"/>
                <w:rFonts w:cs="Times New Roman"/>
                <w:noProof/>
              </w:rPr>
              <w:t>7 REFERÊNCIAS</w:t>
            </w:r>
            <w:r>
              <w:rPr>
                <w:noProof/>
                <w:webHidden/>
              </w:rPr>
              <w:tab/>
            </w:r>
            <w:r>
              <w:rPr>
                <w:noProof/>
                <w:webHidden/>
              </w:rPr>
              <w:fldChar w:fldCharType="begin"/>
            </w:r>
            <w:r>
              <w:rPr>
                <w:noProof/>
                <w:webHidden/>
              </w:rPr>
              <w:instrText xml:space="preserve"> PAGEREF _Toc224164562 \h </w:instrText>
            </w:r>
            <w:r>
              <w:rPr>
                <w:noProof/>
                <w:webHidden/>
              </w:rPr>
            </w:r>
            <w:r>
              <w:rPr>
                <w:noProof/>
                <w:webHidden/>
              </w:rPr>
              <w:fldChar w:fldCharType="separate"/>
            </w:r>
            <w:r>
              <w:rPr>
                <w:noProof/>
                <w:webHidden/>
              </w:rPr>
              <w:t>33</w:t>
            </w:r>
            <w:r>
              <w:rPr>
                <w:noProof/>
                <w:webHidden/>
              </w:rPr>
              <w:fldChar w:fldCharType="end"/>
            </w:r>
          </w:hyperlink>
        </w:p>
        <w:p w14:paraId="7BC7B46D" w14:textId="00F45504" w:rsidR="004A059C" w:rsidRDefault="004A059C">
          <w:r>
            <w:rPr>
              <w:b/>
              <w:bCs/>
            </w:rPr>
            <w:fldChar w:fldCharType="end"/>
          </w:r>
        </w:p>
      </w:sdtContent>
    </w:sdt>
    <w:p w14:paraId="1F869CD5" w14:textId="1969C204" w:rsidR="005E598B" w:rsidRPr="005E598B" w:rsidRDefault="005E598B">
      <w:pPr>
        <w:rPr>
          <w:rFonts w:ascii="Times New Roman" w:hAnsi="Times New Roman" w:cs="Times New Roman"/>
          <w:b/>
          <w:bCs/>
        </w:rPr>
      </w:pPr>
    </w:p>
    <w:p w14:paraId="1F6308DB" w14:textId="77777777" w:rsidR="005E598B" w:rsidRDefault="005E598B" w:rsidP="003D0CAE">
      <w:pPr>
        <w:spacing w:before="240" w:line="360" w:lineRule="auto"/>
        <w:jc w:val="both"/>
        <w:rPr>
          <w:rFonts w:ascii="Times New Roman" w:hAnsi="Times New Roman" w:cs="Times New Roman"/>
          <w:b/>
          <w:bCs/>
        </w:rPr>
      </w:pPr>
    </w:p>
    <w:p w14:paraId="75F90432" w14:textId="77777777" w:rsidR="005E598B" w:rsidRDefault="005E598B">
      <w:pPr>
        <w:rPr>
          <w:rFonts w:ascii="Times New Roman" w:hAnsi="Times New Roman" w:cs="Times New Roman"/>
          <w:b/>
          <w:bCs/>
        </w:rPr>
      </w:pPr>
      <w:r>
        <w:rPr>
          <w:rFonts w:ascii="Times New Roman" w:hAnsi="Times New Roman" w:cs="Times New Roman"/>
          <w:b/>
          <w:bCs/>
        </w:rPr>
        <w:br w:type="page"/>
      </w:r>
    </w:p>
    <w:p w14:paraId="584AD6EC" w14:textId="77777777" w:rsidR="004A059C" w:rsidRPr="004A059C" w:rsidRDefault="004A059C" w:rsidP="004A059C">
      <w:pPr>
        <w:spacing w:before="240" w:line="360" w:lineRule="auto"/>
        <w:jc w:val="center"/>
        <w:rPr>
          <w:rFonts w:ascii="Times New Roman" w:hAnsi="Times New Roman" w:cs="Times New Roman"/>
          <w:b/>
          <w:bCs/>
        </w:rPr>
      </w:pPr>
      <w:r w:rsidRPr="004A059C">
        <w:rPr>
          <w:rFonts w:ascii="Times New Roman" w:hAnsi="Times New Roman" w:cs="Times New Roman"/>
          <w:b/>
          <w:bCs/>
        </w:rPr>
        <w:lastRenderedPageBreak/>
        <w:t>RESUMO</w:t>
      </w:r>
    </w:p>
    <w:p w14:paraId="4A23EE4E" w14:textId="7CF0E791" w:rsidR="004A059C" w:rsidRPr="004A059C" w:rsidRDefault="004A059C" w:rsidP="004A059C">
      <w:pPr>
        <w:spacing w:before="240" w:line="360" w:lineRule="auto"/>
        <w:jc w:val="both"/>
        <w:rPr>
          <w:rFonts w:ascii="Times New Roman" w:hAnsi="Times New Roman" w:cs="Times New Roman"/>
        </w:rPr>
      </w:pPr>
      <w:r w:rsidRPr="004A059C">
        <w:rPr>
          <w:rFonts w:ascii="Times New Roman" w:hAnsi="Times New Roman" w:cs="Times New Roman"/>
        </w:rPr>
        <w:t xml:space="preserve">Este relatório técnico apresenta a análise geoestatística do passivo de Reserva Legal (RL) em imóveis rurais de médio e grande porte (superiores a quatro módulos fiscais) no estado do Pará, sob a ótica da regra de transição estabelecida pelo Art. 12 da Lei nº 12.651/2012. A metodologia integrou o processamento de grandes volumes de dados do Sistema de Cadastro Ambiental Rural (SICAR-PA) utilizando rotinas de automação em </w:t>
      </w:r>
      <w:r w:rsidRPr="004A059C">
        <w:rPr>
          <w:rFonts w:ascii="Times New Roman" w:hAnsi="Times New Roman" w:cs="Times New Roman"/>
          <w:i/>
          <w:iCs/>
        </w:rPr>
        <w:t>Python</w:t>
      </w:r>
      <w:r w:rsidRPr="004A059C">
        <w:rPr>
          <w:rFonts w:ascii="Times New Roman" w:hAnsi="Times New Roman" w:cs="Times New Roman"/>
        </w:rPr>
        <w:t xml:space="preserve"> e </w:t>
      </w:r>
      <w:r w:rsidRPr="004A059C">
        <w:rPr>
          <w:rFonts w:ascii="Times New Roman" w:hAnsi="Times New Roman" w:cs="Times New Roman"/>
          <w:i/>
          <w:iCs/>
        </w:rPr>
        <w:t>Google Earth Engine</w:t>
      </w:r>
      <w:r w:rsidRPr="004A059C">
        <w:rPr>
          <w:rFonts w:ascii="Times New Roman" w:hAnsi="Times New Roman" w:cs="Times New Roman"/>
        </w:rPr>
        <w:t xml:space="preserve">, além de análise estatística em linguagem R. Os resultados indicam que a aplicação dos critérios de elegibilidade —baseados na sobreposição municipal com áreas protegidas superior a 50% e nas diretrizes do Zoneamento Ecológico-Econômico (ZEE-PA) — gera um Delta de Regularização </w:t>
      </w:r>
      <w:r w:rsidR="000903DF" w:rsidRPr="000903DF">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0903DF" w:rsidRPr="000903DF">
        <w:rPr>
          <w:rFonts w:ascii="Times New Roman" w:hAnsi="Times New Roman" w:cs="Times New Roman"/>
        </w:rPr>
        <w:t>)</w:t>
      </w:r>
      <w:r w:rsidR="000903DF">
        <w:rPr>
          <w:rFonts w:ascii="Times New Roman" w:hAnsi="Times New Roman" w:cs="Times New Roman"/>
        </w:rPr>
        <w:t xml:space="preserve"> </w:t>
      </w:r>
      <w:r w:rsidRPr="004A059C">
        <w:rPr>
          <w:rFonts w:ascii="Times New Roman" w:hAnsi="Times New Roman" w:cs="Times New Roman"/>
        </w:rPr>
        <w:t>de aproximadamente 5,8 milhões de hectares. A validação temporal via MapBiomas (Coleção 9) confirmou que a redução do passivo incide majoritariamente sobre áreas consolidadas antes de 22 de julho de 2008, mantendo-se a obrigatoriedade de recomposição para supressões posteriores. Os achados demonstram que a transição normativa possibilita a conformidade ambiental imediata de um expressivo contingente de imóveis, permitindo o redirecionamento estratégico das ações de monitoramento e fomento florestal do estado para o passivo não consolidado.</w:t>
      </w:r>
    </w:p>
    <w:p w14:paraId="5F7A069E" w14:textId="4651EB75" w:rsidR="004A059C" w:rsidRPr="004A059C" w:rsidRDefault="004A059C" w:rsidP="004A059C">
      <w:pPr>
        <w:spacing w:before="240" w:line="360" w:lineRule="auto"/>
        <w:jc w:val="both"/>
        <w:rPr>
          <w:rFonts w:ascii="Times New Roman" w:hAnsi="Times New Roman" w:cs="Times New Roman"/>
        </w:rPr>
      </w:pPr>
      <w:r w:rsidRPr="004A059C">
        <w:rPr>
          <w:rFonts w:ascii="Times New Roman" w:hAnsi="Times New Roman" w:cs="Times New Roman"/>
          <w:b/>
          <w:bCs/>
        </w:rPr>
        <w:t xml:space="preserve">Palavras-chave: </w:t>
      </w:r>
      <w:r w:rsidRPr="004A059C">
        <w:rPr>
          <w:rFonts w:ascii="Times New Roman" w:hAnsi="Times New Roman" w:cs="Times New Roman"/>
        </w:rPr>
        <w:t>Reserva Legal. Código Florestal. Geotecnologia</w:t>
      </w:r>
      <w:r>
        <w:rPr>
          <w:rFonts w:ascii="Times New Roman" w:hAnsi="Times New Roman" w:cs="Times New Roman"/>
        </w:rPr>
        <w:t>s</w:t>
      </w:r>
      <w:r w:rsidRPr="004A059C">
        <w:rPr>
          <w:rFonts w:ascii="Times New Roman" w:hAnsi="Times New Roman" w:cs="Times New Roman"/>
        </w:rPr>
        <w:t>. Pará. Regularização Ambiental.</w:t>
      </w:r>
    </w:p>
    <w:p w14:paraId="71E3C471" w14:textId="77777777" w:rsidR="005E598B" w:rsidRDefault="005E598B" w:rsidP="003D0CAE">
      <w:pPr>
        <w:spacing w:before="240" w:line="360" w:lineRule="auto"/>
        <w:jc w:val="both"/>
        <w:rPr>
          <w:rFonts w:ascii="Times New Roman" w:hAnsi="Times New Roman" w:cs="Times New Roman"/>
          <w:b/>
          <w:bCs/>
        </w:rPr>
      </w:pPr>
    </w:p>
    <w:p w14:paraId="02490327" w14:textId="77777777" w:rsidR="000903DF" w:rsidRDefault="000903DF">
      <w:pPr>
        <w:rPr>
          <w:rFonts w:ascii="Times New Roman" w:hAnsi="Times New Roman" w:cs="Times New Roman"/>
          <w:b/>
          <w:bCs/>
        </w:rPr>
        <w:sectPr w:rsidR="000903DF" w:rsidSect="005E598B">
          <w:headerReference w:type="default" r:id="rId8"/>
          <w:headerReference w:type="first" r:id="rId9"/>
          <w:pgSz w:w="11906" w:h="16838"/>
          <w:pgMar w:top="1418" w:right="1418" w:bottom="1418" w:left="1418" w:header="709" w:footer="709" w:gutter="0"/>
          <w:cols w:space="708"/>
          <w:titlePg/>
          <w:docGrid w:linePitch="360"/>
        </w:sectPr>
      </w:pPr>
    </w:p>
    <w:p w14:paraId="0D8CCE3F" w14:textId="41D3BF63" w:rsidR="00DD24CC" w:rsidRPr="004A059C" w:rsidRDefault="00DD24CC" w:rsidP="004A059C">
      <w:pPr>
        <w:pStyle w:val="Ttulo1"/>
        <w:spacing w:before="0"/>
        <w:rPr>
          <w:rFonts w:cs="Times New Roman"/>
        </w:rPr>
      </w:pPr>
      <w:bookmarkStart w:id="0" w:name="_Toc224164510"/>
      <w:r w:rsidRPr="004A059C">
        <w:rPr>
          <w:rFonts w:cs="Times New Roman"/>
        </w:rPr>
        <w:lastRenderedPageBreak/>
        <w:t>1 INTRODUÇÃO</w:t>
      </w:r>
      <w:bookmarkEnd w:id="0"/>
    </w:p>
    <w:p w14:paraId="17E6F738" w14:textId="7B449F68" w:rsidR="006D61FB" w:rsidRPr="004A059C" w:rsidRDefault="004A059C" w:rsidP="004A059C">
      <w:pPr>
        <w:pStyle w:val="Ttulo2"/>
        <w:rPr>
          <w:rFonts w:ascii="Times New Roman" w:hAnsi="Times New Roman" w:cs="Times New Roman"/>
          <w:color w:val="auto"/>
          <w:sz w:val="24"/>
          <w:szCs w:val="24"/>
        </w:rPr>
      </w:pPr>
      <w:bookmarkStart w:id="1" w:name="_Toc224164511"/>
      <w:r w:rsidRPr="004A059C">
        <w:rPr>
          <w:rFonts w:ascii="Times New Roman" w:hAnsi="Times New Roman" w:cs="Times New Roman"/>
          <w:color w:val="auto"/>
          <w:sz w:val="24"/>
          <w:szCs w:val="24"/>
        </w:rPr>
        <w:t>1.1 DELIMITAÇÃO DO PROBLEMA</w:t>
      </w:r>
      <w:bookmarkEnd w:id="1"/>
    </w:p>
    <w:p w14:paraId="12A6E64E"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A gestão ambiental no Estado do Pará enfrenta um impasse estrutural relacionado à conformidade de imóveis rurais frente à exigência de 80% de Reserva Legal (RL) em áreas de floresta na Amazônia (BRASIL, 2012). Para as propriedades que possuem passivo consolidado — supressão de vegetação nativa ocorrida antes de 22 de julho de 2008 —, a legislação permite a regularização por meio da recomposição, regeneração ou compensação da RL (BRASIL, 2012). No entanto, a manutenção ou a aquisição de áreas para atingir o patamar de 80% gera um impacto financeiro elevado, seja pelo custo de oportunidade da terra produtiva ou pelos altos custos logísticos e técnicos de restauração e compensação, que frequentemente podem levar o produtor rural à insolvência (SPAROVEK </w:t>
      </w:r>
      <w:r w:rsidRPr="006D61FB">
        <w:rPr>
          <w:rFonts w:ascii="Times New Roman" w:hAnsi="Times New Roman" w:cs="Times New Roman"/>
          <w:i/>
          <w:iCs/>
        </w:rPr>
        <w:t>et al.</w:t>
      </w:r>
      <w:r w:rsidRPr="006D61FB">
        <w:rPr>
          <w:rFonts w:ascii="Times New Roman" w:hAnsi="Times New Roman" w:cs="Times New Roman"/>
        </w:rPr>
        <w:t xml:space="preserve">, 2011; RAJÃO </w:t>
      </w:r>
      <w:r w:rsidRPr="006D61FB">
        <w:rPr>
          <w:rFonts w:ascii="Times New Roman" w:hAnsi="Times New Roman" w:cs="Times New Roman"/>
          <w:i/>
          <w:iCs/>
        </w:rPr>
        <w:t>et al.</w:t>
      </w:r>
      <w:r w:rsidRPr="006D61FB">
        <w:rPr>
          <w:rFonts w:ascii="Times New Roman" w:hAnsi="Times New Roman" w:cs="Times New Roman"/>
        </w:rPr>
        <w:t>, 2021).</w:t>
      </w:r>
    </w:p>
    <w:p w14:paraId="27DDF257"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 xml:space="preserve">Este cenário de inadimplência ambiental é acentuado pela diferenciação baseada no tamanho do imóvel rural. O Artigo 67 do Código Florestal desobrigou os imóveis de até 4 módulos fiscais (MF) de recompor ou compensar a Reserva Legal além do percentual de vegetação nativa que já existia no marco de 2008 (BRASIL, 2012). Em contrapartida, os imóveis superiores a 4 MF (médios e grandes) não gozam desse benefício automático de dispensa, concentrando o maior volume de déficit ambiental que ainda precisa ser regularizado (RAJÃO </w:t>
      </w:r>
      <w:r w:rsidRPr="006D61FB">
        <w:rPr>
          <w:rFonts w:ascii="Times New Roman" w:hAnsi="Times New Roman" w:cs="Times New Roman"/>
          <w:i/>
          <w:iCs/>
        </w:rPr>
        <w:t>et al.</w:t>
      </w:r>
      <w:r w:rsidRPr="006D61FB">
        <w:rPr>
          <w:rFonts w:ascii="Times New Roman" w:hAnsi="Times New Roman" w:cs="Times New Roman"/>
        </w:rPr>
        <w:t xml:space="preserve">, 2021). No Pará, essa disparidade, somada a gargalos na validação dos cadastros, resulta em uma paralisia na adesão efetiva ao Programa de Regularização Ambiental (PRA), uma vez que muitos proprietários de médias e grandes propriedades encontram-se em um estado de inadimplência forçada por não conseguirem viabilizar economicamente a compensação ou recomposição de vastas extensões de terra (RAJÃO </w:t>
      </w:r>
      <w:r w:rsidRPr="006D61FB">
        <w:rPr>
          <w:rFonts w:ascii="Times New Roman" w:hAnsi="Times New Roman" w:cs="Times New Roman"/>
          <w:i/>
          <w:iCs/>
        </w:rPr>
        <w:t>et al.</w:t>
      </w:r>
      <w:r w:rsidRPr="006D61FB">
        <w:rPr>
          <w:rFonts w:ascii="Times New Roman" w:hAnsi="Times New Roman" w:cs="Times New Roman"/>
        </w:rPr>
        <w:t>, 2021).</w:t>
      </w:r>
    </w:p>
    <w:p w14:paraId="08A6A955" w14:textId="77777777" w:rsidR="006D61FB" w:rsidRPr="006D61FB" w:rsidRDefault="006D61FB" w:rsidP="003D0CAE">
      <w:pPr>
        <w:spacing w:after="0" w:line="360" w:lineRule="auto"/>
        <w:ind w:firstLine="709"/>
        <w:jc w:val="both"/>
        <w:rPr>
          <w:rFonts w:ascii="Times New Roman" w:hAnsi="Times New Roman" w:cs="Times New Roman"/>
        </w:rPr>
      </w:pPr>
      <w:r w:rsidRPr="006D61FB">
        <w:rPr>
          <w:rFonts w:ascii="Times New Roman" w:hAnsi="Times New Roman" w:cs="Times New Roman"/>
        </w:rPr>
        <w:t>Para equacionar esse problema, o Artigo 12 (§ 4º e 5º) da Lei nº 12.651/2012 prevê a possibilidade de redução da Reserva Legal de 80% para até 50% (BRASIL, 2012). Essa flexibilização, voltada para fins de regularização e recomposição do passivo, depende de critérios como a existência de Zoneamento Ecológico-Econômico (ZEE) aprovado e de altos índices de áreas protegidas (unidades de conservação e terras indígenas) no território do estado ou do município (BRASIL, 2012). Embora o Pará já possua normativas fundamentais que indicam esse redimensionamento para áreas rurais consolidadas, como a Lei Estadual nº 7.398/2010 (Zona Leste e Calha Norte) e a Lei Estadual nº 7.243/2009 (Zona Oeste) (PARÁ, 2009; PARÁ, 2010), ainda há uma lacuna de estudos geoestatísticos que quantifiquem o impacto real dessa redução na transição de imóveis da ilegalidade para a conformidade ambiental.</w:t>
      </w:r>
    </w:p>
    <w:p w14:paraId="05247355" w14:textId="7BDCCC1D" w:rsidR="00DD24CC" w:rsidRPr="004A059C" w:rsidRDefault="004A059C" w:rsidP="004A059C">
      <w:pPr>
        <w:pStyle w:val="Ttulo2"/>
        <w:rPr>
          <w:rFonts w:ascii="Times New Roman" w:hAnsi="Times New Roman" w:cs="Times New Roman"/>
          <w:color w:val="auto"/>
          <w:sz w:val="24"/>
          <w:szCs w:val="24"/>
        </w:rPr>
      </w:pPr>
      <w:bookmarkStart w:id="2" w:name="_Toc224164512"/>
      <w:r w:rsidRPr="004A059C">
        <w:rPr>
          <w:rFonts w:ascii="Times New Roman" w:hAnsi="Times New Roman" w:cs="Times New Roman"/>
          <w:color w:val="auto"/>
          <w:sz w:val="24"/>
          <w:szCs w:val="24"/>
        </w:rPr>
        <w:lastRenderedPageBreak/>
        <w:t>1.2 OBJETIVOS</w:t>
      </w:r>
      <w:bookmarkEnd w:id="2"/>
    </w:p>
    <w:p w14:paraId="2B43EC07" w14:textId="77777777" w:rsidR="004B2744" w:rsidRPr="004A059C" w:rsidRDefault="004B2744" w:rsidP="004A059C">
      <w:pPr>
        <w:pStyle w:val="Ttulo3"/>
        <w:rPr>
          <w:rFonts w:ascii="Times New Roman" w:hAnsi="Times New Roman" w:cs="Times New Roman"/>
          <w:color w:val="auto"/>
          <w:sz w:val="24"/>
          <w:szCs w:val="24"/>
        </w:rPr>
      </w:pPr>
      <w:bookmarkStart w:id="3" w:name="_Toc224164513"/>
      <w:r w:rsidRPr="004A059C">
        <w:rPr>
          <w:rFonts w:ascii="Times New Roman" w:hAnsi="Times New Roman" w:cs="Times New Roman"/>
          <w:b/>
          <w:bCs/>
          <w:color w:val="auto"/>
          <w:sz w:val="24"/>
          <w:szCs w:val="24"/>
        </w:rPr>
        <w:t>1.2.1 Objetivo geral</w:t>
      </w:r>
      <w:bookmarkEnd w:id="3"/>
    </w:p>
    <w:p w14:paraId="440D7B62" w14:textId="77777777" w:rsidR="00533769" w:rsidRPr="00533769" w:rsidRDefault="00533769" w:rsidP="00533769">
      <w:pPr>
        <w:spacing w:before="240" w:line="360" w:lineRule="auto"/>
        <w:ind w:firstLine="709"/>
        <w:jc w:val="both"/>
        <w:rPr>
          <w:rFonts w:ascii="Times New Roman" w:hAnsi="Times New Roman" w:cs="Times New Roman"/>
        </w:rPr>
      </w:pPr>
      <w:r w:rsidRPr="00533769">
        <w:rPr>
          <w:rFonts w:ascii="Times New Roman" w:hAnsi="Times New Roman" w:cs="Times New Roman"/>
        </w:rPr>
        <w:t>Quantificar e tipificar, por meio de modelagem geoestatística e análise multitemporal em nuvem, o impacto da redução da Reserva Legal (RL) de 80% para 50% na conformidade ambiental de imóveis rurais superiores a 4 módulos fiscais (MF) no Estado do Pará, visando mensurar o potencial de transição do passivo consolidado para a regularidade documental.</w:t>
      </w:r>
    </w:p>
    <w:p w14:paraId="54433B96" w14:textId="77777777" w:rsidR="00533769" w:rsidRPr="00533769" w:rsidRDefault="00533769" w:rsidP="004A059C">
      <w:pPr>
        <w:pStyle w:val="Ttulo3"/>
        <w:rPr>
          <w:rFonts w:ascii="Times New Roman" w:hAnsi="Times New Roman" w:cs="Times New Roman"/>
          <w:b/>
          <w:bCs/>
          <w:color w:val="auto"/>
          <w:sz w:val="24"/>
          <w:szCs w:val="24"/>
        </w:rPr>
      </w:pPr>
      <w:bookmarkStart w:id="4" w:name="_Toc224164514"/>
      <w:r w:rsidRPr="00533769">
        <w:rPr>
          <w:rFonts w:ascii="Times New Roman" w:hAnsi="Times New Roman" w:cs="Times New Roman"/>
          <w:b/>
          <w:bCs/>
          <w:color w:val="auto"/>
          <w:sz w:val="24"/>
          <w:szCs w:val="24"/>
        </w:rPr>
        <w:t>1.2.2 Objetivos Específicos</w:t>
      </w:r>
      <w:bookmarkEnd w:id="4"/>
    </w:p>
    <w:p w14:paraId="3251D34B" w14:textId="77777777" w:rsidR="00533769" w:rsidRPr="00533769" w:rsidRDefault="00533769" w:rsidP="000903DF">
      <w:pPr>
        <w:spacing w:after="0" w:line="360" w:lineRule="auto"/>
        <w:ind w:firstLine="709"/>
        <w:jc w:val="both"/>
        <w:rPr>
          <w:rFonts w:ascii="Times New Roman" w:hAnsi="Times New Roman" w:cs="Times New Roman"/>
        </w:rPr>
      </w:pPr>
      <w:r w:rsidRPr="00533769">
        <w:rPr>
          <w:rFonts w:ascii="Times New Roman" w:hAnsi="Times New Roman" w:cs="Times New Roman"/>
        </w:rPr>
        <w:t>Para a consecução do objetivo geral, definem-se os seguintes objetivos específicos:</w:t>
      </w:r>
    </w:p>
    <w:p w14:paraId="0823AA02" w14:textId="77777777" w:rsidR="00533769" w:rsidRPr="00533769" w:rsidRDefault="00533769" w:rsidP="000903DF">
      <w:pPr>
        <w:spacing w:after="0" w:line="360" w:lineRule="auto"/>
        <w:ind w:left="993" w:hanging="284"/>
        <w:jc w:val="both"/>
        <w:rPr>
          <w:rFonts w:ascii="Times New Roman" w:hAnsi="Times New Roman" w:cs="Times New Roman"/>
        </w:rPr>
      </w:pPr>
      <w:r w:rsidRPr="00533769">
        <w:rPr>
          <w:rFonts w:ascii="Times New Roman" w:hAnsi="Times New Roman" w:cs="Times New Roman"/>
        </w:rPr>
        <w:t>a) Integração e higienização de bases geoespaciais: Consolidar uma infraestrutura de dados integrada cruzando a base vetorial do SICAR-PA, a malha municipal do IBGE e os índices de Módulo Fiscal do INCRA;</w:t>
      </w:r>
    </w:p>
    <w:p w14:paraId="5B3DC652" w14:textId="77777777" w:rsidR="00533769" w:rsidRPr="00533769" w:rsidRDefault="00533769" w:rsidP="000903DF">
      <w:pPr>
        <w:spacing w:after="0" w:line="360" w:lineRule="auto"/>
        <w:ind w:left="993" w:hanging="284"/>
        <w:jc w:val="both"/>
        <w:rPr>
          <w:rFonts w:ascii="Times New Roman" w:hAnsi="Times New Roman" w:cs="Times New Roman"/>
        </w:rPr>
      </w:pPr>
      <w:r w:rsidRPr="00533769">
        <w:rPr>
          <w:rFonts w:ascii="Times New Roman" w:hAnsi="Times New Roman" w:cs="Times New Roman"/>
        </w:rPr>
        <w:t>b) Automação de processamento analítico: Desenvolver algoritmos para automatizar o cálculo de módulos fiscais e a filtragem espacial de imóveis, garantindo a precisão da amostra de propriedades de médio e grande porte;</w:t>
      </w:r>
    </w:p>
    <w:p w14:paraId="6BEE2F72" w14:textId="77777777" w:rsidR="00533769" w:rsidRPr="00533769" w:rsidRDefault="00533769" w:rsidP="000903DF">
      <w:pPr>
        <w:spacing w:after="0" w:line="360" w:lineRule="auto"/>
        <w:ind w:left="993" w:hanging="284"/>
        <w:jc w:val="both"/>
        <w:rPr>
          <w:rFonts w:ascii="Times New Roman" w:hAnsi="Times New Roman" w:cs="Times New Roman"/>
        </w:rPr>
      </w:pPr>
      <w:r w:rsidRPr="00533769">
        <w:rPr>
          <w:rFonts w:ascii="Times New Roman" w:hAnsi="Times New Roman" w:cs="Times New Roman"/>
        </w:rPr>
        <w:t>c) Validação temporal e geográfica: Aplicar séries temporais do MapBiomas e as diretrizes do Zoneamento Ecológico-Econômico (ZEE-PA) para isolar o passivo ocorrido antes do marco de 22 de julho de 2008 e verificar a aptidão municipal à regra de transição;</w:t>
      </w:r>
    </w:p>
    <w:p w14:paraId="2B9F2BB1" w14:textId="34D5EA65" w:rsidR="00533769" w:rsidRPr="00533769" w:rsidRDefault="00533769" w:rsidP="000903DF">
      <w:pPr>
        <w:spacing w:after="0" w:line="360" w:lineRule="auto"/>
        <w:ind w:left="993" w:hanging="284"/>
        <w:jc w:val="both"/>
        <w:rPr>
          <w:rFonts w:ascii="Times New Roman" w:hAnsi="Times New Roman" w:cs="Times New Roman"/>
        </w:rPr>
      </w:pPr>
      <w:r w:rsidRPr="00533769">
        <w:rPr>
          <w:rFonts w:ascii="Times New Roman" w:hAnsi="Times New Roman" w:cs="Times New Roman"/>
        </w:rPr>
        <w:t xml:space="preserve">d) Modelagem de cenários e cálculo do </w:t>
      </w:r>
      <w:r w:rsidR="005D4794" w:rsidRPr="005D4794">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5D4794" w:rsidRPr="005D4794">
        <w:rPr>
          <w:rFonts w:ascii="Times New Roman" w:hAnsi="Times New Roman" w:cs="Times New Roman"/>
        </w:rPr>
        <w:t>)</w:t>
      </w:r>
      <w:r w:rsidRPr="00533769">
        <w:rPr>
          <w:rFonts w:ascii="Times New Roman" w:hAnsi="Times New Roman" w:cs="Times New Roman"/>
        </w:rPr>
        <w:t>: Simular comparativamente os cenários de 80% e 50% de Reserva Legal para mensurar o Delta de Regularização, identificando o volume de área que atinge a conformidade sem necessidade de compensação ou recomposição;</w:t>
      </w:r>
    </w:p>
    <w:p w14:paraId="145BE1C5" w14:textId="77777777" w:rsidR="00533769" w:rsidRPr="00533769" w:rsidRDefault="00533769" w:rsidP="000903DF">
      <w:pPr>
        <w:spacing w:after="0" w:line="360" w:lineRule="auto"/>
        <w:ind w:left="993" w:hanging="284"/>
        <w:jc w:val="both"/>
        <w:rPr>
          <w:rFonts w:ascii="Times New Roman" w:hAnsi="Times New Roman" w:cs="Times New Roman"/>
        </w:rPr>
      </w:pPr>
      <w:r w:rsidRPr="00533769">
        <w:rPr>
          <w:rFonts w:ascii="Times New Roman" w:hAnsi="Times New Roman" w:cs="Times New Roman"/>
        </w:rPr>
        <w:t>e) Caracterização de perfis de conformidade: Propor uma tipologia de status de regularização para os imóveis elegíveis, estratificando a magnitude do passivo não consolidado para subsidiar estratégias de gestão territorial e ações de comando e controle.</w:t>
      </w:r>
    </w:p>
    <w:p w14:paraId="626932DB" w14:textId="099AD3C4" w:rsidR="00DD24CC" w:rsidRPr="004A059C" w:rsidRDefault="004A059C" w:rsidP="004A059C">
      <w:pPr>
        <w:pStyle w:val="Ttulo2"/>
        <w:rPr>
          <w:rFonts w:ascii="Times New Roman" w:hAnsi="Times New Roman" w:cs="Times New Roman"/>
          <w:color w:val="auto"/>
          <w:sz w:val="24"/>
          <w:szCs w:val="24"/>
        </w:rPr>
      </w:pPr>
      <w:bookmarkStart w:id="5" w:name="_Toc224164515"/>
      <w:r w:rsidRPr="004A059C">
        <w:rPr>
          <w:rFonts w:ascii="Times New Roman" w:hAnsi="Times New Roman" w:cs="Times New Roman"/>
          <w:color w:val="auto"/>
          <w:sz w:val="24"/>
          <w:szCs w:val="24"/>
        </w:rPr>
        <w:t>1.3 JUSTIFICATIVA</w:t>
      </w:r>
      <w:bookmarkEnd w:id="5"/>
    </w:p>
    <w:p w14:paraId="396F435E"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 presente análise fundamenta-se na necessidade de convergência entre a conformidade legal e a viabilidade prática da regularização ambiental no Estado do Pará, estruturando-se sobre quatro pilares fundamentais:</w:t>
      </w:r>
    </w:p>
    <w:p w14:paraId="7C7848A2" w14:textId="77777777" w:rsidR="00E35BC1" w:rsidRPr="004A059C" w:rsidRDefault="00E35BC1" w:rsidP="004A059C">
      <w:pPr>
        <w:pStyle w:val="Ttulo3"/>
        <w:rPr>
          <w:rFonts w:ascii="Times New Roman" w:hAnsi="Times New Roman" w:cs="Times New Roman"/>
          <w:color w:val="auto"/>
          <w:sz w:val="24"/>
          <w:szCs w:val="24"/>
        </w:rPr>
      </w:pPr>
      <w:bookmarkStart w:id="6" w:name="_Toc224164516"/>
      <w:r w:rsidRPr="004A059C">
        <w:rPr>
          <w:rFonts w:ascii="Times New Roman" w:hAnsi="Times New Roman" w:cs="Times New Roman"/>
          <w:b/>
          <w:bCs/>
          <w:color w:val="auto"/>
          <w:sz w:val="24"/>
          <w:szCs w:val="24"/>
        </w:rPr>
        <w:lastRenderedPageBreak/>
        <w:t>1.3.1 Eficiência na gestão pública: a desclogagem do Programa de Regularização</w:t>
      </w:r>
      <w:r w:rsidRPr="004A059C">
        <w:rPr>
          <w:rFonts w:ascii="Times New Roman" w:hAnsi="Times New Roman" w:cs="Times New Roman"/>
          <w:b/>
          <w:bCs/>
          <w:color w:val="auto"/>
        </w:rPr>
        <w:t xml:space="preserve"> </w:t>
      </w:r>
      <w:r w:rsidRPr="004A059C">
        <w:rPr>
          <w:rFonts w:ascii="Times New Roman" w:hAnsi="Times New Roman" w:cs="Times New Roman"/>
          <w:b/>
          <w:bCs/>
          <w:color w:val="auto"/>
          <w:sz w:val="24"/>
          <w:szCs w:val="24"/>
        </w:rPr>
        <w:t>Ambiental (PRA)</w:t>
      </w:r>
      <w:bookmarkEnd w:id="6"/>
    </w:p>
    <w:p w14:paraId="2D8766B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 análise dos dados declarados no Cadastro Ambiental Rural (CAR) continua sendo o principal desafio na implementação do Código Florestal em larga escala. Esse cenário reflete a morosidade do poder público em relação ao processo de regularização, muitas vezes limitada pela falta de infraestrutura tecnológica e de equipes técnicas dimensionadas para o volume de cadastros (SERAPHIM; FREIRIA, 2025).</w:t>
      </w:r>
    </w:p>
    <w:p w14:paraId="3E7D2C1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Visando superar esse gargalo, o programa "Regulariza Pará" tem investido na modernização tecnológica para fortalecer a gestão ambiental estadual (PARÁ, 2025). A implementação de ferramentas como o "CAR 2.0" demonstra eficácia ao automatizar as análises, agilizando as validações. Nesse sentido, a automação do cálculo de passivos, com a aplicação direta da redução para 50%, atua como um catalisador de eficiência, destravando milhares de processos paralisados (PARÁ, 2025).</w:t>
      </w:r>
    </w:p>
    <w:p w14:paraId="63122B00" w14:textId="77777777" w:rsidR="00E35BC1" w:rsidRPr="004A059C" w:rsidRDefault="00E35BC1" w:rsidP="004A059C">
      <w:pPr>
        <w:pStyle w:val="Ttulo3"/>
        <w:rPr>
          <w:rFonts w:ascii="Times New Roman" w:hAnsi="Times New Roman" w:cs="Times New Roman"/>
          <w:color w:val="auto"/>
          <w:sz w:val="24"/>
          <w:szCs w:val="24"/>
        </w:rPr>
      </w:pPr>
      <w:bookmarkStart w:id="7" w:name="_Toc224164517"/>
      <w:r w:rsidRPr="004A059C">
        <w:rPr>
          <w:rFonts w:ascii="Times New Roman" w:hAnsi="Times New Roman" w:cs="Times New Roman"/>
          <w:b/>
          <w:bCs/>
          <w:color w:val="auto"/>
          <w:sz w:val="24"/>
          <w:szCs w:val="24"/>
        </w:rPr>
        <w:t>1.3.2 Viabilidade econômica e social da redução para 50%</w:t>
      </w:r>
      <w:bookmarkEnd w:id="7"/>
    </w:p>
    <w:p w14:paraId="4B08905E"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Do ponto de vista socioeconômico, a regularização ambiental exige altos custos financeiros, o que gera resistência por parte dos detentores de imóveis e cria obstáculos para a efetivação das políticas públicas (SERAPHIM; FREIRIA, 2025). A recuperação de áreas degradadas demanda investimentos consideráveis que, se não forem amparados por mecanismos de flexibilização previstos em lei, podem inviabilizar a saúde financeira das propriedades.</w:t>
      </w:r>
    </w:p>
    <w:p w14:paraId="2297392C"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Ao aplicar a redução da exigência da Reserva Legal para 50%, o déficit ambiental a ser recomposto pelo produtor diminui expressivamente, sem comprometer os ativos florestais consolidados. Esta alternativa previne o bloqueio comercial dos produtores por frigoríficos e cadeias de suprimentos, promove a reinserção no mercado formal e garante a manutenção da função social e dos empregos em áreas de alta aptidão produtiva no estado (SERAPHIM; FREIRIA, 2025).</w:t>
      </w:r>
    </w:p>
    <w:p w14:paraId="1E790A5A" w14:textId="77777777" w:rsidR="00E35BC1" w:rsidRPr="004A059C" w:rsidRDefault="00E35BC1" w:rsidP="004A059C">
      <w:pPr>
        <w:pStyle w:val="Ttulo3"/>
        <w:rPr>
          <w:rFonts w:ascii="Times New Roman" w:hAnsi="Times New Roman" w:cs="Times New Roman"/>
          <w:color w:val="auto"/>
          <w:sz w:val="24"/>
          <w:szCs w:val="24"/>
        </w:rPr>
      </w:pPr>
      <w:bookmarkStart w:id="8" w:name="_Toc224164518"/>
      <w:r w:rsidRPr="004A059C">
        <w:rPr>
          <w:rFonts w:ascii="Times New Roman" w:hAnsi="Times New Roman" w:cs="Times New Roman"/>
          <w:b/>
          <w:bCs/>
          <w:color w:val="auto"/>
          <w:sz w:val="24"/>
          <w:szCs w:val="24"/>
        </w:rPr>
        <w:t>1.3.3 Segurança jurídica e respaldo legal</w:t>
      </w:r>
      <w:bookmarkEnd w:id="8"/>
    </w:p>
    <w:p w14:paraId="248EEF78"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A adoção da redução da Reserva Legal não se configura como uma flexibilização arbitrária ou uma concessão política, tratando-se, na verdade, da aplicação estrita e técnica do arcabouço normativo vigente. A medida encontra amparo principal na Lei nº 12.651/2012 (Novo Código Florestal), que previu a possibilidade de adequação dos percentuais conforme as características regionais e o zoneamento estadual (BRASIL, 2012).</w:t>
      </w:r>
    </w:p>
    <w:p w14:paraId="1A85A118"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lastRenderedPageBreak/>
        <w:t>De forma específica, o Decreto Federal de 24 de abril de 2013 regulamenta e autoriza expressamente essa aplicação para imóveis rurais no Estado do Pará (BRASIL, 2013). A correta execução desta prerrogativa legal garante segurança jurídica tanto para o órgão ambiental, em sua função fiscalizadora, quanto para os produtores que buscam a conformidade, evitando questionamentos judiciais sobre a validade da regularização.</w:t>
      </w:r>
    </w:p>
    <w:p w14:paraId="1381C8AC" w14:textId="77777777" w:rsidR="00E35BC1" w:rsidRPr="004A059C" w:rsidRDefault="00E35BC1" w:rsidP="004A059C">
      <w:pPr>
        <w:pStyle w:val="Ttulo3"/>
        <w:rPr>
          <w:rFonts w:ascii="Times New Roman" w:hAnsi="Times New Roman" w:cs="Times New Roman"/>
          <w:color w:val="auto"/>
          <w:sz w:val="24"/>
          <w:szCs w:val="24"/>
        </w:rPr>
      </w:pPr>
      <w:bookmarkStart w:id="9" w:name="_Toc224164519"/>
      <w:r w:rsidRPr="004A059C">
        <w:rPr>
          <w:rFonts w:ascii="Times New Roman" w:hAnsi="Times New Roman" w:cs="Times New Roman"/>
          <w:b/>
          <w:bCs/>
          <w:color w:val="auto"/>
          <w:sz w:val="24"/>
          <w:szCs w:val="24"/>
        </w:rPr>
        <w:t>1.3.4 Rigor probatório e combate a fraudes por meio de geotecnologias</w:t>
      </w:r>
      <w:bookmarkEnd w:id="9"/>
    </w:p>
    <w:p w14:paraId="74FC35BD" w14:textId="77777777" w:rsidR="00E35BC1" w:rsidRP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Para garantir que o benefício da redução incida exclusivamente sobre áreas com passivo consolidado até 2008, o processo é ancorado no uso de séries temporais de imagens de satélite. Plataformas de sensoriamento remoto, como o MapBiomas Alerta, disponibilizam dados de alta resolução que atestam, no tempo e no espaço, a real materialidade das supressões de vegetação (CONSELHO NACIONAL DE JUSTIÇA, 2023).</w:t>
      </w:r>
    </w:p>
    <w:p w14:paraId="36171B65" w14:textId="4C1D098F" w:rsidR="00E35BC1" w:rsidRDefault="00E35BC1" w:rsidP="003D0CAE">
      <w:pPr>
        <w:spacing w:after="0" w:line="360" w:lineRule="auto"/>
        <w:ind w:firstLine="709"/>
        <w:jc w:val="both"/>
        <w:rPr>
          <w:rFonts w:ascii="Times New Roman" w:hAnsi="Times New Roman" w:cs="Times New Roman"/>
        </w:rPr>
      </w:pPr>
      <w:r w:rsidRPr="00E35BC1">
        <w:rPr>
          <w:rFonts w:ascii="Times New Roman" w:hAnsi="Times New Roman" w:cs="Times New Roman"/>
        </w:rPr>
        <w:t>Do ponto de vista probatório, a jurisprudência do Superior Tribunal de Justiça (STJ) firmou o entendimento de que geotecnologias são provas altamente confiáveis. O entendimento atual é de que imagens de satélite configuram prova técnica suficiente, sendo desnecessária a exigência de perícias presenciais em campo para casos de monitoramento remoto (CONSELHO NACIONAL DE JUSTIÇA, 2023). Esse rigor satelital atua como um mecanismo inquestionável contra fraudes e validações indevidas.</w:t>
      </w:r>
    </w:p>
    <w:p w14:paraId="78D0F77D" w14:textId="77777777" w:rsidR="00DD24CC" w:rsidRPr="004A059C" w:rsidRDefault="00DD24CC" w:rsidP="004A059C">
      <w:pPr>
        <w:pStyle w:val="Ttulo1"/>
        <w:rPr>
          <w:rFonts w:cs="Times New Roman"/>
        </w:rPr>
      </w:pPr>
      <w:bookmarkStart w:id="10" w:name="_Toc224164520"/>
      <w:r w:rsidRPr="004A059C">
        <w:rPr>
          <w:rFonts w:cs="Times New Roman"/>
        </w:rPr>
        <w:t>2 REFERENCIAL TEÓRICO</w:t>
      </w:r>
      <w:bookmarkEnd w:id="10"/>
    </w:p>
    <w:p w14:paraId="41BA470B" w14:textId="793C9FE3" w:rsidR="00DD24CC" w:rsidRPr="004A059C" w:rsidRDefault="004A059C" w:rsidP="004A059C">
      <w:pPr>
        <w:pStyle w:val="Ttulo2"/>
        <w:rPr>
          <w:rFonts w:ascii="Times New Roman" w:hAnsi="Times New Roman" w:cs="Times New Roman"/>
          <w:color w:val="auto"/>
          <w:sz w:val="24"/>
          <w:szCs w:val="24"/>
        </w:rPr>
      </w:pPr>
      <w:bookmarkStart w:id="11" w:name="_Toc224164521"/>
      <w:r w:rsidRPr="004A059C">
        <w:rPr>
          <w:rFonts w:ascii="Times New Roman" w:hAnsi="Times New Roman" w:cs="Times New Roman"/>
          <w:color w:val="auto"/>
          <w:sz w:val="24"/>
          <w:szCs w:val="24"/>
        </w:rPr>
        <w:t>2.1 FUNÇÃO SOCIOAMBIENTAL DA RESERVA LEGAL</w:t>
      </w:r>
      <w:bookmarkEnd w:id="11"/>
    </w:p>
    <w:p w14:paraId="00BDEB22"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Reserva Legal é um instrumento fundamental do Código Florestal brasileiro para garantir que a exploração econômica das propriedades rurais, especialmente em áreas sensíveis como a Amazônia, ocorra em harmonia com a proteção ambiental. O texto legal define claramente a sua função socioambiental:</w:t>
      </w:r>
    </w:p>
    <w:p w14:paraId="10F21E51"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Reserva Legal: área localizada no interior de uma propriedade ou posse rural, delimitada nos termos do art. 12, com a função de assegurar o uso econômico de modo sustentável dos recursos naturais do imóvel rural, auxiliar a conservação e a reabilitação dos processos ecológicos e promover a conservação da biodiversidade, bem como o abrigo e a proteção de fauna silvestre e da flora nativa; (BRASIL, 2012, art. 3º, inciso III).</w:t>
      </w:r>
    </w:p>
    <w:p w14:paraId="3381CE4A"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A manutenção dessa cobertura de vegetação nativa é obrigatória para todo imóvel rural e, na Amazônia Legal, chega a exigir a conservação de até 80% da propriedade quando situada em área de florestas (BRASIL, 2012, art. 12).</w:t>
      </w:r>
    </w:p>
    <w:p w14:paraId="7145F94F" w14:textId="79AFAD66" w:rsidR="00DD24CC" w:rsidRPr="004A059C" w:rsidRDefault="004A059C" w:rsidP="004A059C">
      <w:pPr>
        <w:pStyle w:val="Ttulo2"/>
        <w:rPr>
          <w:rFonts w:ascii="Times New Roman" w:hAnsi="Times New Roman" w:cs="Times New Roman"/>
          <w:color w:val="auto"/>
          <w:sz w:val="24"/>
          <w:szCs w:val="24"/>
        </w:rPr>
      </w:pPr>
      <w:bookmarkStart w:id="12" w:name="_Toc224164522"/>
      <w:r w:rsidRPr="004A059C">
        <w:rPr>
          <w:rFonts w:ascii="Times New Roman" w:hAnsi="Times New Roman" w:cs="Times New Roman"/>
          <w:color w:val="auto"/>
          <w:sz w:val="24"/>
          <w:szCs w:val="24"/>
        </w:rPr>
        <w:lastRenderedPageBreak/>
        <w:t>2.2 O CAR COMO PRINCIPAL FERRAMENTA DE MONITORAMENTO</w:t>
      </w:r>
      <w:bookmarkEnd w:id="12"/>
    </w:p>
    <w:p w14:paraId="0FCF919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viabilizar a fiscalização e a regularização dessas áreas de preservação, a Lei 12.651/2012 instituiu o Cadastro Ambiental Rural (CAR). A legislação o consolida como o grande banco de dados nacional para monitorar e combater o desmatamento:</w:t>
      </w:r>
    </w:p>
    <w:p w14:paraId="2910081F"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É criado o Cadastro Ambiental Rural - CAR, no âmbito do Sistema Nacional de Informação sobre Meio Ambiente - SINIMA, registro público eletrônico de âmbito nacional, obrigatório para todos os imóveis rurais, com a finalidade de integrar as informações ambientais das propriedades e posses rurais, compondo base de dados para controle, monitoramento, planejamento ambiental e econômico e combate ao desmatamento. (BRASIL, 2012, art. 29).</w:t>
      </w:r>
    </w:p>
    <w:p w14:paraId="671459B0"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Para que esse monitoramento seja efetivo, a norma e os sistemas de controle exigem precisão tecnológica. Conforme aponta a literatura jurídica:</w:t>
      </w:r>
    </w:p>
    <w:p w14:paraId="12C19945" w14:textId="77777777" w:rsidR="00312AA8" w:rsidRPr="00312AA8" w:rsidRDefault="00312AA8" w:rsidP="003D0CAE">
      <w:pPr>
        <w:spacing w:before="240" w:line="360" w:lineRule="auto"/>
        <w:ind w:left="2268"/>
        <w:jc w:val="both"/>
        <w:rPr>
          <w:rFonts w:ascii="Times New Roman" w:hAnsi="Times New Roman" w:cs="Times New Roman"/>
          <w:sz w:val="20"/>
          <w:szCs w:val="20"/>
        </w:rPr>
      </w:pPr>
      <w:r w:rsidRPr="00312AA8">
        <w:rPr>
          <w:rFonts w:ascii="Times New Roman" w:hAnsi="Times New Roman" w:cs="Times New Roman"/>
          <w:sz w:val="20"/>
          <w:szCs w:val="20"/>
        </w:rPr>
        <w:t>[O Novo Código Florestal] Exige que todos os proprietários ou posseiros de propriedades rurais registrem suas terras no órgão ambiental estadual, delineando a RL [Reserva Legal] e a APP [Área de Preservação Permanente] georreferenciadas em imagens de satélite [...] para servir de base para o monitoramento do cumprimento. (PORTO; SANTOS, 2017, p. 931).</w:t>
      </w:r>
    </w:p>
    <w:p w14:paraId="2821A7DC" w14:textId="77777777" w:rsidR="00312AA8" w:rsidRPr="00312AA8" w:rsidRDefault="00312AA8" w:rsidP="003D0CAE">
      <w:pPr>
        <w:spacing w:after="0" w:line="360" w:lineRule="auto"/>
        <w:ind w:firstLine="709"/>
        <w:jc w:val="both"/>
        <w:rPr>
          <w:rFonts w:ascii="Times New Roman" w:hAnsi="Times New Roman" w:cs="Times New Roman"/>
        </w:rPr>
      </w:pPr>
      <w:r w:rsidRPr="00312AA8">
        <w:rPr>
          <w:rFonts w:ascii="Times New Roman" w:hAnsi="Times New Roman" w:cs="Times New Roman"/>
        </w:rPr>
        <w:t>No âmbito da gestão pública amazônica, o CAR provou ser o eixo central para coibir o avanço da degradação. Ele é "destacado no Código Florestal (Lei nº 12.651/2012) como a principal ferramenta de planejamento da regularização ambiental dos imóveis rurais, que auxilia na manutenção dos ativos florestais e inicia a recuperação, restauração, recomposição e compensação dos passivos ambientais" (PARÁ, 2021).</w:t>
      </w:r>
    </w:p>
    <w:p w14:paraId="22906C30" w14:textId="2F607235" w:rsidR="00DD24CC" w:rsidRPr="004A059C" w:rsidRDefault="004A059C" w:rsidP="004A059C">
      <w:pPr>
        <w:pStyle w:val="Ttulo2"/>
        <w:rPr>
          <w:rFonts w:ascii="Times New Roman" w:hAnsi="Times New Roman" w:cs="Times New Roman"/>
          <w:color w:val="auto"/>
          <w:sz w:val="24"/>
          <w:szCs w:val="24"/>
        </w:rPr>
      </w:pPr>
      <w:bookmarkStart w:id="13" w:name="_Toc224164523"/>
      <w:r w:rsidRPr="004A059C">
        <w:rPr>
          <w:rFonts w:ascii="Times New Roman" w:hAnsi="Times New Roman" w:cs="Times New Roman"/>
          <w:color w:val="auto"/>
          <w:sz w:val="24"/>
          <w:szCs w:val="24"/>
        </w:rPr>
        <w:t>2.3 O PROBLEMA: O IMPASSE DOS 80% E O PASSIVO CONSOLIDADO</w:t>
      </w:r>
      <w:bookmarkEnd w:id="13"/>
    </w:p>
    <w:p w14:paraId="633DFC4E"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O Novo Código Florestal (Lei nº 12.651/2012) exige a manutenção de 80% de Reserva Legal para imóveis situados em áreas de floresta na Amazônia Legal. A imposição desse alto percentual gerou um grave impasse para propriedades que já haviam suprimido a vegetação em proporções maiores, criando o chamado "passivo ambiental". Para solucionar esse impasse, a legislação introduziu a figura das áreas consolidadas baseadas em um marco temporal específico.</w:t>
      </w:r>
    </w:p>
    <w:p w14:paraId="5C052D7A" w14:textId="77777777" w:rsidR="00EE2C45" w:rsidRPr="004A059C" w:rsidRDefault="00EE2C45" w:rsidP="004A059C">
      <w:pPr>
        <w:pStyle w:val="Ttulo3"/>
        <w:rPr>
          <w:rFonts w:ascii="Times New Roman" w:hAnsi="Times New Roman" w:cs="Times New Roman"/>
          <w:color w:val="auto"/>
          <w:sz w:val="24"/>
          <w:szCs w:val="24"/>
        </w:rPr>
      </w:pPr>
      <w:bookmarkStart w:id="14" w:name="_Toc224164524"/>
      <w:r w:rsidRPr="004A059C">
        <w:rPr>
          <w:rFonts w:ascii="Times New Roman" w:hAnsi="Times New Roman" w:cs="Times New Roman"/>
          <w:b/>
          <w:bCs/>
          <w:color w:val="auto"/>
          <w:sz w:val="24"/>
          <w:szCs w:val="24"/>
        </w:rPr>
        <w:t>2.3.1 A definição do marco temporal de 22 de julho de 2008</w:t>
      </w:r>
      <w:bookmarkEnd w:id="14"/>
    </w:p>
    <w:p w14:paraId="3B4FD334" w14:textId="66AFFFFE"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 xml:space="preserve">O marco temporal de 2008 é a linha divisória estabelecida pela legislação para diferenciar desmatamentos antigos (passíveis de regularização mais branda) de desmatamentos recentes (sujeitos a punições e recomposição integral). A Lei 12.651/2012 define o conceito de </w:t>
      </w:r>
      <w:r w:rsidRPr="00EE2C45">
        <w:rPr>
          <w:rFonts w:ascii="Times New Roman" w:hAnsi="Times New Roman" w:cs="Times New Roman"/>
        </w:rPr>
        <w:lastRenderedPageBreak/>
        <w:t>"área rural consolidada" da seguinte forma:</w:t>
      </w:r>
      <w:r>
        <w:rPr>
          <w:rFonts w:ascii="Times New Roman" w:hAnsi="Times New Roman" w:cs="Times New Roman"/>
        </w:rPr>
        <w:t xml:space="preserve"> Á</w:t>
      </w:r>
      <w:r w:rsidRPr="00EE2C45">
        <w:rPr>
          <w:rFonts w:ascii="Times New Roman" w:hAnsi="Times New Roman" w:cs="Times New Roman"/>
        </w:rPr>
        <w:t>rea rural consolidada: área de imóvel rural com ocupação antrópica preexistente a 22 de julho de 2008, com edificações, benfeitorias ou atividades agrossilvipastoris, admitida, neste último caso, a adoção do regime de pousio; (BRASIL, 2012, art. 3º, inciso IV).</w:t>
      </w:r>
    </w:p>
    <w:p w14:paraId="0066418B"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escolha dessa data não foi aleatória. A literatura jurídica explica que o dia 22 de julho de 2008 corresponde à "promulgação no ordenamento jurídico do Decreto n. 6.514, que 'dispõe sobre as infrações e sanções administrativas ao meio ambiente'" (FELIPPE; TRENTINI, 2018, p. 82).</w:t>
      </w:r>
    </w:p>
    <w:p w14:paraId="6DED2831" w14:textId="77777777" w:rsidR="00EE2C45" w:rsidRPr="004A059C" w:rsidRDefault="00EE2C45" w:rsidP="004A059C">
      <w:pPr>
        <w:pStyle w:val="Ttulo3"/>
        <w:rPr>
          <w:rFonts w:ascii="Times New Roman" w:hAnsi="Times New Roman" w:cs="Times New Roman"/>
          <w:color w:val="auto"/>
          <w:sz w:val="24"/>
          <w:szCs w:val="24"/>
        </w:rPr>
      </w:pPr>
      <w:bookmarkStart w:id="15" w:name="_Toc224164525"/>
      <w:r w:rsidRPr="004A059C">
        <w:rPr>
          <w:rFonts w:ascii="Times New Roman" w:hAnsi="Times New Roman" w:cs="Times New Roman"/>
          <w:b/>
          <w:bCs/>
          <w:color w:val="auto"/>
          <w:sz w:val="24"/>
          <w:szCs w:val="24"/>
        </w:rPr>
        <w:t>2.3.2 O impacto econômico da manutenção ou recomposição do passivo</w:t>
      </w:r>
      <w:bookmarkEnd w:id="15"/>
    </w:p>
    <w:p w14:paraId="3E2BD092"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recomposição de áreas abertas para atingir o patamar de 80% de Reserva Legal gera um forte impacto financeiro devido ao custo de oportunidade da terra que deixaria de produzir. Autores apontam que a rigorosidade das leis anteriores e a inviabilidade econômica de paralisar a produção motivaram o descumprimento histórico:</w:t>
      </w:r>
    </w:p>
    <w:p w14:paraId="31ED4123"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Apesar da importância das reservas legais [...] em virtude da falta de tecnologia ou insumos para a restauração, dos custos de oportunidade e da ausência de aplicação rigorosa do antigo Código Florestal, muitos proprietários de terra optavam por descumprir a lei e acumular passivos ou multas. (PORTO; SANTOS, 2017, p. 930).</w:t>
      </w:r>
    </w:p>
    <w:p w14:paraId="75E8BC3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Durante os debates para a aprovação do Novo Código Florestal, o argumento econômico foi central. A necessidade de definir as áreas consolidadas decorreu da "inviabilidade econômica dos pequenos e médios produtores rurais" (PETERS; PANASOLO, 2014 apud FELIPPE; TRENTINI, 2018, p. 79), uma vez que exigir a recuperação total de áreas historicamente ocupadas "significaria perda para a agricultura nacional e injustiça para muitos agricultores" (SOS FLORESTAS, 2011 apud FELIPPE; TRENTINI, 2018, p. 84).</w:t>
      </w:r>
    </w:p>
    <w:p w14:paraId="7C89AEBF" w14:textId="77777777" w:rsidR="00EE2C45" w:rsidRPr="004A059C" w:rsidRDefault="00EE2C45" w:rsidP="004A059C">
      <w:pPr>
        <w:pStyle w:val="Ttulo3"/>
        <w:rPr>
          <w:rFonts w:ascii="Times New Roman" w:hAnsi="Times New Roman" w:cs="Times New Roman"/>
          <w:color w:val="auto"/>
          <w:sz w:val="24"/>
          <w:szCs w:val="24"/>
        </w:rPr>
      </w:pPr>
      <w:bookmarkStart w:id="16" w:name="_Toc224164526"/>
      <w:r w:rsidRPr="004A059C">
        <w:rPr>
          <w:rFonts w:ascii="Times New Roman" w:hAnsi="Times New Roman" w:cs="Times New Roman"/>
          <w:b/>
          <w:bCs/>
          <w:color w:val="auto"/>
          <w:sz w:val="24"/>
          <w:szCs w:val="24"/>
        </w:rPr>
        <w:t>2.3.3 O impacto jurídico do passivo consolidado</w:t>
      </w:r>
      <w:bookmarkEnd w:id="16"/>
    </w:p>
    <w:p w14:paraId="6324795D" w14:textId="40BC857B"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Do ponto de vista jurídico, o marco de 2008 gerou intensa controvérsia constitucional, pois flexibilizou as punições para quem desmatou a Reserva Legal além do limite permitido antes daquela data. A doutrina e a jurisprudência debateram se isso configuraria uma anistia inconstitucional aos infratores:</w:t>
      </w:r>
      <w:r>
        <w:rPr>
          <w:rFonts w:ascii="Times New Roman" w:hAnsi="Times New Roman" w:cs="Times New Roman"/>
        </w:rPr>
        <w:t xml:space="preserve"> </w:t>
      </w:r>
      <w:r w:rsidRPr="00EE2C45">
        <w:rPr>
          <w:rFonts w:ascii="Times New Roman" w:hAnsi="Times New Roman" w:cs="Times New Roman"/>
        </w:rPr>
        <w:t>O Novo Código Florestal isentou de multa todos os desmatamentos ilegais realizados antes de 22 de julho de 2008, mas exigiu que as propriedades superiores a quatro módulos fiscais regularizassem sua situação no futuro. (PORTO; SANTOS, 2017, p. 930).</w:t>
      </w:r>
    </w:p>
    <w:p w14:paraId="0950D33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 xml:space="preserve">A legalidade dessa anistia foi questionada sob a alegação de que a "adoção do marco de 22 de julho de 2008 concede anistia aos infratores ambientais, pois permite que aqueles que </w:t>
      </w:r>
      <w:r w:rsidRPr="00EE2C45">
        <w:rPr>
          <w:rFonts w:ascii="Times New Roman" w:hAnsi="Times New Roman" w:cs="Times New Roman"/>
        </w:rPr>
        <w:lastRenderedPageBreak/>
        <w:t>praticaram ilícitos em momento anterior ao Decreto possam regularizar sua situação" (FELIPPE; TRENTINI, 2018, p. 82).</w:t>
      </w:r>
    </w:p>
    <w:p w14:paraId="7CC44E3B" w14:textId="77777777" w:rsid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Contudo, no julgamento das Ações Diretas de Inconstitucionalidade (ADIs) pelo Supremo Tribunal Federal (STF), o marco de 2008 foi validado sob a justificativa de que ele serviria para "induzir os agentes que tenham praticado determinados delitos ambientais antes de 22/07/2008 a solver o seu passivo ambiental", vinculando a suspensão da punibilidade à assinatura de termos de compromisso de regularização (BRASIL, 2018 apud FELIPPE; TRENTINI, 2018, p. 83-84).</w:t>
      </w:r>
    </w:p>
    <w:p w14:paraId="62F303E3" w14:textId="77777777" w:rsidR="00447203" w:rsidRPr="004A059C" w:rsidRDefault="00447203" w:rsidP="004A059C">
      <w:pPr>
        <w:pStyle w:val="Ttulo3"/>
        <w:rPr>
          <w:rFonts w:ascii="Times New Roman" w:hAnsi="Times New Roman" w:cs="Times New Roman"/>
          <w:color w:val="auto"/>
          <w:sz w:val="24"/>
          <w:szCs w:val="24"/>
        </w:rPr>
      </w:pPr>
      <w:bookmarkStart w:id="17" w:name="_Toc224164527"/>
      <w:r w:rsidRPr="004A059C">
        <w:rPr>
          <w:rFonts w:ascii="Times New Roman" w:hAnsi="Times New Roman" w:cs="Times New Roman"/>
          <w:b/>
          <w:bCs/>
          <w:color w:val="auto"/>
          <w:sz w:val="24"/>
          <w:szCs w:val="24"/>
        </w:rPr>
        <w:t>2.3.4 A diferenciação por módulos fiscais e o benefício do artigo 67</w:t>
      </w:r>
      <w:bookmarkEnd w:id="17"/>
    </w:p>
    <w:p w14:paraId="1FE8FFB9"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A Lei nº 12.651/2012 (Novo Código Florestal) estabeleceu uma clara distinção no tratamento do passivo ambiental com base no tamanho do imóvel rural, utilizando o módulo fiscal (MF) como unidade de medida. A legislação garantiu um regime mais flexível para as pequenas propriedades, estendendo esse tratamento diferenciado "às propriedades e posses rurais com até 4 (quatro) módulos fiscais que desenvolvam atividades agrossilvipastoris" (BRASIL, 2012).</w:t>
      </w:r>
    </w:p>
    <w:p w14:paraId="48A71108"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O principal benefício concedido a essa categoria diz respeito à recomposição da Reserva Legal (RL). Para solucionar o passivo histórico dos pequenos produtores, o Artigo 67 desobrigou os imóveis de até 4 MF de atingirem os percentuais originais exigidos pela lei (como os 80% na Amazônia), consolidando a RL no patamar exato da vegetação que restava no marco temporal:</w:t>
      </w:r>
    </w:p>
    <w:p w14:paraId="4C453BEB" w14:textId="77777777" w:rsidR="00447203" w:rsidRPr="00447203" w:rsidRDefault="00447203" w:rsidP="003D0CAE">
      <w:pPr>
        <w:spacing w:before="240" w:line="360" w:lineRule="auto"/>
        <w:ind w:left="2268"/>
        <w:jc w:val="both"/>
        <w:rPr>
          <w:rFonts w:ascii="Times New Roman" w:hAnsi="Times New Roman" w:cs="Times New Roman"/>
          <w:sz w:val="20"/>
          <w:szCs w:val="20"/>
        </w:rPr>
      </w:pPr>
      <w:r w:rsidRPr="00447203">
        <w:rPr>
          <w:rFonts w:ascii="Times New Roman" w:hAnsi="Times New Roman" w:cs="Times New Roman"/>
          <w:sz w:val="20"/>
          <w:szCs w:val="20"/>
        </w:rPr>
        <w:t>Nos imóveis rurais que detinham, em 22 de julho de 2008, área de até 4 (quatro) módulos fiscais e que possuam remanescente de vegetação nativa em percentuais inferiores ao previsto no art. 12, a Reserva Legal será constituída com a área ocupada com a vegetação nativa existente em 22 de julho de 2008, vedadas novas conversões para uso alternativo do solo (BRASIL, 2012).</w:t>
      </w:r>
    </w:p>
    <w:p w14:paraId="17188250"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Isso significa que, se um pequeno imóvel havia desmatado além do limite antes de 2008, o seu déficit de Reserva Legal é automaticamente perdoado e consolidado, não havendo exigência legal de recomposição, regeneração ou compensação de novas áreas, desde que não haja novos desmatamentos.</w:t>
      </w:r>
    </w:p>
    <w:p w14:paraId="224BE5AC" w14:textId="77777777" w:rsidR="00447203" w:rsidRPr="00447203"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 xml:space="preserve">Em nítido contraste, as propriedades médias e grandes não possuem o benefício de congelar sua Reserva Legal no percentual existente em 2008. A literatura acadêmica destaca essa distinção apontando que o Novo Código Florestal "isentou de multa todos os desmatamentos ilegais realizados antes de 22 de julho de 2008, mas exigiu que as propriedades </w:t>
      </w:r>
      <w:r w:rsidRPr="00447203">
        <w:rPr>
          <w:rFonts w:ascii="Times New Roman" w:hAnsi="Times New Roman" w:cs="Times New Roman"/>
        </w:rPr>
        <w:lastRenderedPageBreak/>
        <w:t>superiores a quatro módulos fiscais regularizassem sua situação no futuro" (PORTO; SANTOS, 2017).</w:t>
      </w:r>
    </w:p>
    <w:p w14:paraId="452A35A6" w14:textId="7885FD72" w:rsidR="00447203" w:rsidRPr="00EE2C45" w:rsidRDefault="00447203" w:rsidP="003D0CAE">
      <w:pPr>
        <w:spacing w:after="0" w:line="360" w:lineRule="auto"/>
        <w:ind w:firstLine="709"/>
        <w:jc w:val="both"/>
        <w:rPr>
          <w:rFonts w:ascii="Times New Roman" w:hAnsi="Times New Roman" w:cs="Times New Roman"/>
        </w:rPr>
      </w:pPr>
      <w:r w:rsidRPr="00447203">
        <w:rPr>
          <w:rFonts w:ascii="Times New Roman" w:hAnsi="Times New Roman" w:cs="Times New Roman"/>
        </w:rPr>
        <w:t>Como os imóveis maiores que 4 MF não foram desobrigados de recompor seus passivos de Reserva Legal, são eles que concentram o montante do passivo ambiental a ser recuperado ou compensado no país. Na Amazônia Legal, onde a exigência chega a 80% em áreas de floresta, esse ônus de recomposição tornou-se um grande impasse econômico. É exatamente para equacionar esse passivo consolidado que o Artigo 12 se torna fundamental, permitindo que o poder público estadual reduza a Reserva Legal para até 50% para fins de recomposição, desde que cumpridos os critérios do Zoneamento Ecológico-Econômico (BRASIL, 2012).</w:t>
      </w:r>
    </w:p>
    <w:p w14:paraId="0773248A" w14:textId="5E2C134B" w:rsidR="00DD24CC" w:rsidRPr="004A059C" w:rsidRDefault="004A059C" w:rsidP="004A059C">
      <w:pPr>
        <w:pStyle w:val="Ttulo2"/>
        <w:rPr>
          <w:rFonts w:ascii="Times New Roman" w:hAnsi="Times New Roman" w:cs="Times New Roman"/>
          <w:color w:val="auto"/>
          <w:sz w:val="24"/>
          <w:szCs w:val="24"/>
        </w:rPr>
      </w:pPr>
      <w:bookmarkStart w:id="18" w:name="_Toc224164528"/>
      <w:r w:rsidRPr="004A059C">
        <w:rPr>
          <w:rFonts w:ascii="Times New Roman" w:hAnsi="Times New Roman" w:cs="Times New Roman"/>
          <w:color w:val="auto"/>
          <w:sz w:val="24"/>
          <w:szCs w:val="24"/>
        </w:rPr>
        <w:t>2.4 FUNDAMENTAÇÃO LEGAL DA FLEXIBILIZAÇÃO: O ARTIGO 12 E O ZEE-PA</w:t>
      </w:r>
      <w:bookmarkEnd w:id="18"/>
    </w:p>
    <w:p w14:paraId="4EA3FD78"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A Lei nº 12.651/2012 (Novo Código Florestal) estabelece a exigência de 80% de Reserva Legal (RL) para imóveis rurais localizados em áreas de floresta na Amazônia Legal. No entanto, a própria lei previu mecanismos para flexibilizar e reduzir esse percentual para até 50%, com fins de recomposição, condicionando essa redução a critérios territoriais de conservação e à existência do Zoneamento Ecológico-Econômico (ZEE).</w:t>
      </w:r>
    </w:p>
    <w:p w14:paraId="043FC6C1" w14:textId="77777777" w:rsidR="00EE2C45" w:rsidRPr="004A059C" w:rsidRDefault="00EE2C45" w:rsidP="004A059C">
      <w:pPr>
        <w:pStyle w:val="Ttulo3"/>
        <w:rPr>
          <w:rFonts w:ascii="Times New Roman" w:hAnsi="Times New Roman" w:cs="Times New Roman"/>
          <w:color w:val="auto"/>
          <w:sz w:val="24"/>
          <w:szCs w:val="24"/>
        </w:rPr>
      </w:pPr>
      <w:bookmarkStart w:id="19" w:name="_Toc224164529"/>
      <w:r w:rsidRPr="004A059C">
        <w:rPr>
          <w:rFonts w:ascii="Times New Roman" w:hAnsi="Times New Roman" w:cs="Times New Roman"/>
          <w:b/>
          <w:bCs/>
          <w:color w:val="auto"/>
          <w:sz w:val="24"/>
          <w:szCs w:val="24"/>
        </w:rPr>
        <w:t>2.4.1 Os critérios de porcentagem de áreas protegidas (Artigo 12)</w:t>
      </w:r>
      <w:bookmarkEnd w:id="19"/>
    </w:p>
    <w:p w14:paraId="1DB88BA5" w14:textId="77777777" w:rsidR="00EE2C45" w:rsidRPr="00EE2C45" w:rsidRDefault="00EE2C45" w:rsidP="003D0CAE">
      <w:pPr>
        <w:spacing w:after="0" w:line="360" w:lineRule="auto"/>
        <w:ind w:firstLine="851"/>
        <w:jc w:val="both"/>
        <w:rPr>
          <w:rFonts w:ascii="Times New Roman" w:hAnsi="Times New Roman" w:cs="Times New Roman"/>
        </w:rPr>
      </w:pPr>
      <w:r w:rsidRPr="00EE2C45">
        <w:rPr>
          <w:rFonts w:ascii="Times New Roman" w:hAnsi="Times New Roman" w:cs="Times New Roman"/>
        </w:rPr>
        <w:t>A legislação federal estabelece duas hipóteses principais em que o poder público pode autorizar a redução da Reserva Legal de 80% para até 50% na Amazônia Legal:</w:t>
      </w:r>
    </w:p>
    <w:p w14:paraId="4BD1EEE4"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a) critério municipal (50%):</w:t>
      </w:r>
    </w:p>
    <w:p w14:paraId="4FC67246"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o poder público poderá reduzir a Reserva Legal para até 50% (cinquenta por cento), para fins de recomposição, quando o Município tiver mais de 50% (cinquenta por cento) da área ocupada por unidades de conservação da natureza de domínio público e por terras indígenas homologadas (BRASIL, 2012, art. 12, § 4º);</w:t>
      </w:r>
    </w:p>
    <w:p w14:paraId="0B1AD248" w14:textId="77777777" w:rsidR="00EE2C45" w:rsidRPr="00EE2C45" w:rsidRDefault="00EE2C45" w:rsidP="003D0CAE">
      <w:pPr>
        <w:spacing w:after="0" w:line="360" w:lineRule="auto"/>
        <w:jc w:val="both"/>
        <w:rPr>
          <w:rFonts w:ascii="Times New Roman" w:hAnsi="Times New Roman" w:cs="Times New Roman"/>
        </w:rPr>
      </w:pPr>
      <w:r w:rsidRPr="00EE2C45">
        <w:rPr>
          <w:rFonts w:ascii="Times New Roman" w:hAnsi="Times New Roman" w:cs="Times New Roman"/>
        </w:rPr>
        <w:t>b) critério estadual (65% e ZEE):</w:t>
      </w:r>
    </w:p>
    <w:p w14:paraId="1F01C862"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o poder público estadual, ouvido o Conselho Estadual de Meio Ambiente, poderá reduzir a Reserva Legal para até 50% (cinquenta por cento), quando o Estado tiver Zoneamento Ecológico-Econômico aprovado e mais de 65% (sessenta e cinco por cento) do seu território ocupado por unidades de conservação da natureza de domínio público, devidamente regularizadas, e por terras indígenas homologadas (BRASIL, 2012, art. 12, § 5º).</w:t>
      </w:r>
    </w:p>
    <w:p w14:paraId="2271223B" w14:textId="77777777" w:rsidR="00EE2C45" w:rsidRPr="004A059C" w:rsidRDefault="00EE2C45" w:rsidP="004A059C">
      <w:pPr>
        <w:pStyle w:val="Ttulo3"/>
        <w:rPr>
          <w:rFonts w:ascii="Times New Roman" w:hAnsi="Times New Roman" w:cs="Times New Roman"/>
          <w:color w:val="auto"/>
          <w:sz w:val="24"/>
          <w:szCs w:val="24"/>
        </w:rPr>
      </w:pPr>
      <w:bookmarkStart w:id="20" w:name="_Toc224164530"/>
      <w:r w:rsidRPr="004A059C">
        <w:rPr>
          <w:rFonts w:ascii="Times New Roman" w:hAnsi="Times New Roman" w:cs="Times New Roman"/>
          <w:b/>
          <w:bCs/>
          <w:color w:val="auto"/>
          <w:sz w:val="24"/>
          <w:szCs w:val="24"/>
        </w:rPr>
        <w:t>2.4.2 A aplicação do Zoneamento Ecológico-Econômico (ZEE) no Pará</w:t>
      </w:r>
      <w:bookmarkEnd w:id="20"/>
    </w:p>
    <w:p w14:paraId="693B07F9"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 xml:space="preserve">O Estado do Pará utilizou esse dispositivo valendo-se da aprovação de seus Zoneamentos Ecológico-Econômicos para permitir a regularização de passivos ambientais em </w:t>
      </w:r>
      <w:r w:rsidRPr="00EE2C45">
        <w:rPr>
          <w:rFonts w:ascii="Times New Roman" w:hAnsi="Times New Roman" w:cs="Times New Roman"/>
        </w:rPr>
        <w:lastRenderedPageBreak/>
        <w:t>áreas onde a produção rural já estava estabelecida. A normatização estadual evidencia a aplicação dessa redução em diferentes regiões do estado amparada pelo ZEE:</w:t>
      </w:r>
    </w:p>
    <w:p w14:paraId="18ADD3CB" w14:textId="77777777" w:rsidR="00EE2C45" w:rsidRPr="00EE2C45" w:rsidRDefault="00EE2C45" w:rsidP="003D0CAE">
      <w:pPr>
        <w:spacing w:before="240" w:line="360" w:lineRule="auto"/>
        <w:ind w:left="2127"/>
        <w:jc w:val="both"/>
        <w:rPr>
          <w:rFonts w:ascii="Times New Roman" w:hAnsi="Times New Roman" w:cs="Times New Roman"/>
          <w:sz w:val="20"/>
          <w:szCs w:val="20"/>
        </w:rPr>
      </w:pPr>
      <w:r w:rsidRPr="00EE2C45">
        <w:rPr>
          <w:rFonts w:ascii="Times New Roman" w:hAnsi="Times New Roman" w:cs="Times New Roman"/>
          <w:sz w:val="20"/>
          <w:szCs w:val="20"/>
        </w:rPr>
        <w:t>O art. 8º da Lei Estadual nº 7.243, de 9 de janeiro de 2009, do Estado do Pará, que dispõe sobre o Zoneamento Ecológico-Econômico da área de influência das rodovias BR-163 (Cuiabá/Santarém) e BR-230 (Transamazônica) - Zona Oeste [...] indicou o redimensionamento da área de reserva legal de 80% para até 50% nas áreas rurais consolidadas; (PARÁ, 2015).</w:t>
      </w:r>
    </w:p>
    <w:p w14:paraId="5FA2E1A5"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Da mesma forma, para as Zonas Leste e Calha Norte, o Estado aprovou a Lei nº 7.398/2010, na qual ficou estabelecido o redimensionamento da RL:</w:t>
      </w:r>
    </w:p>
    <w:p w14:paraId="06B75B0D" w14:textId="77777777" w:rsidR="00EE2C45" w:rsidRPr="00EE2C45" w:rsidRDefault="00EE2C45" w:rsidP="003D0CAE">
      <w:pPr>
        <w:spacing w:before="240" w:line="360" w:lineRule="auto"/>
        <w:ind w:left="2268"/>
        <w:jc w:val="both"/>
        <w:rPr>
          <w:rFonts w:ascii="Times New Roman" w:hAnsi="Times New Roman" w:cs="Times New Roman"/>
          <w:sz w:val="20"/>
          <w:szCs w:val="20"/>
        </w:rPr>
      </w:pPr>
      <w:r w:rsidRPr="00EE2C45">
        <w:rPr>
          <w:rFonts w:ascii="Times New Roman" w:hAnsi="Times New Roman" w:cs="Times New Roman"/>
          <w:sz w:val="20"/>
          <w:szCs w:val="20"/>
        </w:rPr>
        <w:t>Nos imóveis rurais situados nas áreas de uso consolidado e/ou a consolidar, delimitadas no Mapa de Gestão do Território deste ZEE fica indicado o redimensionamento, para fins de recomposição, da reserva legal para até 50% da propriedade, nos termos da legislação em vigor (PARÁ, 2010, art. 8º).</w:t>
      </w:r>
    </w:p>
    <w:p w14:paraId="432CA89C"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Para que o proprietário rural paraense possa usufruir dessa redução de 80% para 50%, a lei do ZEE (Lei nº 7.398/2010) exige, entre outros requisitos, a "apresentação de proposta de regularização ambiental do imóvel junto ao órgão estadual de meio ambiente e o seu ingresso no Cadastro Ambiental Rural", além da "celebração de compromisso de recuperação ou regeneração integral das Áreas de Preservação Permanente" (PARÁ, 2010, art. 8º, incisos I e II).</w:t>
      </w:r>
    </w:p>
    <w:p w14:paraId="234D4CEE" w14:textId="77777777" w:rsidR="00EE2C45" w:rsidRPr="00EE2C45" w:rsidRDefault="00EE2C45" w:rsidP="003D0CAE">
      <w:pPr>
        <w:spacing w:after="0" w:line="360" w:lineRule="auto"/>
        <w:ind w:firstLine="709"/>
        <w:jc w:val="both"/>
        <w:rPr>
          <w:rFonts w:ascii="Times New Roman" w:hAnsi="Times New Roman" w:cs="Times New Roman"/>
        </w:rPr>
      </w:pPr>
      <w:r w:rsidRPr="00EE2C45">
        <w:rPr>
          <w:rFonts w:ascii="Times New Roman" w:hAnsi="Times New Roman" w:cs="Times New Roman"/>
        </w:rPr>
        <w:t>Essa adequação estadual foi posteriormente respaldada pela União através de um Decreto Federal de 24 de abril de 2013, "que autoriza a redução da Reserva Legal de imóveis rurais situados nas Zonas de Consolidação I, II e III, definidas na Lei Estadual Nº 7.398, de 16 de abril de 2010, do Estado do Pará [...] para fins de regularização" (PARÁ, 2015).</w:t>
      </w:r>
    </w:p>
    <w:p w14:paraId="3298D7D5" w14:textId="23FCAAF5" w:rsidR="00312AA8" w:rsidRPr="000903DF" w:rsidRDefault="004A059C" w:rsidP="004A059C">
      <w:pPr>
        <w:pStyle w:val="Ttulo2"/>
        <w:rPr>
          <w:rFonts w:ascii="Times New Roman" w:hAnsi="Times New Roman" w:cs="Times New Roman"/>
          <w:color w:val="auto"/>
          <w:sz w:val="24"/>
          <w:szCs w:val="24"/>
        </w:rPr>
      </w:pPr>
      <w:bookmarkStart w:id="21" w:name="_Toc224164531"/>
      <w:r w:rsidRPr="004A059C">
        <w:rPr>
          <w:rFonts w:ascii="Times New Roman" w:hAnsi="Times New Roman" w:cs="Times New Roman"/>
          <w:color w:val="auto"/>
          <w:sz w:val="24"/>
          <w:szCs w:val="24"/>
        </w:rPr>
        <w:t>2.5 JUSTIFICATIVA TÉCNICA E GEOTECNOLÓGICA DA ANÁLISE DE PASSIVOS</w:t>
      </w:r>
      <w:r w:rsidRPr="004A059C">
        <w:rPr>
          <w:rFonts w:ascii="Times New Roman" w:hAnsi="Times New Roman" w:cs="Times New Roman"/>
          <w:color w:val="auto"/>
        </w:rPr>
        <w:t xml:space="preserve"> </w:t>
      </w:r>
      <w:r w:rsidR="00312AA8" w:rsidRPr="000903DF">
        <w:rPr>
          <w:rFonts w:ascii="Times New Roman" w:hAnsi="Times New Roman" w:cs="Times New Roman"/>
          <w:color w:val="auto"/>
          <w:sz w:val="24"/>
          <w:szCs w:val="24"/>
        </w:rPr>
        <w:t>AMBIENTAIS</w:t>
      </w:r>
      <w:bookmarkEnd w:id="21"/>
    </w:p>
    <w:p w14:paraId="55724ED3"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confiabilidade do sensoriamento remoto para a verificação de passivos ambientais e o monitoramento do Cadastro Ambiental Rural (CAR) repousa na alta precisão espacial, no rigor do georreferenciamento e na capacidade de reconstituir cenários históricos através de séries temporais de imagens. Os argumentos técnicos que validam seu uso dividem-se em quatro pilares principais:</w:t>
      </w:r>
    </w:p>
    <w:p w14:paraId="1D46D649" w14:textId="77777777" w:rsidR="00826E92" w:rsidRPr="004A059C" w:rsidRDefault="00826E92" w:rsidP="004A059C">
      <w:pPr>
        <w:pStyle w:val="Ttulo3"/>
        <w:rPr>
          <w:rFonts w:ascii="Times New Roman" w:hAnsi="Times New Roman" w:cs="Times New Roman"/>
          <w:color w:val="auto"/>
          <w:sz w:val="24"/>
          <w:szCs w:val="24"/>
        </w:rPr>
      </w:pPr>
      <w:bookmarkStart w:id="22" w:name="_Toc224164532"/>
      <w:r w:rsidRPr="004A059C">
        <w:rPr>
          <w:rFonts w:ascii="Times New Roman" w:hAnsi="Times New Roman" w:cs="Times New Roman"/>
          <w:b/>
          <w:bCs/>
          <w:color w:val="auto"/>
          <w:sz w:val="24"/>
          <w:szCs w:val="24"/>
        </w:rPr>
        <w:t>2.5.1 Alta resolução e correção geométrica de imagens</w:t>
      </w:r>
      <w:bookmarkEnd w:id="22"/>
    </w:p>
    <w:p w14:paraId="41977BFF"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 xml:space="preserve">Os sistemas oficiais de monitoramento e cálculo de taxas de desmatamento, como o PRODES do Instituto Nacional de Pesquisas Espaciais (INPE), utilizam imagens de satélite </w:t>
      </w:r>
      <w:r w:rsidRPr="00826E92">
        <w:rPr>
          <w:rFonts w:ascii="Times New Roman" w:hAnsi="Times New Roman" w:cs="Times New Roman"/>
        </w:rPr>
        <w:lastRenderedPageBreak/>
        <w:t>essenciais para gerar segurança aos dados. O sistema emprega imagens "da classe Landsat", que possuem resolução espacial na faixa de 20 a 30 metros. A confiabilidade técnica provém do processamento prévio dessas imagens, pois elas:</w:t>
      </w:r>
    </w:p>
    <w:p w14:paraId="6B7CB86E" w14:textId="0EDBFE8C" w:rsidR="00826E92" w:rsidRPr="00826E92" w:rsidRDefault="00826E92" w:rsidP="003D0CAE">
      <w:pPr>
        <w:spacing w:before="240" w:line="360" w:lineRule="auto"/>
        <w:ind w:left="2127"/>
        <w:jc w:val="both"/>
        <w:rPr>
          <w:rFonts w:ascii="Times New Roman" w:hAnsi="Times New Roman" w:cs="Times New Roman"/>
          <w:sz w:val="20"/>
          <w:szCs w:val="20"/>
        </w:rPr>
      </w:pPr>
      <w:r w:rsidRPr="00826E92">
        <w:rPr>
          <w:rFonts w:ascii="Times New Roman" w:hAnsi="Times New Roman" w:cs="Times New Roman"/>
          <w:sz w:val="20"/>
          <w:szCs w:val="20"/>
        </w:rPr>
        <w:t>são disponibilizadas pelos seus provedores com correção geométrica de sistema e refinada pelo uso de pontos de controle e de modelos digitais de elevação do terreno, ou seja, consistem em imagens ortorretificadas no mais alto nível de correção geométrica, prontas para serem cruzadas com bases vetoriais sem necessidade de processamentos adicionais que poderiam gerar distorções. (INPE, 202</w:t>
      </w:r>
      <w:r w:rsidR="009E3361">
        <w:rPr>
          <w:rFonts w:ascii="Times New Roman" w:hAnsi="Times New Roman" w:cs="Times New Roman"/>
          <w:sz w:val="20"/>
          <w:szCs w:val="20"/>
        </w:rPr>
        <w:t>2</w:t>
      </w:r>
      <w:r w:rsidRPr="00826E92">
        <w:rPr>
          <w:rFonts w:ascii="Times New Roman" w:hAnsi="Times New Roman" w:cs="Times New Roman"/>
          <w:sz w:val="20"/>
          <w:szCs w:val="20"/>
        </w:rPr>
        <w:t>).</w:t>
      </w:r>
    </w:p>
    <w:p w14:paraId="2ABC4927" w14:textId="77777777" w:rsidR="00826E92" w:rsidRPr="004A059C" w:rsidRDefault="00826E92" w:rsidP="004A059C">
      <w:pPr>
        <w:pStyle w:val="Ttulo3"/>
        <w:rPr>
          <w:rFonts w:ascii="Times New Roman" w:hAnsi="Times New Roman" w:cs="Times New Roman"/>
          <w:color w:val="auto"/>
          <w:sz w:val="24"/>
          <w:szCs w:val="24"/>
        </w:rPr>
      </w:pPr>
      <w:bookmarkStart w:id="23" w:name="_Toc224164533"/>
      <w:r w:rsidRPr="004A059C">
        <w:rPr>
          <w:rFonts w:ascii="Times New Roman" w:hAnsi="Times New Roman" w:cs="Times New Roman"/>
          <w:b/>
          <w:bCs/>
          <w:color w:val="auto"/>
          <w:sz w:val="24"/>
          <w:szCs w:val="24"/>
        </w:rPr>
        <w:t>2.5.2 Reconstituição histórica via séries temporais (marco de 2008)</w:t>
      </w:r>
      <w:bookmarkEnd w:id="23"/>
    </w:p>
    <w:p w14:paraId="50113B75" w14:textId="00F89892"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Para definir se um passivo ambiental se enquadra na regra de "área rural consolidada" </w:t>
      </w:r>
      <w:r>
        <w:rPr>
          <w:rFonts w:ascii="Times New Roman" w:hAnsi="Times New Roman" w:cs="Times New Roman"/>
        </w:rPr>
        <w:t>(</w:t>
      </w:r>
      <w:r w:rsidRPr="00FF32BB">
        <w:rPr>
          <w:rFonts w:ascii="Times New Roman" w:hAnsi="Times New Roman" w:cs="Times New Roman"/>
        </w:rPr>
        <w:t xml:space="preserve">categorizada pela lei como a "área de imóvel rural com ocupação antrópica preexistente a 22 de julho de 2008" </w:t>
      </w:r>
      <w:r>
        <w:rPr>
          <w:rFonts w:ascii="Times New Roman" w:hAnsi="Times New Roman" w:cs="Times New Roman"/>
        </w:rPr>
        <w:t>[</w:t>
      </w:r>
      <w:r w:rsidRPr="00FF32BB">
        <w:rPr>
          <w:rFonts w:ascii="Times New Roman" w:hAnsi="Times New Roman" w:cs="Times New Roman"/>
        </w:rPr>
        <w:t>BRASIL, 2012</w:t>
      </w:r>
      <w:r>
        <w:rPr>
          <w:rFonts w:ascii="Times New Roman" w:hAnsi="Times New Roman" w:cs="Times New Roman"/>
        </w:rPr>
        <w:t>])</w:t>
      </w:r>
      <w:r w:rsidRPr="00FF32BB">
        <w:rPr>
          <w:rFonts w:ascii="Times New Roman" w:hAnsi="Times New Roman" w:cs="Times New Roman"/>
        </w:rPr>
        <w:t>, a reconstituição histórica deixou de ser uma mera facilidade tecnológica para se consolidar como um autêntico imperativo legal e probatório.</w:t>
      </w:r>
    </w:p>
    <w:p w14:paraId="4022E307"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No âmbito do Poder Judiciário, o Superior Tribunal de Justiça (STJ) sedimentou o entendimento de que o sensoriamento remoto possui alto valor de prova documental. Sob a égide do artigo 405 do Código de Processo Civil de 2015, a jurisprudência da Corte estabelece que imagens de satélite e mapas elaborados por órgãos do Estado enquadram-se no conceito de documento público, possuindo "presunção (relativa) de legalidade, legitimidade e veracidade" que inverte o ônus da prova contra o infrator (BRASIL, 2016). O próprio STJ destaca que, "em época de grandes avanços tecnológicos, configuraria despropósito ou formalismo supérfluo negar validade plena a imagens de satélite e mapas elaborados a partir delas" (BRASIL, 2017), tornando essa tecnologia prova hábil e suficiente para constatar a degradação ambiental histórica.</w:t>
      </w:r>
    </w:p>
    <w:p w14:paraId="156C501F" w14:textId="77777777" w:rsidR="00FF32BB" w:rsidRP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Além do imperativo jurisprudencial, a esfera administrativa ratifica essa obrigatoriedade. Atos oficiais, como a Instrução Normativa nº 08/2015 da Secretaria de Estado de Meio Ambiente e Sustentabilidade do Pará (SEMAS/PA), condicionam a emissão de autorizações e o reconhecimento do passivo à apresentação de provas tecnológicas. As normativas exigem expressamente que a estimativa de idade e uso pretérito da área seja comprovada "a partir de uma série temporal anual de imagens de satélite, identificando claramente o primeiro ano em que a área apresentou cobertura completa de vegetação em regeneração" (PARÁ, 2015).</w:t>
      </w:r>
    </w:p>
    <w:p w14:paraId="32422AA0" w14:textId="77777777" w:rsidR="00FF32BB" w:rsidRDefault="00FF32BB" w:rsidP="003D0CAE">
      <w:pPr>
        <w:spacing w:after="0" w:line="360" w:lineRule="auto"/>
        <w:ind w:firstLine="709"/>
        <w:jc w:val="both"/>
        <w:rPr>
          <w:rFonts w:ascii="Times New Roman" w:hAnsi="Times New Roman" w:cs="Times New Roman"/>
        </w:rPr>
      </w:pPr>
      <w:r w:rsidRPr="00FF32BB">
        <w:rPr>
          <w:rFonts w:ascii="Times New Roman" w:hAnsi="Times New Roman" w:cs="Times New Roman"/>
        </w:rPr>
        <w:t xml:space="preserve">A aplicação mandatória desse rigor em geotecnologias funciona como principal barreira probatória contra fraudes no Cadastro Ambiental Rural (CAR). Exige-se que o desmatamento histórico esteja previamente mapeado em sistemas oficiais, sendo "vedada autorização para o </w:t>
      </w:r>
      <w:r w:rsidRPr="00FF32BB">
        <w:rPr>
          <w:rFonts w:ascii="Times New Roman" w:hAnsi="Times New Roman" w:cs="Times New Roman"/>
        </w:rPr>
        <w:lastRenderedPageBreak/>
        <w:t>exercício da limpeza em área desmatada após 22 de julho de 2008" e exigindo que a conversão do solo esteja inequivocamente indicada no PRODES/INPE (PARÁ, 2015).</w:t>
      </w:r>
    </w:p>
    <w:p w14:paraId="38BCD5EC" w14:textId="004A022D" w:rsidR="00826E92" w:rsidRPr="004A059C" w:rsidRDefault="00826E92" w:rsidP="004A059C">
      <w:pPr>
        <w:pStyle w:val="Ttulo3"/>
        <w:rPr>
          <w:rFonts w:ascii="Times New Roman" w:hAnsi="Times New Roman" w:cs="Times New Roman"/>
          <w:color w:val="auto"/>
          <w:sz w:val="24"/>
          <w:szCs w:val="24"/>
        </w:rPr>
      </w:pPr>
      <w:bookmarkStart w:id="24" w:name="_Toc224164534"/>
      <w:r w:rsidRPr="004A059C">
        <w:rPr>
          <w:rFonts w:ascii="Times New Roman" w:hAnsi="Times New Roman" w:cs="Times New Roman"/>
          <w:b/>
          <w:bCs/>
          <w:color w:val="auto"/>
          <w:sz w:val="24"/>
          <w:szCs w:val="24"/>
        </w:rPr>
        <w:t>2.5.3 Cálculo automatizado e monitoramento no CAR/SICAR</w:t>
      </w:r>
      <w:bookmarkEnd w:id="24"/>
    </w:p>
    <w:p w14:paraId="3F67A29D" w14:textId="77777777" w:rsidR="00826E92" w:rsidRPr="00826E92" w:rsidRDefault="00826E92" w:rsidP="003D0CAE">
      <w:pPr>
        <w:spacing w:after="0" w:line="360" w:lineRule="auto"/>
        <w:ind w:firstLine="709"/>
        <w:jc w:val="both"/>
        <w:rPr>
          <w:rFonts w:ascii="Times New Roman" w:hAnsi="Times New Roman" w:cs="Times New Roman"/>
        </w:rPr>
      </w:pPr>
      <w:r w:rsidRPr="00826E92">
        <w:rPr>
          <w:rFonts w:ascii="Times New Roman" w:hAnsi="Times New Roman" w:cs="Times New Roman"/>
        </w:rPr>
        <w:t>A tecnologia é a base de funcionamento do Sistema de Cadastro Rural Ambiental (SICAR). A legislação obriga que o CAR delineie a Reserva Legal e a Área de Preservação Permanente (APP) "georreferenciadas em imagens de satélite [...] para servir de base para o monitoramento do cumprimento" (PORTO; SANTOS, 2017, p. 931). O uso dessas geotecnologias aliadas ao banco de dados eletrônico confere alta confiabilidade ao sistema, permitindo o cálculo dos passivos legais automaticamente "a partir do carregamento dos limites georreferenciados das propriedades e demarcação dos corpos d’água e remanescentes florestais".</w:t>
      </w:r>
    </w:p>
    <w:p w14:paraId="05D63FC0" w14:textId="77777777" w:rsidR="00826E92" w:rsidRPr="004A059C" w:rsidRDefault="00826E92" w:rsidP="004A059C">
      <w:pPr>
        <w:pStyle w:val="Ttulo3"/>
        <w:rPr>
          <w:rFonts w:ascii="Times New Roman" w:hAnsi="Times New Roman" w:cs="Times New Roman"/>
          <w:color w:val="auto"/>
          <w:sz w:val="24"/>
          <w:szCs w:val="24"/>
        </w:rPr>
      </w:pPr>
      <w:bookmarkStart w:id="25" w:name="_Toc224164535"/>
      <w:r w:rsidRPr="004A059C">
        <w:rPr>
          <w:rFonts w:ascii="Times New Roman" w:hAnsi="Times New Roman" w:cs="Times New Roman"/>
          <w:b/>
          <w:bCs/>
          <w:color w:val="auto"/>
          <w:sz w:val="24"/>
          <w:szCs w:val="24"/>
        </w:rPr>
        <w:t>2.5.4 Uso de inteligência artificial e imagens de altíssima resolução</w:t>
      </w:r>
      <w:bookmarkEnd w:id="25"/>
    </w:p>
    <w:p w14:paraId="5CC8F625"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A iniciativa MapBiomas Alerta surgiu com o intuito de agregar valor aos sistemas já existentes de monitoramento do desmatamento no Brasil, visando verificar, validar e refinar cada alerta de desmatamento para determinar seu grau de regularidade legal (MAPBIOMAS, 2022). Para que essa precisão seja alcançada, os alertas passam por um processo de agregação e refinamento a partir da análise de imagens de satélite diárias da constelação PlanetScope, que possuem resolução espacial de 3 metros (MAPBIOMAS, 2022).</w:t>
      </w:r>
    </w:p>
    <w:p w14:paraId="2497DFC1" w14:textId="77777777" w:rsidR="00A67E14" w:rsidRPr="00A67E14" w:rsidRDefault="00A67E14" w:rsidP="003D0CAE">
      <w:pPr>
        <w:spacing w:after="0" w:line="360" w:lineRule="auto"/>
        <w:ind w:firstLine="709"/>
        <w:jc w:val="both"/>
        <w:rPr>
          <w:rFonts w:ascii="Times New Roman" w:hAnsi="Times New Roman" w:cs="Times New Roman"/>
        </w:rPr>
      </w:pPr>
      <w:r w:rsidRPr="00A67E14">
        <w:rPr>
          <w:rFonts w:ascii="Times New Roman" w:hAnsi="Times New Roman" w:cs="Times New Roman"/>
        </w:rPr>
        <w:t xml:space="preserve">A robustez técnica desse processo é garantida pela automação, na qual a geração do polígono refinado é realizada por meio de um algoritmo de classificação supervisionada denominado </w:t>
      </w:r>
      <w:r w:rsidRPr="00A67E14">
        <w:rPr>
          <w:rFonts w:ascii="Times New Roman" w:hAnsi="Times New Roman" w:cs="Times New Roman"/>
          <w:i/>
          <w:iCs/>
        </w:rPr>
        <w:t>Random Forest</w:t>
      </w:r>
      <w:r w:rsidRPr="00A67E14">
        <w:rPr>
          <w:rFonts w:ascii="Times New Roman" w:hAnsi="Times New Roman" w:cs="Times New Roman"/>
        </w:rPr>
        <w:t>, processado na plataforma Google Earth Engine (GEE) (MAPBIOMAS, 2022). Por fim, os polígonos dos alertas são geoprocessados e cruzados geograficamente com informações espaciais fundiárias, incluindo as áreas registradas no Cadastro Ambiental Rural (CAR) e suas respectivas delimitações de Áreas de Preservação Permanente (APP) e Reserva Legal (RL) (MAPBIOMAS, 2022). Esse cruzamento qualifica os alertas e permite a geração de laudos técnicos fundamentados, essenciais para as instituições de fiscalização (MAPBIOMAS, 2022).</w:t>
      </w:r>
    </w:p>
    <w:p w14:paraId="141B1D02" w14:textId="77777777" w:rsidR="00DD24CC" w:rsidRPr="004A059C" w:rsidRDefault="00DD24CC" w:rsidP="004A059C">
      <w:pPr>
        <w:pStyle w:val="Ttulo1"/>
        <w:rPr>
          <w:rFonts w:cs="Times New Roman"/>
        </w:rPr>
      </w:pPr>
      <w:bookmarkStart w:id="26" w:name="_Toc224164536"/>
      <w:r w:rsidRPr="004A059C">
        <w:rPr>
          <w:rFonts w:cs="Times New Roman"/>
        </w:rPr>
        <w:t>3 METODOLOGIA</w:t>
      </w:r>
      <w:bookmarkEnd w:id="26"/>
    </w:p>
    <w:p w14:paraId="221123E4" w14:textId="134FA9E5"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Neste capítulo, detalham-se os procedimentos técnicos, as bases de dados e as ferramentas computacionais utilizadas para a quantificação do impacto da redução da Reserva Legal no Estado do Pará. A abordagem metodológica fundamenta-se na integração de grandes volumes de dados geoespaciais (</w:t>
      </w:r>
      <w:r w:rsidRPr="00B55AD7">
        <w:rPr>
          <w:rFonts w:ascii="Times New Roman" w:hAnsi="Times New Roman" w:cs="Times New Roman"/>
          <w:i/>
          <w:iCs/>
        </w:rPr>
        <w:t>Big Data</w:t>
      </w:r>
      <w:r w:rsidRPr="00B55AD7">
        <w:rPr>
          <w:rFonts w:ascii="Times New Roman" w:hAnsi="Times New Roman" w:cs="Times New Roman"/>
        </w:rPr>
        <w:t>) e no processamento em nuvem.</w:t>
      </w:r>
    </w:p>
    <w:p w14:paraId="6F34836E" w14:textId="558D7492" w:rsidR="00DD24CC" w:rsidRPr="004A059C" w:rsidRDefault="004A059C" w:rsidP="004A059C">
      <w:pPr>
        <w:pStyle w:val="Ttulo2"/>
        <w:rPr>
          <w:rFonts w:ascii="Times New Roman" w:hAnsi="Times New Roman" w:cs="Times New Roman"/>
          <w:color w:val="auto"/>
          <w:sz w:val="24"/>
          <w:szCs w:val="24"/>
        </w:rPr>
      </w:pPr>
      <w:bookmarkStart w:id="27" w:name="_Toc224164537"/>
      <w:r w:rsidRPr="004A059C">
        <w:rPr>
          <w:rFonts w:ascii="Times New Roman" w:hAnsi="Times New Roman" w:cs="Times New Roman"/>
          <w:color w:val="auto"/>
          <w:sz w:val="24"/>
          <w:szCs w:val="24"/>
        </w:rPr>
        <w:lastRenderedPageBreak/>
        <w:t>3.1 ÁREA DE ESTUDO E BASE DE DADOS</w:t>
      </w:r>
      <w:bookmarkEnd w:id="27"/>
    </w:p>
    <w:p w14:paraId="5D69AAB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 universo de análise deste estudo abrange o território do Estado do Pará, com foco nos imóveis rurais que possuem área total superior a 4 (quatro) módulos fiscais (MF). A classificação do tamanho dos imóveis e a identificação municipal são extraídas diretamente dos atributos tabulares da base fornecida, cujos parâmetros de Módulo Fiscal seguem os índices fixados pelo Instituto Nacional de Colonização e Reforma Agrária (INCRA) para cada jurisdição municipal.</w:t>
      </w:r>
    </w:p>
    <w:p w14:paraId="39C62CA1"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Esta categorização fundamenta-se nos critérios de classificação de imóveis rurais estabelecidos pela legislação federal, que define como média propriedade o imóvel rural com área superior a 4 (quatro) e até 15 (quinze) módulos fiscais, e como grande propriedade o imóvel com área superior a 15 (quinze) módulos fiscais (BRASIL, 1993).</w:t>
      </w:r>
    </w:p>
    <w:p w14:paraId="02AAFEA6"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Os dados vetoriais do Cadastro Ambiental Rural (CAR) utilizados compõem a base institucional do IDEFLOR-Bio, disponibilizada pela Secretaria de Estado de Meio Ambiente e Sustentabilidade do Pará (SEMAS/PA) no âmbito do Processo Administrativo Eletrônico (PAE) nº 2025/2587584. Esta base fornece os limites georreferenciados necessários para a verificação do cumprimento da Reserva Legal conforme as diretrizes da Lei nº 12.651/2012.</w:t>
      </w:r>
    </w:p>
    <w:p w14:paraId="6787DA6D" w14:textId="77777777" w:rsid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Para a avaliação do uso e cobertura da terra, integraram-se dados das coleções 9 e 10 do projeto MapBiomas. A Coleção 9, baseada em sensores </w:t>
      </w:r>
      <w:r w:rsidRPr="00B55AD7">
        <w:rPr>
          <w:rFonts w:ascii="Times New Roman" w:hAnsi="Times New Roman" w:cs="Times New Roman"/>
          <w:i/>
          <w:iCs/>
        </w:rPr>
        <w:t>Landsat</w:t>
      </w:r>
      <w:r w:rsidRPr="00B55AD7">
        <w:rPr>
          <w:rFonts w:ascii="Times New Roman" w:hAnsi="Times New Roman" w:cs="Times New Roman"/>
        </w:rPr>
        <w:t xml:space="preserve"> com resolução de 30 metros, foi aplicada na validação do marco temporal de 22 de julho de 2008, requisito para a identificação de áreas rurais consolidadas. A Coleção 10 (</w:t>
      </w:r>
      <w:r w:rsidRPr="00B55AD7">
        <w:rPr>
          <w:rFonts w:ascii="Times New Roman" w:hAnsi="Times New Roman" w:cs="Times New Roman"/>
          <w:i/>
          <w:iCs/>
        </w:rPr>
        <w:t>Sentinel-2 Beta</w:t>
      </w:r>
      <w:r w:rsidRPr="00B55AD7">
        <w:rPr>
          <w:rFonts w:ascii="Times New Roman" w:hAnsi="Times New Roman" w:cs="Times New Roman"/>
        </w:rPr>
        <w:t>), com resolução de 10 metros, foi utilizada para o diagnóstico da cobertura vegetal no ano de 2022.</w:t>
      </w:r>
    </w:p>
    <w:p w14:paraId="09CE8381" w14:textId="6D5906DB" w:rsidR="00B55AD7" w:rsidRPr="004A059C" w:rsidRDefault="004A059C" w:rsidP="004A059C">
      <w:pPr>
        <w:pStyle w:val="Ttulo2"/>
        <w:rPr>
          <w:rFonts w:ascii="Times New Roman" w:hAnsi="Times New Roman" w:cs="Times New Roman"/>
          <w:color w:val="auto"/>
          <w:sz w:val="24"/>
          <w:szCs w:val="24"/>
        </w:rPr>
      </w:pPr>
      <w:bookmarkStart w:id="28" w:name="_Toc224164538"/>
      <w:r w:rsidRPr="004A059C">
        <w:rPr>
          <w:rFonts w:ascii="Times New Roman" w:hAnsi="Times New Roman" w:cs="Times New Roman"/>
          <w:color w:val="auto"/>
          <w:sz w:val="24"/>
          <w:szCs w:val="24"/>
        </w:rPr>
        <w:t>3.2 INTEGRAÇÃO E HIGIENIZAÇÃO DE BIG DATA (ETL)</w:t>
      </w:r>
      <w:bookmarkEnd w:id="28"/>
    </w:p>
    <w:p w14:paraId="480DF9B7"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O procedimento de Extração, Transformação e Carga (ETL) foi executado em linguagem </w:t>
      </w:r>
      <w:r w:rsidRPr="00B55AD7">
        <w:rPr>
          <w:rFonts w:ascii="Times New Roman" w:hAnsi="Times New Roman" w:cs="Times New Roman"/>
          <w:i/>
          <w:iCs/>
        </w:rPr>
        <w:t>Python</w:t>
      </w:r>
      <w:r w:rsidRPr="00B55AD7">
        <w:rPr>
          <w:rFonts w:ascii="Times New Roman" w:hAnsi="Times New Roman" w:cs="Times New Roman"/>
        </w:rPr>
        <w:t xml:space="preserve"> 3.10, utilizando um servidor de banco de dados </w:t>
      </w:r>
      <w:r w:rsidRPr="00B55AD7">
        <w:rPr>
          <w:rFonts w:ascii="Times New Roman" w:hAnsi="Times New Roman" w:cs="Times New Roman"/>
          <w:i/>
          <w:iCs/>
        </w:rPr>
        <w:t>PostgreSQL</w:t>
      </w:r>
      <w:r w:rsidRPr="00B55AD7">
        <w:rPr>
          <w:rFonts w:ascii="Times New Roman" w:hAnsi="Times New Roman" w:cs="Times New Roman"/>
        </w:rPr>
        <w:t xml:space="preserve"> 14 com a extensão espacial </w:t>
      </w:r>
      <w:r w:rsidRPr="00B55AD7">
        <w:rPr>
          <w:rFonts w:ascii="Times New Roman" w:hAnsi="Times New Roman" w:cs="Times New Roman"/>
          <w:i/>
          <w:iCs/>
        </w:rPr>
        <w:t>PostGIS</w:t>
      </w:r>
      <w:r w:rsidRPr="00B55AD7">
        <w:rPr>
          <w:rFonts w:ascii="Times New Roman" w:hAnsi="Times New Roman" w:cs="Times New Roman"/>
        </w:rPr>
        <w:t xml:space="preserve"> 3.2. A conexão ao banco de dados ocorreu via biblioteca </w:t>
      </w:r>
      <w:r w:rsidRPr="00B55AD7">
        <w:rPr>
          <w:rFonts w:ascii="Times New Roman" w:hAnsi="Times New Roman" w:cs="Times New Roman"/>
          <w:i/>
          <w:iCs/>
        </w:rPr>
        <w:t>SQLAlchemy</w:t>
      </w:r>
      <w:r w:rsidRPr="00B55AD7">
        <w:rPr>
          <w:rFonts w:ascii="Times New Roman" w:hAnsi="Times New Roman" w:cs="Times New Roman"/>
        </w:rPr>
        <w:t xml:space="preserve"> com o </w:t>
      </w:r>
      <w:r w:rsidRPr="00B55AD7">
        <w:rPr>
          <w:rFonts w:ascii="Times New Roman" w:hAnsi="Times New Roman" w:cs="Times New Roman"/>
          <w:i/>
          <w:iCs/>
        </w:rPr>
        <w:t>driver psycopg2-binary</w:t>
      </w:r>
      <w:r w:rsidRPr="00B55AD7">
        <w:rPr>
          <w:rFonts w:ascii="Times New Roman" w:hAnsi="Times New Roman" w:cs="Times New Roman"/>
        </w:rPr>
        <w:t>, permitindo a consulta direta à tabela institucional. A rotina de extração aplicou um filtro condicional para isolar exclusivamente os registros categorizados como "Acima de 4MF".</w:t>
      </w:r>
    </w:p>
    <w:p w14:paraId="5B31BBEB" w14:textId="77777777" w:rsidR="00B55AD7" w:rsidRPr="00B55AD7"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Durante a etapa de transformação, processou-se a limpeza das geometrias para assegurar a compatibilidade com o processamento em nuvem. A tabela original continha dois campos geométricos (polígonos e pontos representativos); como o formato </w:t>
      </w:r>
      <w:r w:rsidRPr="00B55AD7">
        <w:rPr>
          <w:rFonts w:ascii="Times New Roman" w:hAnsi="Times New Roman" w:cs="Times New Roman"/>
          <w:i/>
          <w:iCs/>
        </w:rPr>
        <w:t>ESRI Shapefile</w:t>
      </w:r>
      <w:r w:rsidRPr="00B55AD7">
        <w:rPr>
          <w:rFonts w:ascii="Times New Roman" w:hAnsi="Times New Roman" w:cs="Times New Roman"/>
        </w:rPr>
        <w:t xml:space="preserve"> admite apenas um tipo geométrico por arquivo, a coluna de pontos foi removida. Adicionalmente, realizou-se a higienização dos metadados através do truncamento dos nomes das colunas e a </w:t>
      </w:r>
      <w:r w:rsidRPr="00B55AD7">
        <w:rPr>
          <w:rFonts w:ascii="Times New Roman" w:hAnsi="Times New Roman" w:cs="Times New Roman"/>
        </w:rPr>
        <w:lastRenderedPageBreak/>
        <w:t xml:space="preserve">conversão de tipos de dados para evitar inconsistências durante a ingestão na plataforma </w:t>
      </w:r>
      <w:r w:rsidRPr="00B55AD7">
        <w:rPr>
          <w:rFonts w:ascii="Times New Roman" w:hAnsi="Times New Roman" w:cs="Times New Roman"/>
          <w:i/>
          <w:iCs/>
        </w:rPr>
        <w:t>Google Earth Engine</w:t>
      </w:r>
      <w:r w:rsidRPr="00B55AD7">
        <w:rPr>
          <w:rFonts w:ascii="Times New Roman" w:hAnsi="Times New Roman" w:cs="Times New Roman"/>
        </w:rPr>
        <w:t xml:space="preserve"> (GEE).</w:t>
      </w:r>
    </w:p>
    <w:p w14:paraId="76F61452" w14:textId="27517EF4" w:rsidR="00B55AD7" w:rsidRPr="00DD24CC" w:rsidRDefault="00B55AD7" w:rsidP="003D0CAE">
      <w:pPr>
        <w:spacing w:after="0" w:line="360" w:lineRule="auto"/>
        <w:ind w:firstLine="709"/>
        <w:jc w:val="both"/>
        <w:rPr>
          <w:rFonts w:ascii="Times New Roman" w:hAnsi="Times New Roman" w:cs="Times New Roman"/>
        </w:rPr>
      </w:pPr>
      <w:r w:rsidRPr="00B55AD7">
        <w:rPr>
          <w:rFonts w:ascii="Times New Roman" w:hAnsi="Times New Roman" w:cs="Times New Roman"/>
        </w:rPr>
        <w:t xml:space="preserve">A carga dos dados consistiu na exportação do </w:t>
      </w:r>
      <w:r w:rsidRPr="00B55AD7">
        <w:rPr>
          <w:rFonts w:ascii="Times New Roman" w:hAnsi="Times New Roman" w:cs="Times New Roman"/>
          <w:i/>
          <w:iCs/>
        </w:rPr>
        <w:t>GeoDataFrame</w:t>
      </w:r>
      <w:r w:rsidRPr="00B55AD7">
        <w:rPr>
          <w:rFonts w:ascii="Times New Roman" w:hAnsi="Times New Roman" w:cs="Times New Roman"/>
        </w:rPr>
        <w:t xml:space="preserve"> utilizando o motor </w:t>
      </w:r>
      <w:r w:rsidRPr="00B55AD7">
        <w:rPr>
          <w:rFonts w:ascii="Times New Roman" w:hAnsi="Times New Roman" w:cs="Times New Roman"/>
          <w:i/>
          <w:iCs/>
        </w:rPr>
        <w:t>pyogrio</w:t>
      </w:r>
      <w:r w:rsidRPr="00B55AD7">
        <w:rPr>
          <w:rFonts w:ascii="Times New Roman" w:hAnsi="Times New Roman" w:cs="Times New Roman"/>
        </w:rPr>
        <w:t xml:space="preserve"> pela sua superioridade em performance de escrita vetorial. Os arquivos resultantes foram consolidados para </w:t>
      </w:r>
      <w:r w:rsidRPr="00B55AD7">
        <w:rPr>
          <w:rFonts w:ascii="Times New Roman" w:hAnsi="Times New Roman" w:cs="Times New Roman"/>
          <w:i/>
          <w:iCs/>
        </w:rPr>
        <w:t>upload</w:t>
      </w:r>
      <w:r w:rsidRPr="00B55AD7">
        <w:rPr>
          <w:rFonts w:ascii="Times New Roman" w:hAnsi="Times New Roman" w:cs="Times New Roman"/>
        </w:rPr>
        <w:t xml:space="preserve"> como </w:t>
      </w:r>
      <w:r w:rsidRPr="00B55AD7">
        <w:rPr>
          <w:rFonts w:ascii="Times New Roman" w:hAnsi="Times New Roman" w:cs="Times New Roman"/>
          <w:i/>
          <w:iCs/>
        </w:rPr>
        <w:t>Asset</w:t>
      </w:r>
      <w:r w:rsidRPr="00B55AD7">
        <w:rPr>
          <w:rFonts w:ascii="Times New Roman" w:hAnsi="Times New Roman" w:cs="Times New Roman"/>
        </w:rPr>
        <w:t xml:space="preserve"> no GEE. Todo o código-fonte desenvolvido para esta automação está documentado e hospedado em repositório público do projeto.</w:t>
      </w:r>
    </w:p>
    <w:p w14:paraId="7DB81075" w14:textId="24F0C7C2" w:rsidR="00B402DF" w:rsidRPr="004A059C" w:rsidRDefault="004A059C" w:rsidP="004A059C">
      <w:pPr>
        <w:pStyle w:val="Ttulo2"/>
        <w:rPr>
          <w:rFonts w:ascii="Times New Roman" w:hAnsi="Times New Roman" w:cs="Times New Roman"/>
          <w:color w:val="auto"/>
          <w:sz w:val="24"/>
          <w:szCs w:val="24"/>
        </w:rPr>
      </w:pPr>
      <w:bookmarkStart w:id="29" w:name="_Toc224164539"/>
      <w:r w:rsidRPr="004A059C">
        <w:rPr>
          <w:rFonts w:ascii="Times New Roman" w:hAnsi="Times New Roman" w:cs="Times New Roman"/>
          <w:color w:val="auto"/>
          <w:sz w:val="24"/>
          <w:szCs w:val="24"/>
        </w:rPr>
        <w:t>3.3 PROCESSAMENTO EM NUVEM E MODELAGEM DE CENÁRIOS</w:t>
      </w:r>
      <w:bookmarkEnd w:id="29"/>
    </w:p>
    <w:p w14:paraId="195C4920"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 xml:space="preserve">Os dados higienizados e carregados como </w:t>
      </w:r>
      <w:r w:rsidRPr="00B402DF">
        <w:rPr>
          <w:rFonts w:ascii="Times New Roman" w:hAnsi="Times New Roman" w:cs="Times New Roman"/>
          <w:i/>
          <w:iCs/>
        </w:rPr>
        <w:t>Asset</w:t>
      </w:r>
      <w:r w:rsidRPr="00B402DF">
        <w:rPr>
          <w:rFonts w:ascii="Times New Roman" w:hAnsi="Times New Roman" w:cs="Times New Roman"/>
        </w:rPr>
        <w:t xml:space="preserve"> foram processados através de algoritmos de redução zonal (</w:t>
      </w:r>
      <w:r w:rsidRPr="00B402DF">
        <w:rPr>
          <w:rFonts w:ascii="Times New Roman" w:hAnsi="Times New Roman" w:cs="Times New Roman"/>
          <w:i/>
          <w:iCs/>
        </w:rPr>
        <w:t>Zonal Statistics</w:t>
      </w:r>
      <w:r w:rsidRPr="00B402DF">
        <w:rPr>
          <w:rFonts w:ascii="Times New Roman" w:hAnsi="Times New Roman" w:cs="Times New Roman"/>
        </w:rPr>
        <w:t>). Inicialmente, aplicou-se um recorte espacial (</w:t>
      </w:r>
      <w:r w:rsidRPr="00B402DF">
        <w:rPr>
          <w:rFonts w:ascii="Times New Roman" w:hAnsi="Times New Roman" w:cs="Times New Roman"/>
          <w:i/>
          <w:iCs/>
        </w:rPr>
        <w:t>clip</w:t>
      </w:r>
      <w:r w:rsidRPr="00B402DF">
        <w:rPr>
          <w:rFonts w:ascii="Times New Roman" w:hAnsi="Times New Roman" w:cs="Times New Roman"/>
        </w:rPr>
        <w:t>) utilizando o limite político-administrativo do Estado do Pará para otimizar a performance computacional e garantir o foco na jurisdição de interesse. O diagnóstico de vegetação nativa foi realizado mediante o mascaramento das classes de cobertura florestal e não florestal (Classes 3, 4, 5, 11, 12 e 32 do MapBiomas), gerando camadas binárias de presença ou ausência de vegetação para os anos de 2008 e 2022.</w:t>
      </w:r>
    </w:p>
    <w:p w14:paraId="046E0468" w14:textId="454E0C2E"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 xml:space="preserve">A operação de cruzamento espacial foi executada por meio da função reduceRegions, utilizando uma escala de 30 metros para manter a compatibilidade com o marco temporal de 2008. Para cada polígono de imóvel rural, o algoritmo calculou a soma dos pixels de vegetação nativa, convertendo o resultado para hectares através do produto da contagem de pixels pela área unitária de cada pixel </w:t>
      </w:r>
      <m:oMath>
        <m:d>
          <m:dPr>
            <m:ctrlPr>
              <w:rPr>
                <w:rFonts w:ascii="Cambria Math" w:hAnsi="Cambria Math" w:cs="Times New Roman"/>
                <w:i/>
              </w:rPr>
            </m:ctrlPr>
          </m:dPr>
          <m:e>
            <m:r>
              <w:rPr>
                <w:rFonts w:ascii="Cambria Math" w:hAnsi="Cambria Math" w:cs="Times New Roman"/>
              </w:rPr>
              <m:t>ee.Image.pixelArea</m:t>
            </m:r>
            <m:d>
              <m:dPr>
                <m:ctrlPr>
                  <w:rPr>
                    <w:rFonts w:ascii="Cambria Math" w:hAnsi="Cambria Math" w:cs="Times New Roman"/>
                    <w:i/>
                  </w:rPr>
                </m:ctrlPr>
              </m:dPr>
              <m:e/>
            </m:d>
          </m:e>
        </m:d>
        <m:r>
          <w:rPr>
            <w:rFonts w:ascii="Cambria Math" w:hAnsi="Cambria Math" w:cs="Times New Roman"/>
          </w:rPr>
          <m:t>.</m:t>
        </m:r>
      </m:oMath>
      <w:r w:rsidRPr="00B402DF">
        <w:rPr>
          <w:rFonts w:ascii="Times New Roman" w:hAnsi="Times New Roman" w:cs="Times New Roman"/>
        </w:rPr>
        <w:t>Devido à origem dos dados tabulares provenientes de sistemas locais (DBeaver/PostgreSQL), implementou-se uma rotina de tratamento de tipos no GEE para converter cadeias de caracteres (</w:t>
      </w:r>
      <w:r w:rsidRPr="00B402DF">
        <w:rPr>
          <w:rFonts w:ascii="Times New Roman" w:hAnsi="Times New Roman" w:cs="Times New Roman"/>
          <w:i/>
          <w:iCs/>
        </w:rPr>
        <w:t>Strings</w:t>
      </w:r>
      <w:r w:rsidRPr="00B402DF">
        <w:rPr>
          <w:rFonts w:ascii="Times New Roman" w:hAnsi="Times New Roman" w:cs="Times New Roman"/>
        </w:rPr>
        <w:t>) em valores numéricos (</w:t>
      </w:r>
      <w:r w:rsidRPr="00B402DF">
        <w:rPr>
          <w:rFonts w:ascii="Times New Roman" w:hAnsi="Times New Roman" w:cs="Times New Roman"/>
          <w:i/>
          <w:iCs/>
        </w:rPr>
        <w:t>Numbers</w:t>
      </w:r>
      <w:r w:rsidRPr="00B402DF">
        <w:rPr>
          <w:rFonts w:ascii="Times New Roman" w:hAnsi="Times New Roman" w:cs="Times New Roman"/>
        </w:rPr>
        <w:t>), corrigindo a divergência entre o separador decimal de vírgula e o padrão de ponto exigido pelo motor de cálculo da plataforma.</w:t>
      </w:r>
    </w:p>
    <w:p w14:paraId="0BABAA9A" w14:textId="77777777" w:rsidR="00B402DF" w:rsidRPr="00B402DF" w:rsidRDefault="00B402DF" w:rsidP="003D0CAE">
      <w:pPr>
        <w:spacing w:after="0" w:line="360" w:lineRule="auto"/>
        <w:ind w:firstLine="709"/>
        <w:jc w:val="both"/>
        <w:rPr>
          <w:rFonts w:ascii="Times New Roman" w:hAnsi="Times New Roman" w:cs="Times New Roman"/>
        </w:rPr>
      </w:pPr>
      <w:r w:rsidRPr="00B402DF">
        <w:rPr>
          <w:rFonts w:ascii="Times New Roman" w:hAnsi="Times New Roman" w:cs="Times New Roman"/>
        </w:rPr>
        <w:t>A modelagem matemática dos cenários de conformidade ambiental seguiu a lógica de comparação entre a exigência padrão e a flexibilização permitida pelo Artigo 12 da Lei nº 12.651/2012. As equações foram estruturadas da seguinte forma:</w:t>
      </w:r>
    </w:p>
    <w:p w14:paraId="53BC9EDA" w14:textId="77777777"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Padrão (80%):</w:t>
      </w:r>
    </w:p>
    <w:p w14:paraId="4FFBEDAB" w14:textId="248E7ABF"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0.8</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1C8F7B67" w14:textId="0BAB9190"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Déficit no Cenário Flexibilizado (50%):</w:t>
      </w:r>
    </w:p>
    <w:p w14:paraId="4AF3AB92" w14:textId="285416F6" w:rsidR="00F56739" w:rsidRP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r>
                        <m:rPr>
                          <m:sty m:val="p"/>
                        </m:rPr>
                        <w:rPr>
                          <w:rFonts w:ascii="Cambria Math" w:hAnsi="Cambria Math" w:cs="Times New Roman"/>
                        </w:rPr>
                        <m:t>×</m:t>
                      </m:r>
                      <m:r>
                        <w:rPr>
                          <w:rFonts w:ascii="Cambria Math" w:hAnsi="Cambria Math" w:cs="Times New Roman"/>
                        </w:rPr>
                        <m:t>0.5</m:t>
                      </m:r>
                    </m:e>
                  </m:d>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43BB8F67" w14:textId="5D100744"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lastRenderedPageBreak/>
        <w:t>Identificação do Passivo Não Consolidado:</w:t>
      </w:r>
    </w:p>
    <w:p w14:paraId="24F80D46" w14:textId="5BE27979" w:rsidR="00F56739" w:rsidRDefault="00000000" w:rsidP="003D0CAE">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nor/>
                </m:rPr>
                <w:rPr>
                  <w:rFonts w:ascii="Cambria Math" w:hAnsi="Cambria Math" w:cs="Times New Roman"/>
                </w:rPr>
                <m:t>Passivo</m:t>
              </m:r>
              <m:ctrlPr>
                <w:rPr>
                  <w:rFonts w:ascii="Cambria Math" w:hAnsi="Cambria Math" w:cs="Times New Roman"/>
                </w:rPr>
              </m:ctrlPr>
            </m:e>
            <m:sub>
              <m:r>
                <w:rPr>
                  <w:rFonts w:ascii="Cambria Math" w:hAnsi="Cambria Math" w:cs="Times New Roman"/>
                </w:rPr>
                <m:t>N</m:t>
              </m:r>
              <m:r>
                <m:rPr>
                  <m:lit/>
                </m:rPr>
                <w:rPr>
                  <w:rFonts w:ascii="Cambria Math" w:hAnsi="Cambria Math" w:cs="Times New Roman"/>
                </w:rPr>
                <m:t>_</m:t>
              </m:r>
              <m:r>
                <w:rPr>
                  <w:rFonts w:ascii="Cambria Math" w:hAnsi="Cambria Math" w:cs="Times New Roman"/>
                </w:rPr>
                <m:t>Consolidado</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0,</m:t>
                  </m:r>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e>
              </m:d>
            </m:e>
          </m:func>
        </m:oMath>
      </m:oMathPara>
    </w:p>
    <w:p w14:paraId="7F2EDFF7" w14:textId="4AE0966F" w:rsidR="00B402DF" w:rsidRPr="00B402DF" w:rsidRDefault="00B402DF" w:rsidP="003D0CAE">
      <w:pPr>
        <w:numPr>
          <w:ilvl w:val="0"/>
          <w:numId w:val="3"/>
        </w:numPr>
        <w:tabs>
          <w:tab w:val="clear" w:pos="720"/>
        </w:tabs>
        <w:spacing w:before="240" w:line="360" w:lineRule="auto"/>
        <w:ind w:left="0" w:hanging="11"/>
        <w:jc w:val="both"/>
        <w:rPr>
          <w:rFonts w:ascii="Times New Roman" w:hAnsi="Times New Roman" w:cs="Times New Roman"/>
        </w:rPr>
      </w:pPr>
      <w:r w:rsidRPr="00B402DF">
        <w:rPr>
          <w:rFonts w:ascii="Times New Roman" w:hAnsi="Times New Roman" w:cs="Times New Roman"/>
          <w:b/>
          <w:bCs/>
        </w:rPr>
        <w:t>Cálculo do Delta de Regularização:</w:t>
      </w:r>
    </w:p>
    <w:p w14:paraId="0D20D5DA" w14:textId="5B19A176" w:rsidR="00F56739" w:rsidRDefault="00F56739" w:rsidP="003D0CAE">
      <w:pPr>
        <w:spacing w:before="240" w:line="360" w:lineRule="auto"/>
        <w:ind w:firstLine="709"/>
        <w:jc w:val="both"/>
        <w:rPr>
          <w:rFonts w:ascii="Times New Roman" w:hAnsi="Times New Roman" w:cs="Times New Roman"/>
        </w:rPr>
      </w:pPr>
      <m:oMathPara>
        <m:oMath>
          <m:r>
            <m:rPr>
              <m:sty m:val="p"/>
            </m:rPr>
            <w:rPr>
              <w:rFonts w:ascii="Cambria Math" w:hAnsi="Cambria Math" w:cs="Times New Roman"/>
            </w:rPr>
            <m:t>Δ</m:t>
          </m:r>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80</m:t>
              </m:r>
            </m:sub>
          </m:sSub>
          <m:r>
            <w:rPr>
              <w:rFonts w:ascii="Cambria Math" w:hAnsi="Cambria Math" w:cs="Times New Roman"/>
            </w:rPr>
            <m:t>-</m:t>
          </m:r>
          <m:sSub>
            <m:sSubPr>
              <m:ctrlPr>
                <w:rPr>
                  <w:rFonts w:ascii="Cambria Math" w:hAnsi="Cambria Math" w:cs="Times New Roman"/>
                  <w:i/>
                </w:rPr>
              </m:ctrlPr>
            </m:sSubPr>
            <m:e>
              <m:r>
                <m:rPr>
                  <m:nor/>
                </m:rPr>
                <w:rPr>
                  <w:rFonts w:ascii="Cambria Math" w:hAnsi="Cambria Math" w:cs="Times New Roman"/>
                  <w:i/>
                  <w:iCs/>
                </w:rPr>
                <m:t>Deficit</m:t>
              </m:r>
            </m:e>
            <m:sub>
              <m:r>
                <w:rPr>
                  <w:rFonts w:ascii="Cambria Math" w:hAnsi="Cambria Math" w:cs="Times New Roman"/>
                </w:rPr>
                <m:t>50</m:t>
              </m:r>
            </m:sub>
          </m:sSub>
        </m:oMath>
      </m:oMathPara>
    </w:p>
    <w:p w14:paraId="3C7D746C" w14:textId="77777777" w:rsidR="0019372A" w:rsidRPr="0019372A" w:rsidRDefault="0019372A" w:rsidP="003D0CAE">
      <w:pPr>
        <w:spacing w:after="0" w:line="360" w:lineRule="auto"/>
        <w:ind w:firstLine="709"/>
        <w:jc w:val="both"/>
        <w:rPr>
          <w:rFonts w:ascii="Times New Roman" w:hAnsi="Times New Roman" w:cs="Times New Roman"/>
        </w:rPr>
      </w:pPr>
      <w:r w:rsidRPr="0019372A">
        <w:rPr>
          <w:rFonts w:ascii="Times New Roman" w:hAnsi="Times New Roman" w:cs="Times New Roman"/>
        </w:rPr>
        <w:t>Onde:</w:t>
      </w:r>
    </w:p>
    <w:p w14:paraId="33E819AB" w14:textId="2EF85ECD" w:rsid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80</m:t>
            </m:r>
          </m:sub>
        </m:sSub>
      </m:oMath>
      <w:r w:rsidR="0019372A" w:rsidRPr="0019372A">
        <w:rPr>
          <w:rFonts w:ascii="Times New Roman" w:hAnsi="Times New Roman" w:cs="Times New Roman"/>
        </w:rPr>
        <w:t>: déficit de Reserva Legal na exigência padrão (80%);</w:t>
      </w:r>
    </w:p>
    <w:p w14:paraId="721E24A0" w14:textId="5841F7D8"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Deficit</m:t>
            </m:r>
            <m:ctrlPr>
              <w:rPr>
                <w:rFonts w:ascii="Cambria Math" w:hAnsi="Cambria Math" w:cs="Times New Roman"/>
              </w:rPr>
            </m:ctrlPr>
          </m:e>
          <m:sub>
            <m:r>
              <w:rPr>
                <w:rFonts w:ascii="Cambria Math" w:hAnsi="Cambria Math" w:cs="Times New Roman"/>
              </w:rPr>
              <m:t>50</m:t>
            </m:r>
          </m:sub>
        </m:sSub>
      </m:oMath>
      <w:r w:rsidR="0019372A" w:rsidRPr="0019372A">
        <w:rPr>
          <w:rFonts w:ascii="Times New Roman" w:hAnsi="Times New Roman" w:cs="Times New Roman"/>
        </w:rPr>
        <w:t>: déficit de Reserva Legal na exigência padrão (80%);</w:t>
      </w:r>
    </w:p>
    <w:p w14:paraId="6A2D8511" w14:textId="2DD7745B"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Área</m:t>
            </m:r>
          </m:e>
          <m:sub>
            <m:r>
              <m:rPr>
                <m:nor/>
              </m:rPr>
              <w:rPr>
                <w:rFonts w:ascii="Cambria Math" w:hAnsi="Cambria Math" w:cs="Times New Roman"/>
              </w:rPr>
              <m:t>Total</m:t>
            </m:r>
          </m:sub>
        </m:sSub>
      </m:oMath>
      <w:r w:rsidR="0019372A" w:rsidRPr="0019372A">
        <w:rPr>
          <w:rFonts w:ascii="Times New Roman" w:hAnsi="Times New Roman" w:cs="Times New Roman"/>
        </w:rPr>
        <w:t>: área total do imóvel rural superior a 4 MF;</w:t>
      </w:r>
    </w:p>
    <w:p w14:paraId="6F56D61C" w14:textId="63DFB250"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i/>
                <w:iCs/>
              </w:rPr>
              <m:t>Veg</m:t>
            </m:r>
          </m:e>
          <m:sub>
            <m:r>
              <w:rPr>
                <w:rFonts w:ascii="Cambria Math" w:hAnsi="Cambria Math" w:cs="Times New Roman"/>
              </w:rPr>
              <m:t>2022</m:t>
            </m:r>
          </m:sub>
        </m:sSub>
      </m:oMath>
      <w:r w:rsidR="0019372A" w:rsidRPr="0019372A">
        <w:rPr>
          <w:rFonts w:ascii="Times New Roman" w:hAnsi="Times New Roman" w:cs="Times New Roman"/>
        </w:rPr>
        <w:t>: remanescente de vegetação nativa mapeado no ano de 2022;</w:t>
      </w:r>
    </w:p>
    <w:p w14:paraId="7160D074" w14:textId="1BFED6A3" w:rsidR="0019372A" w:rsidRPr="0019372A" w:rsidRDefault="00000000" w:rsidP="003D0CAE">
      <w:pPr>
        <w:numPr>
          <w:ilvl w:val="0"/>
          <w:numId w:val="5"/>
        </w:numPr>
        <w:tabs>
          <w:tab w:val="clear" w:pos="720"/>
        </w:tabs>
        <w:spacing w:after="0" w:line="360" w:lineRule="auto"/>
        <w:ind w:left="993" w:hanging="284"/>
        <w:jc w:val="both"/>
        <w:rPr>
          <w:rFonts w:ascii="Times New Roman" w:hAnsi="Times New Roman" w:cs="Times New Roman"/>
        </w:rPr>
      </w:pPr>
      <m:oMath>
        <m:sSub>
          <m:sSubPr>
            <m:ctrlPr>
              <w:rPr>
                <w:rFonts w:ascii="Cambria Math" w:hAnsi="Cambria Math" w:cs="Times New Roman"/>
                <w:i/>
              </w:rPr>
            </m:ctrlPr>
          </m:sSubPr>
          <m:e>
            <m:r>
              <m:rPr>
                <m:nor/>
              </m:rPr>
              <w:rPr>
                <w:rFonts w:ascii="Cambria Math" w:hAnsi="Cambria Math" w:cs="Times New Roman"/>
              </w:rPr>
              <m:t>Veg</m:t>
            </m:r>
          </m:e>
          <m:sub>
            <m:r>
              <w:rPr>
                <w:rFonts w:ascii="Cambria Math" w:hAnsi="Cambria Math" w:cs="Times New Roman"/>
              </w:rPr>
              <m:t>2008</m:t>
            </m:r>
          </m:sub>
        </m:sSub>
      </m:oMath>
      <w:r w:rsidR="0019372A" w:rsidRPr="0019372A">
        <w:rPr>
          <w:rFonts w:ascii="Times New Roman" w:hAnsi="Times New Roman" w:cs="Times New Roman"/>
        </w:rPr>
        <w:t>: remanescente de vegetação nativa existente em 22 de julho de 2008.</w:t>
      </w:r>
    </w:p>
    <w:p w14:paraId="4E7BA53C" w14:textId="343846A5" w:rsidR="00303E76" w:rsidRDefault="00B402DF" w:rsidP="003D0CAE">
      <w:pPr>
        <w:spacing w:before="240" w:after="0" w:line="360" w:lineRule="auto"/>
        <w:ind w:firstLine="709"/>
        <w:jc w:val="both"/>
        <w:rPr>
          <w:rFonts w:ascii="Times New Roman" w:hAnsi="Times New Roman" w:cs="Times New Roman"/>
        </w:rPr>
      </w:pPr>
      <w:r w:rsidRPr="00B402DF">
        <w:rPr>
          <w:rFonts w:ascii="Times New Roman" w:hAnsi="Times New Roman" w:cs="Times New Roman"/>
        </w:rPr>
        <w:t xml:space="preserve">O valor resultante de </w:t>
      </w:r>
      <m:oMath>
        <m:r>
          <m:rPr>
            <m:sty m:val="p"/>
          </m:rPr>
          <w:rPr>
            <w:rFonts w:ascii="Cambria Math" w:hAnsi="Cambria Math" w:cs="Times New Roman"/>
          </w:rPr>
          <m:t xml:space="preserve">Δ </m:t>
        </m:r>
      </m:oMath>
      <w:r w:rsidRPr="00B402DF">
        <w:rPr>
          <w:rFonts w:ascii="Times New Roman" w:hAnsi="Times New Roman" w:cs="Times New Roman"/>
        </w:rPr>
        <w:t xml:space="preserve">quantifica a extensão de terras que deixam de ser computadas como déficit ambiental oneroso no cenário de redução para 50%, permitindo a regularização do imóvel via Plano de Recuperação Ambiental (PRA) sem a necessidade de recomposição de áreas consolidadas além do novo limite legal. Os resultados finais foram consolidados em tabelas de dados exportadas em formato CSV para análise estatística, integrando todas as variáveis espaciais e normativas processadas. </w:t>
      </w:r>
      <w:r w:rsidR="003D0CAE" w:rsidRPr="003D0CAE">
        <w:rPr>
          <w:rFonts w:ascii="Times New Roman" w:hAnsi="Times New Roman" w:cs="Times New Roman"/>
        </w:rPr>
        <w:t>Os scripts utilizados para este processamento, incluindo a rotina de filtragem em Python e o processamento em nuvem no GEE, estão disponíveis para replicação técnica em repositório de acesso público (SANTOS, 2026).</w:t>
      </w:r>
    </w:p>
    <w:p w14:paraId="2D90D8A3" w14:textId="13699220" w:rsidR="003D0CAE" w:rsidRPr="003D0CAE" w:rsidRDefault="004A059C" w:rsidP="004A059C">
      <w:pPr>
        <w:pStyle w:val="Ttulo2"/>
        <w:rPr>
          <w:rFonts w:ascii="Times New Roman" w:hAnsi="Times New Roman" w:cs="Times New Roman"/>
          <w:color w:val="auto"/>
          <w:sz w:val="24"/>
          <w:szCs w:val="24"/>
        </w:rPr>
      </w:pPr>
      <w:bookmarkStart w:id="30" w:name="_Toc224164540"/>
      <w:r w:rsidRPr="004A059C">
        <w:rPr>
          <w:rFonts w:ascii="Times New Roman" w:hAnsi="Times New Roman" w:cs="Times New Roman"/>
          <w:color w:val="auto"/>
          <w:sz w:val="24"/>
          <w:szCs w:val="24"/>
        </w:rPr>
        <w:t>3.4 PROCESSAMENTO E ANÁLISE ESTATÍSTICA DE DADOS</w:t>
      </w:r>
      <w:bookmarkEnd w:id="30"/>
    </w:p>
    <w:p w14:paraId="28D3A3DB"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Para a quantificação do passivo ambiental e a simulação dos cenários de conformidade, os dados espaciais pré-processados foram submetidos a um fluxo de análise estatística utilizando a linguagem R, versão 4.x. O processamento estruturou-se no ecossistema de pacotes </w:t>
      </w:r>
      <w:r w:rsidRPr="003D0CAE">
        <w:rPr>
          <w:rFonts w:ascii="Times New Roman" w:hAnsi="Times New Roman" w:cs="Times New Roman"/>
          <w:i/>
          <w:iCs/>
        </w:rPr>
        <w:t>tidyverse</w:t>
      </w:r>
      <w:r w:rsidRPr="003D0CAE">
        <w:rPr>
          <w:rFonts w:ascii="Times New Roman" w:hAnsi="Times New Roman" w:cs="Times New Roman"/>
        </w:rPr>
        <w:t>, permitindo a manipulação eficiente de grandes volumes de dados tabulares provenientes das bases geográficas.</w:t>
      </w:r>
    </w:p>
    <w:p w14:paraId="5A41DCB4" w14:textId="77777777" w:rsidR="003D0CAE" w:rsidRPr="003D0CAE" w:rsidRDefault="003D0CAE" w:rsidP="004A059C">
      <w:pPr>
        <w:pStyle w:val="Ttulo3"/>
        <w:rPr>
          <w:rFonts w:ascii="Times New Roman" w:hAnsi="Times New Roman" w:cs="Times New Roman"/>
          <w:color w:val="auto"/>
          <w:sz w:val="24"/>
          <w:szCs w:val="24"/>
        </w:rPr>
      </w:pPr>
      <w:bookmarkStart w:id="31" w:name="_Toc224164541"/>
      <w:r w:rsidRPr="003D0CAE">
        <w:rPr>
          <w:rFonts w:ascii="Times New Roman" w:hAnsi="Times New Roman" w:cs="Times New Roman"/>
          <w:b/>
          <w:bCs/>
          <w:color w:val="auto"/>
          <w:sz w:val="24"/>
          <w:szCs w:val="24"/>
        </w:rPr>
        <w:t>3.4.1 Integração de bases e critérios de elegibilidade</w:t>
      </w:r>
      <w:bookmarkEnd w:id="31"/>
    </w:p>
    <w:p w14:paraId="2BBCBE8F"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A base principal de imóveis rurais com área superior a 4 Módulos Fiscais (MF) foi integrada à malha de áreas protegidas, compreendendo Unidades de Conservação de domínio público e Terras Indígenas homologadas. O critério de elegibilidade para a redução da Reserva Legal (RL) de 80% para 50% foi aplicado seguindo a diretriz de que o Estado deve possuir Zoneamento Ecológico-Econômico (ZEE) aprovado e mais de 65% de seu território ocupado </w:t>
      </w:r>
      <w:r w:rsidRPr="003D0CAE">
        <w:rPr>
          <w:rFonts w:ascii="Times New Roman" w:hAnsi="Times New Roman" w:cs="Times New Roman"/>
        </w:rPr>
        <w:lastRenderedPageBreak/>
        <w:t>por áreas protegidas. Esta regra fundamenta-se no Art. 12, § 5º, da Lei nº 12.651/2012, que rege a proteção da vegetação nativa no território nacional.</w:t>
      </w:r>
    </w:p>
    <w:p w14:paraId="02E72D46" w14:textId="77777777" w:rsidR="003D0CAE" w:rsidRPr="003D0CAE" w:rsidRDefault="003D0CAE" w:rsidP="004A059C">
      <w:pPr>
        <w:pStyle w:val="Ttulo3"/>
        <w:rPr>
          <w:rFonts w:ascii="Times New Roman" w:hAnsi="Times New Roman" w:cs="Times New Roman"/>
          <w:color w:val="auto"/>
          <w:sz w:val="24"/>
          <w:szCs w:val="24"/>
        </w:rPr>
      </w:pPr>
      <w:bookmarkStart w:id="32" w:name="_Toc224164542"/>
      <w:r w:rsidRPr="003D0CAE">
        <w:rPr>
          <w:rFonts w:ascii="Times New Roman" w:hAnsi="Times New Roman" w:cs="Times New Roman"/>
          <w:b/>
          <w:bCs/>
          <w:color w:val="auto"/>
          <w:sz w:val="24"/>
          <w:szCs w:val="24"/>
        </w:rPr>
        <w:t>3.4.2 Cálculo de passivos e impacto regulatório</w:t>
      </w:r>
      <w:bookmarkEnd w:id="32"/>
    </w:p>
    <w:p w14:paraId="79C0882E" w14:textId="77777777" w:rsidR="003D0CAE" w:rsidRP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Foram modelados dois cenários de déficit para cada imóvel elegível, permitindo a comparação direta do impacto normativo. A lógica de cálculo seguiu as seguintes definições:</w:t>
      </w:r>
    </w:p>
    <w:p w14:paraId="6A353DE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a) cenário base (80%): representa a exigência padrão para áreas de floresta na Amazônia Legal;</w:t>
      </w:r>
    </w:p>
    <w:p w14:paraId="1795AF8D" w14:textId="77777777"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b) cenário simulado (50%): aplicação da redução para imóveis situados em zonas de consolidação amparadas pelo ZEE estadual e pelo Decreto Federal de 2013;</w:t>
      </w:r>
    </w:p>
    <w:p w14:paraId="647C70C3" w14:textId="668A97FA" w:rsidR="003D0CAE" w:rsidRPr="003D0CAE" w:rsidRDefault="003D0CAE" w:rsidP="003D0CAE">
      <w:pPr>
        <w:spacing w:after="0" w:line="360" w:lineRule="auto"/>
        <w:ind w:left="993" w:hanging="284"/>
        <w:jc w:val="both"/>
        <w:rPr>
          <w:rFonts w:ascii="Times New Roman" w:hAnsi="Times New Roman" w:cs="Times New Roman"/>
        </w:rPr>
      </w:pPr>
      <w:r w:rsidRPr="003D0CAE">
        <w:rPr>
          <w:rFonts w:ascii="Times New Roman" w:hAnsi="Times New Roman" w:cs="Times New Roman"/>
        </w:rPr>
        <w:t>c) delta de regularização</w:t>
      </w:r>
      <w:r w:rsidR="008F3BB8">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8F3BB8">
        <w:rPr>
          <w:rFonts w:ascii="Times New Roman" w:eastAsiaTheme="minorEastAsia" w:hAnsi="Times New Roman" w:cs="Times New Roman"/>
        </w:rPr>
        <w:t xml:space="preserve"> </w:t>
      </w:r>
      <w:r w:rsidRPr="003D0CAE">
        <w:rPr>
          <w:rFonts w:ascii="Times New Roman" w:hAnsi="Times New Roman" w:cs="Times New Roman"/>
        </w:rPr>
        <w:t>: representa a extensão de área (em hectares) de passivo consolidado que deixa de ser exigida para recomposição ou compensação.</w:t>
      </w:r>
    </w:p>
    <w:p w14:paraId="14FEE00E" w14:textId="77777777" w:rsidR="003D0CAE" w:rsidRPr="003D0CAE" w:rsidRDefault="003D0CAE" w:rsidP="00211F6A">
      <w:pPr>
        <w:spacing w:after="0" w:line="360" w:lineRule="auto"/>
        <w:ind w:firstLine="709"/>
        <w:jc w:val="both"/>
        <w:rPr>
          <w:rFonts w:ascii="Times New Roman" w:hAnsi="Times New Roman" w:cs="Times New Roman"/>
        </w:rPr>
      </w:pPr>
      <w:r w:rsidRPr="003D0CAE">
        <w:rPr>
          <w:rFonts w:ascii="Times New Roman" w:hAnsi="Times New Roman" w:cs="Times New Roman"/>
        </w:rPr>
        <w:t>O cálculo do delta de regularização é definido pela equação:</w:t>
      </w:r>
    </w:p>
    <w:p w14:paraId="5CEDD444" w14:textId="6FD9C1A3" w:rsidR="00211F6A" w:rsidRDefault="00211F6A" w:rsidP="00211F6A">
      <w:pPr>
        <w:spacing w:before="240" w:line="360" w:lineRule="auto"/>
        <w:jc w:val="both"/>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m:oMathPara>
    </w:p>
    <w:p w14:paraId="7183C87B" w14:textId="129888DB" w:rsidR="003D0CAE" w:rsidRDefault="003D0CAE" w:rsidP="003D0CAE">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Onde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80</m:t>
            </m:r>
          </m:sub>
        </m:sSub>
      </m:oMath>
      <w:r w:rsidRPr="003D0CAE">
        <w:rPr>
          <w:rFonts w:ascii="Times New Roman" w:hAnsi="Times New Roman" w:cs="Times New Roman"/>
        </w:rPr>
        <w:t xml:space="preserve"> consiste no déficit calculado sobre a exigência de 80% e </w:t>
      </w:r>
      <m:oMath>
        <m:r>
          <w:rPr>
            <w:rFonts w:ascii="Cambria Math" w:hAnsi="Cambria Math" w:cs="Times New Roman"/>
          </w:rPr>
          <m:t>De</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50</m:t>
            </m:r>
          </m:sub>
        </m:sSub>
      </m:oMath>
      <w:r w:rsidR="008F3BB8">
        <w:rPr>
          <w:rFonts w:ascii="Times New Roman" w:hAnsi="Times New Roman" w:cs="Times New Roman"/>
        </w:rPr>
        <w:t xml:space="preserve"> </w:t>
      </w:r>
      <w:r w:rsidRPr="003D0CAE">
        <w:rPr>
          <w:rFonts w:ascii="Times New Roman" w:hAnsi="Times New Roman" w:cs="Times New Roman"/>
        </w:rPr>
        <w:t>o déficit sob a exigência reduzida. Adicionalmente, isolou-se o Passivo Não Consolidado, referente a supressões de vegetação nativa ocorridas após 22 de julho de 2008, as quais não são passíveis de redução ou regularização simplificada conforme a legislação vigente.</w:t>
      </w:r>
    </w:p>
    <w:p w14:paraId="21EF45AB" w14:textId="77777777" w:rsidR="008F3BB8" w:rsidRPr="003D0CAE" w:rsidRDefault="008F3BB8" w:rsidP="004A059C">
      <w:pPr>
        <w:pStyle w:val="Ttulo3"/>
        <w:rPr>
          <w:rFonts w:ascii="Times New Roman" w:hAnsi="Times New Roman" w:cs="Times New Roman"/>
          <w:color w:val="auto"/>
          <w:sz w:val="24"/>
          <w:szCs w:val="24"/>
        </w:rPr>
      </w:pPr>
      <w:bookmarkStart w:id="33" w:name="_Toc224164543"/>
      <w:r w:rsidRPr="003D0CAE">
        <w:rPr>
          <w:rFonts w:ascii="Times New Roman" w:hAnsi="Times New Roman" w:cs="Times New Roman"/>
          <w:b/>
          <w:bCs/>
          <w:color w:val="auto"/>
          <w:sz w:val="24"/>
          <w:szCs w:val="24"/>
        </w:rPr>
        <w:t>3.4.3 Sumarização e visualização de dados</w:t>
      </w:r>
      <w:bookmarkEnd w:id="33"/>
    </w:p>
    <w:p w14:paraId="693B45BD" w14:textId="51EC3703" w:rsidR="008F3BB8" w:rsidRDefault="008F3BB8" w:rsidP="008F3BB8">
      <w:pPr>
        <w:spacing w:after="0" w:line="360" w:lineRule="auto"/>
        <w:ind w:firstLine="709"/>
        <w:jc w:val="both"/>
        <w:rPr>
          <w:rFonts w:ascii="Times New Roman" w:hAnsi="Times New Roman" w:cs="Times New Roman"/>
        </w:rPr>
      </w:pPr>
      <w:r w:rsidRPr="003D0CAE">
        <w:rPr>
          <w:rFonts w:ascii="Times New Roman" w:hAnsi="Times New Roman" w:cs="Times New Roman"/>
        </w:rPr>
        <w:t xml:space="preserve">Os dados resultantes foram agregados em nível estadual e municipal para identificar o </w:t>
      </w:r>
      <w:r w:rsidRPr="003D0CAE">
        <w:rPr>
          <w:rFonts w:ascii="Times New Roman" w:hAnsi="Times New Roman" w:cs="Times New Roman"/>
          <w:i/>
          <w:iCs/>
        </w:rPr>
        <w:t>ranking</w:t>
      </w:r>
      <w:r w:rsidRPr="003D0CAE">
        <w:rPr>
          <w:rFonts w:ascii="Times New Roman" w:hAnsi="Times New Roman" w:cs="Times New Roman"/>
        </w:rPr>
        <w:t xml:space="preserve"> de municípios mais impactados pela medida. Para a apresentação dos resultados, geraram-se gráficos de colunas e barras utilizando a biblioteca </w:t>
      </w:r>
      <w:r w:rsidRPr="003D0CAE">
        <w:rPr>
          <w:rFonts w:ascii="Times New Roman" w:hAnsi="Times New Roman" w:cs="Times New Roman"/>
          <w:i/>
          <w:iCs/>
        </w:rPr>
        <w:t>ggplot2</w:t>
      </w:r>
      <w:r w:rsidRPr="003D0CAE">
        <w:rPr>
          <w:rFonts w:ascii="Times New Roman" w:hAnsi="Times New Roman" w:cs="Times New Roman"/>
        </w:rPr>
        <w:t>, permitindo a comparação visual entre o déficit atual e o potencial de redução. Esta etapa possibilita identificar comportamentos distintos em municípios com vasta extensão de áreas protegidas, como Altamira e São Félix do Xingu, conforme os dados processados.</w:t>
      </w:r>
    </w:p>
    <w:p w14:paraId="1149FDB5" w14:textId="2EF279CD" w:rsidR="008F3BB8" w:rsidRPr="008F3BB8" w:rsidRDefault="004A059C" w:rsidP="004A059C">
      <w:pPr>
        <w:pStyle w:val="Ttulo2"/>
        <w:rPr>
          <w:rFonts w:ascii="Times New Roman" w:hAnsi="Times New Roman" w:cs="Times New Roman"/>
          <w:color w:val="auto"/>
          <w:sz w:val="24"/>
          <w:szCs w:val="24"/>
        </w:rPr>
      </w:pPr>
      <w:bookmarkStart w:id="34" w:name="_Toc224164544"/>
      <w:r w:rsidRPr="004A059C">
        <w:rPr>
          <w:rFonts w:ascii="Times New Roman" w:hAnsi="Times New Roman" w:cs="Times New Roman"/>
          <w:color w:val="auto"/>
          <w:sz w:val="24"/>
          <w:szCs w:val="24"/>
        </w:rPr>
        <w:t>3.5 INTEGRAÇÃO GEOESPACIAL E REPRESENTAÇÃO CARTOGRÁFICA</w:t>
      </w:r>
      <w:bookmarkEnd w:id="34"/>
    </w:p>
    <w:p w14:paraId="5E96C7FE" w14:textId="77777777"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 xml:space="preserve">Para a espacialização dos resultados e análise do impacto territorial, os dados consolidados no ambiente R foram exportados e integrados ao </w:t>
      </w:r>
      <w:r w:rsidRPr="008F3BB8">
        <w:rPr>
          <w:rFonts w:ascii="Times New Roman" w:hAnsi="Times New Roman" w:cs="Times New Roman"/>
          <w:i/>
          <w:iCs/>
        </w:rPr>
        <w:t>software</w:t>
      </w:r>
      <w:r w:rsidRPr="008F3BB8">
        <w:rPr>
          <w:rFonts w:ascii="Times New Roman" w:hAnsi="Times New Roman" w:cs="Times New Roman"/>
        </w:rPr>
        <w:t xml:space="preserve"> QGIS, versão 4.0 </w:t>
      </w:r>
      <w:r w:rsidRPr="008F3BB8">
        <w:rPr>
          <w:rFonts w:ascii="Times New Roman" w:hAnsi="Times New Roman" w:cs="Times New Roman"/>
          <w:i/>
          <w:iCs/>
        </w:rPr>
        <w:t>Norrköping</w:t>
      </w:r>
      <w:r w:rsidRPr="008F3BB8">
        <w:rPr>
          <w:rFonts w:ascii="Times New Roman" w:hAnsi="Times New Roman" w:cs="Times New Roman"/>
        </w:rPr>
        <w:t>. O fluxo cartográfico utilizou a malha municipal digital do Estado do Pará, na escala 1:250.000, como base para operações de união (</w:t>
      </w:r>
      <w:r w:rsidRPr="008F3BB8">
        <w:rPr>
          <w:rFonts w:ascii="Times New Roman" w:hAnsi="Times New Roman" w:cs="Times New Roman"/>
          <w:i/>
          <w:iCs/>
        </w:rPr>
        <w:t>join</w:t>
      </w:r>
      <w:r w:rsidRPr="008F3BB8">
        <w:rPr>
          <w:rFonts w:ascii="Times New Roman" w:hAnsi="Times New Roman" w:cs="Times New Roman"/>
        </w:rPr>
        <w:t>) vetorial, utilizando o geocódigo dos municípios como chave primária. A representação espacial foi estruturada em dois eixos fundamentais:</w:t>
      </w:r>
    </w:p>
    <w:p w14:paraId="598340CD" w14:textId="77777777"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lastRenderedPageBreak/>
        <w:t>a) mapeamento de elegibilidade (Art. 12): identificação geoespacial dos municípios aptos à redução da Reserva Legal, baseada no cruzamento entre a área total municipal e a extensão de áreas protegidas, compreendendo Unidades de Conservação de domínio público e Terras Indígenas homologadas;</w:t>
      </w:r>
    </w:p>
    <w:p w14:paraId="1B59D709" w14:textId="19771ED8" w:rsidR="008F3BB8" w:rsidRPr="008F3BB8" w:rsidRDefault="008F3BB8" w:rsidP="008F3BB8">
      <w:pPr>
        <w:spacing w:after="0" w:line="360" w:lineRule="auto"/>
        <w:jc w:val="both"/>
        <w:rPr>
          <w:rFonts w:ascii="Times New Roman" w:hAnsi="Times New Roman" w:cs="Times New Roman"/>
        </w:rPr>
      </w:pPr>
      <w:r w:rsidRPr="008F3BB8">
        <w:rPr>
          <w:rFonts w:ascii="Times New Roman" w:hAnsi="Times New Roman" w:cs="Times New Roman"/>
        </w:rPr>
        <w:t>b) mapeamento do impacto da regularização</w:t>
      </w:r>
      <w:r>
        <w:rPr>
          <w:rFonts w:ascii="Times New Roman" w:hAnsi="Times New Roman" w:cs="Times New Roman"/>
        </w:rPr>
        <w:t xml:space="preserv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elaboração de mapas coropléticos para demonstrar a concentração espacial do passivo ambiental que deixa de ser exigido sob o cenário simulado de 50%.</w:t>
      </w:r>
    </w:p>
    <w:p w14:paraId="432AE452" w14:textId="7C7A6FA3" w:rsidR="008F3BB8" w:rsidRDefault="008F3BB8" w:rsidP="008F3BB8">
      <w:pPr>
        <w:spacing w:after="0" w:line="360" w:lineRule="auto"/>
        <w:ind w:firstLine="709"/>
        <w:jc w:val="both"/>
        <w:rPr>
          <w:rFonts w:ascii="Times New Roman" w:hAnsi="Times New Roman" w:cs="Times New Roman"/>
        </w:rPr>
      </w:pPr>
      <w:r w:rsidRPr="008F3BB8">
        <w:rPr>
          <w:rFonts w:ascii="Times New Roman" w:hAnsi="Times New Roman" w:cs="Times New Roman"/>
        </w:rPr>
        <w:t xml:space="preserve">Para garantir o rigor científico quanto ao marco temporal da legislação, todos os cruzamentos espaciais foram validados utilizando a série histórica de cobertura e uso da terra do MapBiomas, Coleção 9. Este procedimento assegurou que o cálculo do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r>
          <w:rPr>
            <w:rFonts w:ascii="Cambria Math" w:hAnsi="Cambria Math" w:cs="Times New Roman"/>
          </w:rPr>
          <m:t>)</m:t>
        </m:r>
      </m:oMath>
      <w:r w:rsidRPr="008F3BB8">
        <w:rPr>
          <w:rFonts w:ascii="Times New Roman" w:hAnsi="Times New Roman" w:cs="Times New Roman"/>
        </w:rPr>
        <w:t xml:space="preserve"> e do passivo não consolidado refletisse com precisão a dinâmica de supressão de vegetação nativa pré e pós-22 de julho de 2008, segregando anistias legais de novos passivos ambientais.</w:t>
      </w:r>
    </w:p>
    <w:p w14:paraId="4F372B2D" w14:textId="0A941651" w:rsidR="001F48F5" w:rsidRPr="001F48F5" w:rsidRDefault="004A059C" w:rsidP="004A059C">
      <w:pPr>
        <w:pStyle w:val="Ttulo2"/>
        <w:rPr>
          <w:rFonts w:ascii="Times New Roman" w:hAnsi="Times New Roman" w:cs="Times New Roman"/>
          <w:color w:val="auto"/>
          <w:sz w:val="24"/>
          <w:szCs w:val="24"/>
        </w:rPr>
      </w:pPr>
      <w:bookmarkStart w:id="35" w:name="_Toc224164545"/>
      <w:r w:rsidRPr="004A059C">
        <w:rPr>
          <w:rFonts w:ascii="Times New Roman" w:hAnsi="Times New Roman" w:cs="Times New Roman"/>
          <w:color w:val="auto"/>
          <w:sz w:val="24"/>
          <w:szCs w:val="24"/>
        </w:rPr>
        <w:t>3.6 TIPIFICAÇÃO E CATEGORIZAÇÃO DOS IMÓVEIS E PASSIVOS</w:t>
      </w:r>
      <w:bookmarkEnd w:id="35"/>
    </w:p>
    <w:p w14:paraId="128048F3"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 xml:space="preserve">A análise dos dados integrou um processo de tipificação estruturado em três níveis: filtragem de elegibilidade territorial, categorização do </w:t>
      </w:r>
      <w:r w:rsidRPr="001F48F5">
        <w:rPr>
          <w:rFonts w:ascii="Times New Roman" w:hAnsi="Times New Roman" w:cs="Times New Roman"/>
          <w:i/>
          <w:iCs/>
        </w:rPr>
        <w:t>status</w:t>
      </w:r>
      <w:r w:rsidRPr="001F48F5">
        <w:rPr>
          <w:rFonts w:ascii="Times New Roman" w:hAnsi="Times New Roman" w:cs="Times New Roman"/>
        </w:rPr>
        <w:t xml:space="preserve"> de conformidade e estratificação da magnitude do passivo ambiental recente.</w:t>
      </w:r>
    </w:p>
    <w:p w14:paraId="5E7B3F75" w14:textId="77777777" w:rsidR="001F48F5" w:rsidRPr="001F48F5" w:rsidRDefault="001F48F5" w:rsidP="004A059C">
      <w:pPr>
        <w:pStyle w:val="Ttulo3"/>
        <w:rPr>
          <w:rFonts w:ascii="Times New Roman" w:hAnsi="Times New Roman" w:cs="Times New Roman"/>
          <w:color w:val="auto"/>
          <w:sz w:val="24"/>
          <w:szCs w:val="24"/>
        </w:rPr>
      </w:pPr>
      <w:bookmarkStart w:id="36" w:name="_Toc224164546"/>
      <w:r w:rsidRPr="001F48F5">
        <w:rPr>
          <w:rFonts w:ascii="Times New Roman" w:hAnsi="Times New Roman" w:cs="Times New Roman"/>
          <w:b/>
          <w:bCs/>
          <w:color w:val="auto"/>
          <w:sz w:val="24"/>
          <w:szCs w:val="24"/>
        </w:rPr>
        <w:t>3.6.1 Critérios de elegibilidade territorial</w:t>
      </w:r>
      <w:bookmarkEnd w:id="36"/>
    </w:p>
    <w:p w14:paraId="393E59A6"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A elegibilidade municipal para a aplicação da redução da Reserva Legal foi determinada pela intersecção de dois critérios geográficos, fundamentados nas diretrizes do Zoneamento Ecológico-Econômico do Estado do Pará (ZEE-PA):</w:t>
      </w:r>
    </w:p>
    <w:p w14:paraId="77BF1278"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a) critério de áreas protegidas: identificação de municípios com mais de 50% do território ocupado por Unidades de Conservação (UC) de domínio público ou Terras Indígenas (TI) homologadas;</w:t>
      </w:r>
    </w:p>
    <w:p w14:paraId="28020F98" w14:textId="0ADA6771" w:rsidR="001F48F5" w:rsidRP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b) critério de zoneamento (ZEE): inclusão de municípios localizados em zonas elegíveis para a redução da Reserva Legal, conforme a base vetorial institucional da SEMAS-PA.</w:t>
      </w:r>
    </w:p>
    <w:p w14:paraId="721D0F56" w14:textId="77777777" w:rsidR="001F48F5" w:rsidRPr="001F48F5" w:rsidRDefault="001F48F5" w:rsidP="004A059C">
      <w:pPr>
        <w:pStyle w:val="Ttulo3"/>
        <w:rPr>
          <w:rFonts w:ascii="Times New Roman" w:hAnsi="Times New Roman" w:cs="Times New Roman"/>
          <w:color w:val="auto"/>
          <w:sz w:val="24"/>
          <w:szCs w:val="24"/>
        </w:rPr>
      </w:pPr>
      <w:bookmarkStart w:id="37" w:name="_Toc224164547"/>
      <w:r w:rsidRPr="001F48F5">
        <w:rPr>
          <w:rFonts w:ascii="Times New Roman" w:hAnsi="Times New Roman" w:cs="Times New Roman"/>
          <w:b/>
          <w:bCs/>
          <w:color w:val="auto"/>
          <w:sz w:val="24"/>
          <w:szCs w:val="24"/>
        </w:rPr>
        <w:t>3.6.2 Matriz de status de conformidade</w:t>
      </w:r>
      <w:bookmarkEnd w:id="37"/>
    </w:p>
    <w:p w14:paraId="5FE23D44"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Os imóveis situados em municípios elegíveis foram segmentados em cinco categorias, utilizando o marco temporal de 22 de julho de 2008 como divisor para a natureza da supressão:</w:t>
      </w:r>
    </w:p>
    <w:p w14:paraId="15BC3D07"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a) elegível - sem passivo: imóveis com cobertura vegetal nativa em conformidade com os limites legais em ambos os cenários simulados;</w:t>
      </w:r>
    </w:p>
    <w:p w14:paraId="136EBD55"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lastRenderedPageBreak/>
        <w:t>b) elegível - apenas passivo consolidado: imóveis cujo déficit é composto integralmente por supressões ocorridas antes de 22 de julho de 2008;</w:t>
      </w:r>
    </w:p>
    <w:p w14:paraId="134EB362"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c) elegível - apenas passivo não consolidado: imóveis que apresentam exclusivamente déficits gerados após o marco legal de 2008;</w:t>
      </w:r>
    </w:p>
    <w:p w14:paraId="34B238C6" w14:textId="77777777" w:rsid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d) elegível - ambos passivos: imóveis com ocorrência simultânea de déficits consolidados e não consolidados;</w:t>
      </w:r>
    </w:p>
    <w:p w14:paraId="0555509E" w14:textId="574CB46A" w:rsidR="001F48F5" w:rsidRPr="001F48F5" w:rsidRDefault="001F48F5" w:rsidP="001F48F5">
      <w:pPr>
        <w:spacing w:after="0" w:line="360" w:lineRule="auto"/>
        <w:ind w:left="993" w:hanging="284"/>
        <w:jc w:val="both"/>
        <w:rPr>
          <w:rFonts w:ascii="Times New Roman" w:hAnsi="Times New Roman" w:cs="Times New Roman"/>
        </w:rPr>
      </w:pPr>
      <w:r w:rsidRPr="001F48F5">
        <w:rPr>
          <w:rFonts w:ascii="Times New Roman" w:hAnsi="Times New Roman" w:cs="Times New Roman"/>
        </w:rPr>
        <w:t>e) não elegível: imóveis localizados em municípios que não atendem aos critérios geográficos definidos no item 3.6.1.</w:t>
      </w:r>
    </w:p>
    <w:p w14:paraId="35027AFE" w14:textId="77777777" w:rsidR="001F48F5" w:rsidRPr="001F48F5" w:rsidRDefault="001F48F5" w:rsidP="004A059C">
      <w:pPr>
        <w:pStyle w:val="Ttulo3"/>
        <w:rPr>
          <w:rFonts w:ascii="Times New Roman" w:hAnsi="Times New Roman" w:cs="Times New Roman"/>
          <w:color w:val="auto"/>
          <w:sz w:val="24"/>
          <w:szCs w:val="24"/>
        </w:rPr>
      </w:pPr>
      <w:bookmarkStart w:id="38" w:name="_Toc224164548"/>
      <w:r w:rsidRPr="001F48F5">
        <w:rPr>
          <w:rFonts w:ascii="Times New Roman" w:hAnsi="Times New Roman" w:cs="Times New Roman"/>
          <w:b/>
          <w:bCs/>
          <w:color w:val="auto"/>
          <w:sz w:val="24"/>
          <w:szCs w:val="24"/>
        </w:rPr>
        <w:t>3.6.3 Estratificação da magnitude do passivo não consolidado</w:t>
      </w:r>
      <w:bookmarkEnd w:id="38"/>
    </w:p>
    <w:p w14:paraId="3B352197" w14:textId="77777777" w:rsidR="001F48F5" w:rsidRPr="001F48F5"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Para os imóveis com passivo identificado após 2008, aplicou-se uma classificação baseada na área absoluta da supressão, permitindo a distinção técnica do passivo remanescente à regra de transição:</w:t>
      </w:r>
    </w:p>
    <w:p w14:paraId="005663FE" w14:textId="557F380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 xml:space="preserve">Pequeno: </w:t>
      </w:r>
      <w:r>
        <w:rPr>
          <w:rFonts w:ascii="Times New Roman" w:hAnsi="Times New Roman" w:cs="Times New Roman"/>
        </w:rPr>
        <w:t xml:space="preserve">≤ </w:t>
      </w:r>
      <w:r w:rsidRPr="001F48F5">
        <w:rPr>
          <w:rFonts w:ascii="Times New Roman" w:hAnsi="Times New Roman" w:cs="Times New Roman"/>
        </w:rPr>
        <w:t>50 ha;</w:t>
      </w:r>
    </w:p>
    <w:p w14:paraId="0D46BB5A" w14:textId="7777777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Médio: 51 a 200 ha;</w:t>
      </w:r>
    </w:p>
    <w:p w14:paraId="6D8E2863" w14:textId="7777777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Grande: 201 a 500 ha;</w:t>
      </w:r>
    </w:p>
    <w:p w14:paraId="01B04B21" w14:textId="54FFC1D7" w:rsidR="001F48F5" w:rsidRPr="001F48F5" w:rsidRDefault="001F48F5" w:rsidP="001F48F5">
      <w:pPr>
        <w:numPr>
          <w:ilvl w:val="0"/>
          <w:numId w:val="7"/>
        </w:numPr>
        <w:tabs>
          <w:tab w:val="clear" w:pos="720"/>
        </w:tabs>
        <w:spacing w:after="0" w:line="360" w:lineRule="auto"/>
        <w:ind w:left="993" w:hanging="284"/>
        <w:jc w:val="both"/>
        <w:rPr>
          <w:rFonts w:ascii="Times New Roman" w:hAnsi="Times New Roman" w:cs="Times New Roman"/>
        </w:rPr>
      </w:pPr>
      <w:r w:rsidRPr="001F48F5">
        <w:rPr>
          <w:rFonts w:ascii="Times New Roman" w:hAnsi="Times New Roman" w:cs="Times New Roman"/>
        </w:rPr>
        <w:t xml:space="preserve">Muito Grande: </w:t>
      </w:r>
      <w:r>
        <w:rPr>
          <w:rFonts w:ascii="Times New Roman" w:hAnsi="Times New Roman" w:cs="Times New Roman"/>
        </w:rPr>
        <w:t>&gt;</w:t>
      </w:r>
      <w:r w:rsidRPr="001F48F5">
        <w:rPr>
          <w:rFonts w:ascii="Times New Roman" w:hAnsi="Times New Roman" w:cs="Times New Roman"/>
        </w:rPr>
        <w:t xml:space="preserve"> 500 ha.</w:t>
      </w:r>
    </w:p>
    <w:p w14:paraId="79C87835" w14:textId="61BAC082" w:rsidR="001F48F5" w:rsidRPr="003D0CAE" w:rsidRDefault="001F48F5" w:rsidP="001F48F5">
      <w:pPr>
        <w:spacing w:after="0" w:line="360" w:lineRule="auto"/>
        <w:ind w:firstLine="709"/>
        <w:jc w:val="both"/>
        <w:rPr>
          <w:rFonts w:ascii="Times New Roman" w:hAnsi="Times New Roman" w:cs="Times New Roman"/>
        </w:rPr>
      </w:pPr>
      <w:r w:rsidRPr="001F48F5">
        <w:rPr>
          <w:rFonts w:ascii="Times New Roman" w:hAnsi="Times New Roman" w:cs="Times New Roman"/>
        </w:rPr>
        <w:t>Este detalhamento isola o grupo de propriedades que atingem a conformidade imediata via aplicação do Art. 12 daquelas que permanecem com obrigações de recomposição decorrentes de supressões recentes.</w:t>
      </w:r>
    </w:p>
    <w:p w14:paraId="1DD1E0A2" w14:textId="0CCCADDA" w:rsidR="00DD24CC" w:rsidRPr="005E1985" w:rsidRDefault="005E1985" w:rsidP="004A059C">
      <w:pPr>
        <w:pStyle w:val="Ttulo1"/>
        <w:rPr>
          <w:rFonts w:cs="Times New Roman"/>
        </w:rPr>
      </w:pPr>
      <w:bookmarkStart w:id="39" w:name="_Toc224164549"/>
      <w:r w:rsidRPr="005E1985">
        <w:rPr>
          <w:rFonts w:cs="Times New Roman"/>
        </w:rPr>
        <w:t>4 RESULTADOS E DISCUSSÃO</w:t>
      </w:r>
      <w:bookmarkEnd w:id="39"/>
    </w:p>
    <w:p w14:paraId="448F6B69" w14:textId="77777777" w:rsidR="005E1985" w:rsidRPr="005E1985" w:rsidRDefault="005E1985" w:rsidP="005E1985">
      <w:pPr>
        <w:spacing w:after="0" w:line="360" w:lineRule="auto"/>
        <w:ind w:firstLine="709"/>
        <w:jc w:val="both"/>
        <w:rPr>
          <w:rFonts w:ascii="Times New Roman" w:hAnsi="Times New Roman" w:cs="Times New Roman"/>
        </w:rPr>
      </w:pPr>
      <w:r w:rsidRPr="005E1985">
        <w:rPr>
          <w:rFonts w:ascii="Times New Roman" w:hAnsi="Times New Roman" w:cs="Times New Roman"/>
        </w:rPr>
        <w:t>A aplicação da modelagem geoestatística sobre a base do SICAR-PA e o cruzamento com a malha de áreas protegidas permitiu quantificar o efeito da regra de transição do Artigo 12 da Lei n.º 12.651/2012 sobre as métricas de regularização ambiental no Estado do Pará.</w:t>
      </w:r>
    </w:p>
    <w:p w14:paraId="4D186A0B" w14:textId="07703B70" w:rsidR="005E1985" w:rsidRPr="005E1985" w:rsidRDefault="004A059C" w:rsidP="004A059C">
      <w:pPr>
        <w:pStyle w:val="Ttulo2"/>
        <w:rPr>
          <w:rFonts w:ascii="Times New Roman" w:hAnsi="Times New Roman" w:cs="Times New Roman"/>
          <w:color w:val="auto"/>
          <w:sz w:val="24"/>
          <w:szCs w:val="24"/>
        </w:rPr>
      </w:pPr>
      <w:bookmarkStart w:id="40" w:name="_Toc224164550"/>
      <w:r w:rsidRPr="004A059C">
        <w:rPr>
          <w:rFonts w:ascii="Times New Roman" w:hAnsi="Times New Roman" w:cs="Times New Roman"/>
          <w:color w:val="auto"/>
          <w:sz w:val="24"/>
          <w:szCs w:val="24"/>
        </w:rPr>
        <w:t>4.1 ELEGIBILIDADE TERRITORIAL E ABRANGÊNCIA DO ART. 12</w:t>
      </w:r>
      <w:bookmarkEnd w:id="40"/>
    </w:p>
    <w:p w14:paraId="69D50DF7" w14:textId="5EE5D3CA" w:rsidR="00C16FF3" w:rsidRDefault="00211099" w:rsidP="00C16FF3">
      <w:pPr>
        <w:spacing w:after="0" w:line="360" w:lineRule="auto"/>
        <w:ind w:firstLine="709"/>
        <w:jc w:val="both"/>
        <w:rPr>
          <w:rFonts w:ascii="Times New Roman" w:hAnsi="Times New Roman" w:cs="Times New Roman"/>
        </w:rPr>
      </w:pPr>
      <w:r w:rsidRPr="00211099">
        <w:rPr>
          <w:rFonts w:ascii="Times New Roman" w:hAnsi="Times New Roman" w:cs="Times New Roman"/>
        </w:rPr>
        <w:t>O cruzamento vetorial identificou os municípios paraenses que possuem mais de 50% de seus territórios sobrepostos a Unidades de Conservação de domínio público e Terras Indígenas homologadas. Conforme ilustra a Figura 1, os municípios que atingem este limiar não se distribuem de forma homogênea no estado, agrupando-se espacialmente em dois grandes maciços contíguos: um ao Norte (Baixo Amazonas) e outro a Sudoeste (região do Xingu).</w:t>
      </w:r>
    </w:p>
    <w:p w14:paraId="6586533B" w14:textId="77777777" w:rsidR="00C16FF3" w:rsidRDefault="00C16FF3" w:rsidP="00C16FF3">
      <w:pPr>
        <w:keepNext/>
        <w:spacing w:after="0" w:line="360" w:lineRule="auto"/>
        <w:jc w:val="both"/>
      </w:pPr>
      <w:r>
        <w:rPr>
          <w:rFonts w:ascii="Times New Roman" w:hAnsi="Times New Roman" w:cs="Times New Roman"/>
          <w:noProof/>
        </w:rPr>
        <w:lastRenderedPageBreak/>
        <w:drawing>
          <wp:inline distT="0" distB="0" distL="0" distR="0" wp14:anchorId="2986823C" wp14:editId="0DAB2A53">
            <wp:extent cx="5759450" cy="4072890"/>
            <wp:effectExtent l="19050" t="19050" r="12700" b="22860"/>
            <wp:docPr id="1102688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88091" name="Imagem 1102688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4072890"/>
                    </a:xfrm>
                    <a:prstGeom prst="rect">
                      <a:avLst/>
                    </a:prstGeom>
                    <a:ln>
                      <a:solidFill>
                        <a:schemeClr val="tx1">
                          <a:lumMod val="50000"/>
                          <a:lumOff val="50000"/>
                        </a:schemeClr>
                      </a:solidFill>
                    </a:ln>
                  </pic:spPr>
                </pic:pic>
              </a:graphicData>
            </a:graphic>
          </wp:inline>
        </w:drawing>
      </w:r>
    </w:p>
    <w:p w14:paraId="0747DC07" w14:textId="729AA9A0" w:rsidR="00C16FF3" w:rsidRPr="00C16FF3" w:rsidRDefault="00C16FF3" w:rsidP="00C16FF3">
      <w:pPr>
        <w:pStyle w:val="Legenda"/>
        <w:jc w:val="both"/>
        <w:rPr>
          <w:rFonts w:ascii="Times New Roman" w:hAnsi="Times New Roman" w:cs="Times New Roman"/>
          <w:i w:val="0"/>
          <w:iCs w:val="0"/>
          <w:color w:val="auto"/>
          <w:sz w:val="20"/>
          <w:szCs w:val="20"/>
        </w:rPr>
      </w:pPr>
      <w:r w:rsidRPr="00C16FF3">
        <w:rPr>
          <w:rFonts w:ascii="Times New Roman" w:hAnsi="Times New Roman" w:cs="Times New Roman"/>
          <w:i w:val="0"/>
          <w:iCs w:val="0"/>
          <w:color w:val="auto"/>
          <w:sz w:val="20"/>
          <w:szCs w:val="20"/>
        </w:rPr>
        <w:t xml:space="preserve">Figura </w:t>
      </w:r>
      <w:r w:rsidRPr="00C16FF3">
        <w:rPr>
          <w:rFonts w:ascii="Times New Roman" w:hAnsi="Times New Roman" w:cs="Times New Roman"/>
          <w:i w:val="0"/>
          <w:iCs w:val="0"/>
          <w:color w:val="auto"/>
          <w:sz w:val="20"/>
          <w:szCs w:val="20"/>
        </w:rPr>
        <w:fldChar w:fldCharType="begin"/>
      </w:r>
      <w:r w:rsidRPr="00C16FF3">
        <w:rPr>
          <w:rFonts w:ascii="Times New Roman" w:hAnsi="Times New Roman" w:cs="Times New Roman"/>
          <w:i w:val="0"/>
          <w:iCs w:val="0"/>
          <w:color w:val="auto"/>
          <w:sz w:val="20"/>
          <w:szCs w:val="20"/>
        </w:rPr>
        <w:instrText xml:space="preserve"> SEQ Figura \* ARABIC </w:instrText>
      </w:r>
      <w:r w:rsidRPr="00C16FF3">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1</w:t>
      </w:r>
      <w:r w:rsidRPr="00C16FF3">
        <w:rPr>
          <w:rFonts w:ascii="Times New Roman" w:hAnsi="Times New Roman" w:cs="Times New Roman"/>
          <w:i w:val="0"/>
          <w:iCs w:val="0"/>
          <w:color w:val="auto"/>
          <w:sz w:val="20"/>
          <w:szCs w:val="20"/>
        </w:rPr>
        <w:fldChar w:fldCharType="end"/>
      </w:r>
      <w:r w:rsidRPr="00C16FF3">
        <w:rPr>
          <w:rFonts w:ascii="Times New Roman" w:hAnsi="Times New Roman" w:cs="Times New Roman"/>
          <w:i w:val="0"/>
          <w:iCs w:val="0"/>
          <w:color w:val="auto"/>
          <w:sz w:val="20"/>
          <w:szCs w:val="20"/>
        </w:rPr>
        <w:t xml:space="preserve"> – Municípios do Pará com mais de 50% de sobreposição com Unidades de Conservação e Terras Indígenas. Fonte: Elaborado pelo autor (2026).</w:t>
      </w:r>
    </w:p>
    <w:p w14:paraId="79F3C4F0" w14:textId="44D407DE" w:rsidR="00C16FF3" w:rsidRPr="00C16FF3" w:rsidRDefault="00211099" w:rsidP="00C16FF3">
      <w:pPr>
        <w:spacing w:before="240" w:line="360" w:lineRule="auto"/>
        <w:ind w:firstLine="709"/>
        <w:jc w:val="both"/>
        <w:rPr>
          <w:rFonts w:ascii="Times New Roman" w:hAnsi="Times New Roman" w:cs="Times New Roman"/>
        </w:rPr>
      </w:pPr>
      <w:r w:rsidRPr="00211099">
        <w:rPr>
          <w:rFonts w:ascii="Times New Roman" w:hAnsi="Times New Roman" w:cs="Times New Roman"/>
        </w:rPr>
        <w:t>A análise espacial demonstra que os municípios com mais de 50% de sobreposição com áreas protegidas agrupam-se maioritariamente nas regiões sudoeste e norte do Pará. A distribuição territorial destes municípios está espacializada na Figura</w:t>
      </w:r>
      <w:r>
        <w:rPr>
          <w:rFonts w:ascii="Times New Roman" w:hAnsi="Times New Roman" w:cs="Times New Roman"/>
        </w:rPr>
        <w:t xml:space="preserve"> </w:t>
      </w:r>
      <w:r w:rsidR="00C16FF3" w:rsidRPr="00C16FF3">
        <w:rPr>
          <w:rFonts w:ascii="Times New Roman" w:hAnsi="Times New Roman" w:cs="Times New Roman"/>
        </w:rPr>
        <w:t>2.</w:t>
      </w:r>
    </w:p>
    <w:p w14:paraId="575AB646" w14:textId="77777777" w:rsidR="00211099" w:rsidRDefault="00211099" w:rsidP="00211099">
      <w:pPr>
        <w:keepNext/>
        <w:spacing w:before="240" w:line="360" w:lineRule="auto"/>
        <w:jc w:val="both"/>
      </w:pPr>
      <w:r>
        <w:rPr>
          <w:rFonts w:ascii="Times New Roman" w:hAnsi="Times New Roman" w:cs="Times New Roman"/>
          <w:b/>
          <w:bCs/>
          <w:noProof/>
        </w:rPr>
        <w:lastRenderedPageBreak/>
        <w:drawing>
          <wp:inline distT="0" distB="0" distL="0" distR="0" wp14:anchorId="02F58C1A" wp14:editId="39F32FD2">
            <wp:extent cx="5759450" cy="4072890"/>
            <wp:effectExtent l="19050" t="19050" r="12700" b="22860"/>
            <wp:docPr id="18716455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45588" name="Imagem 18716455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4072890"/>
                    </a:xfrm>
                    <a:prstGeom prst="rect">
                      <a:avLst/>
                    </a:prstGeom>
                    <a:ln>
                      <a:solidFill>
                        <a:schemeClr val="tx1">
                          <a:lumMod val="50000"/>
                          <a:lumOff val="50000"/>
                        </a:schemeClr>
                      </a:solidFill>
                    </a:ln>
                  </pic:spPr>
                </pic:pic>
              </a:graphicData>
            </a:graphic>
          </wp:inline>
        </w:drawing>
      </w:r>
    </w:p>
    <w:p w14:paraId="4E0F9184" w14:textId="6BD5A0B3" w:rsidR="00211099" w:rsidRPr="00211099" w:rsidRDefault="00211099" w:rsidP="00211099">
      <w:pPr>
        <w:pStyle w:val="Legenda"/>
        <w:jc w:val="both"/>
        <w:rPr>
          <w:rFonts w:ascii="Times New Roman" w:hAnsi="Times New Roman" w:cs="Times New Roman"/>
          <w:i w:val="0"/>
          <w:iCs w:val="0"/>
          <w:color w:val="auto"/>
          <w:sz w:val="20"/>
          <w:szCs w:val="20"/>
        </w:rPr>
      </w:pPr>
      <w:r w:rsidRPr="00211099">
        <w:rPr>
          <w:rFonts w:ascii="Times New Roman" w:hAnsi="Times New Roman" w:cs="Times New Roman"/>
          <w:i w:val="0"/>
          <w:iCs w:val="0"/>
          <w:color w:val="auto"/>
          <w:sz w:val="20"/>
          <w:szCs w:val="20"/>
        </w:rPr>
        <w:t xml:space="preserve">Figura </w:t>
      </w:r>
      <w:r w:rsidRPr="00211099">
        <w:rPr>
          <w:rFonts w:ascii="Times New Roman" w:hAnsi="Times New Roman" w:cs="Times New Roman"/>
          <w:i w:val="0"/>
          <w:iCs w:val="0"/>
          <w:color w:val="auto"/>
          <w:sz w:val="20"/>
          <w:szCs w:val="20"/>
        </w:rPr>
        <w:fldChar w:fldCharType="begin"/>
      </w:r>
      <w:r w:rsidRPr="00211099">
        <w:rPr>
          <w:rFonts w:ascii="Times New Roman" w:hAnsi="Times New Roman" w:cs="Times New Roman"/>
          <w:i w:val="0"/>
          <w:iCs w:val="0"/>
          <w:color w:val="auto"/>
          <w:sz w:val="20"/>
          <w:szCs w:val="20"/>
        </w:rPr>
        <w:instrText xml:space="preserve"> SEQ Figura \* ARABIC </w:instrText>
      </w:r>
      <w:r w:rsidRPr="00211099">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2</w:t>
      </w:r>
      <w:r w:rsidRPr="00211099">
        <w:rPr>
          <w:rFonts w:ascii="Times New Roman" w:hAnsi="Times New Roman" w:cs="Times New Roman"/>
          <w:i w:val="0"/>
          <w:iCs w:val="0"/>
          <w:color w:val="auto"/>
          <w:sz w:val="20"/>
          <w:szCs w:val="20"/>
        </w:rPr>
        <w:fldChar w:fldCharType="end"/>
      </w:r>
      <w:r w:rsidRPr="00211099">
        <w:rPr>
          <w:rFonts w:ascii="Times New Roman" w:hAnsi="Times New Roman" w:cs="Times New Roman"/>
          <w:i w:val="0"/>
          <w:iCs w:val="0"/>
          <w:color w:val="auto"/>
          <w:sz w:val="20"/>
          <w:szCs w:val="20"/>
        </w:rPr>
        <w:t xml:space="preserve"> – Elegibilidade municipal para redução de reserva legal (Art. 12, Lei 12.651/2012). Fonte: Elaborado pelo autor (2026).</w:t>
      </w:r>
    </w:p>
    <w:p w14:paraId="67DF29F6" w14:textId="2FF941F6" w:rsidR="005E1985" w:rsidRPr="005E1985" w:rsidRDefault="004A059C" w:rsidP="004A059C">
      <w:pPr>
        <w:pStyle w:val="Ttulo2"/>
        <w:rPr>
          <w:rFonts w:ascii="Times New Roman" w:hAnsi="Times New Roman" w:cs="Times New Roman"/>
          <w:color w:val="auto"/>
          <w:sz w:val="24"/>
          <w:szCs w:val="24"/>
        </w:rPr>
      </w:pPr>
      <w:bookmarkStart w:id="41" w:name="_Toc224164551"/>
      <w:r w:rsidRPr="004A059C">
        <w:rPr>
          <w:rFonts w:ascii="Times New Roman" w:hAnsi="Times New Roman" w:cs="Times New Roman"/>
          <w:color w:val="auto"/>
          <w:sz w:val="24"/>
          <w:szCs w:val="24"/>
        </w:rPr>
        <w:t>4.2 QUANTIFICAÇÃO DA VARIAÇÃO REGULATÓRIA</w:t>
      </w:r>
      <w:bookmarkEnd w:id="41"/>
    </w:p>
    <w:p w14:paraId="7DE5D446" w14:textId="5E885244" w:rsidR="00211099" w:rsidRPr="00211099" w:rsidRDefault="00211099" w:rsidP="004A059C">
      <w:pPr>
        <w:spacing w:before="240" w:line="360" w:lineRule="auto"/>
        <w:ind w:firstLine="709"/>
        <w:jc w:val="both"/>
        <w:rPr>
          <w:rFonts w:ascii="Times New Roman" w:hAnsi="Times New Roman" w:cs="Times New Roman"/>
        </w:rPr>
      </w:pPr>
      <w:r w:rsidRPr="00211099">
        <w:rPr>
          <w:rFonts w:ascii="Times New Roman" w:hAnsi="Times New Roman" w:cs="Times New Roman"/>
        </w:rPr>
        <w:t xml:space="preserve">A simulação espacial quantificou a diferença absoluta do déficit de Reserva Legal entre o cenário de exigência padrão (80%) e o cenário de exigência reduzida (50%). Na amostra de imóveis analisada, o somatório do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totalizou 5,8 milhões de hectares. Este valor corresponde à área exata de passivo florestal que deixa de ser contabilizada na transição entre os dois cenários, conforme demonstrado na Figura 3.</w:t>
      </w:r>
    </w:p>
    <w:p w14:paraId="72649E4F" w14:textId="77777777" w:rsidR="00211099" w:rsidRDefault="00211099" w:rsidP="00211099">
      <w:pPr>
        <w:keepNext/>
        <w:spacing w:before="240" w:line="360" w:lineRule="auto"/>
        <w:jc w:val="both"/>
      </w:pPr>
      <w:r>
        <w:rPr>
          <w:rFonts w:ascii="Times New Roman" w:hAnsi="Times New Roman" w:cs="Times New Roman"/>
          <w:b/>
          <w:bCs/>
          <w:noProof/>
        </w:rPr>
        <w:lastRenderedPageBreak/>
        <w:drawing>
          <wp:inline distT="0" distB="0" distL="0" distR="0" wp14:anchorId="6A718A77" wp14:editId="70CB150B">
            <wp:extent cx="5759450" cy="3455670"/>
            <wp:effectExtent l="19050" t="19050" r="12700" b="11430"/>
            <wp:docPr id="11956936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93699" name="Imagem 11956936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5EE0974E" w14:textId="4127132A" w:rsidR="00211099" w:rsidRPr="00211099" w:rsidRDefault="00211099" w:rsidP="00211099">
      <w:pPr>
        <w:pStyle w:val="Legenda"/>
        <w:jc w:val="both"/>
        <w:rPr>
          <w:rFonts w:ascii="Times New Roman" w:hAnsi="Times New Roman" w:cs="Times New Roman"/>
          <w:b/>
          <w:bCs/>
          <w:i w:val="0"/>
          <w:iCs w:val="0"/>
          <w:color w:val="auto"/>
          <w:sz w:val="20"/>
          <w:szCs w:val="20"/>
        </w:rPr>
      </w:pPr>
      <w:r w:rsidRPr="00211099">
        <w:rPr>
          <w:rFonts w:ascii="Times New Roman" w:hAnsi="Times New Roman" w:cs="Times New Roman"/>
          <w:i w:val="0"/>
          <w:iCs w:val="0"/>
          <w:color w:val="auto"/>
          <w:sz w:val="20"/>
          <w:szCs w:val="20"/>
        </w:rPr>
        <w:t xml:space="preserve">Figura </w:t>
      </w:r>
      <w:r w:rsidRPr="00211099">
        <w:rPr>
          <w:rFonts w:ascii="Times New Roman" w:hAnsi="Times New Roman" w:cs="Times New Roman"/>
          <w:i w:val="0"/>
          <w:iCs w:val="0"/>
          <w:color w:val="auto"/>
          <w:sz w:val="20"/>
          <w:szCs w:val="20"/>
        </w:rPr>
        <w:fldChar w:fldCharType="begin"/>
      </w:r>
      <w:r w:rsidRPr="00211099">
        <w:rPr>
          <w:rFonts w:ascii="Times New Roman" w:hAnsi="Times New Roman" w:cs="Times New Roman"/>
          <w:i w:val="0"/>
          <w:iCs w:val="0"/>
          <w:color w:val="auto"/>
          <w:sz w:val="20"/>
          <w:szCs w:val="20"/>
        </w:rPr>
        <w:instrText xml:space="preserve"> SEQ Figura \* ARABIC </w:instrText>
      </w:r>
      <w:r w:rsidRPr="00211099">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3</w:t>
      </w:r>
      <w:r w:rsidRPr="00211099">
        <w:rPr>
          <w:rFonts w:ascii="Times New Roman" w:hAnsi="Times New Roman" w:cs="Times New Roman"/>
          <w:i w:val="0"/>
          <w:iCs w:val="0"/>
          <w:color w:val="auto"/>
          <w:sz w:val="20"/>
          <w:szCs w:val="20"/>
        </w:rPr>
        <w:fldChar w:fldCharType="end"/>
      </w:r>
      <w:r w:rsidRPr="00211099">
        <w:rPr>
          <w:rFonts w:ascii="Times New Roman" w:hAnsi="Times New Roman" w:cs="Times New Roman"/>
          <w:i w:val="0"/>
          <w:iCs w:val="0"/>
          <w:color w:val="auto"/>
          <w:sz w:val="20"/>
          <w:szCs w:val="20"/>
        </w:rPr>
        <w:t xml:space="preserve"> – Comparativo do déficit de Reserva Legal por cenário em imóveis acima de 4 MF no Estado do Pará. Fonte: Elaborado pelo autor (2026).</w:t>
      </w:r>
    </w:p>
    <w:p w14:paraId="079A156B" w14:textId="3D0F3A4D" w:rsidR="00211099" w:rsidRPr="00211099" w:rsidRDefault="00211099" w:rsidP="004A059C">
      <w:pPr>
        <w:spacing w:before="240" w:line="360" w:lineRule="auto"/>
        <w:ind w:firstLine="709"/>
        <w:jc w:val="both"/>
        <w:rPr>
          <w:rFonts w:ascii="Times New Roman" w:hAnsi="Times New Roman" w:cs="Times New Roman"/>
        </w:rPr>
      </w:pPr>
      <w:r w:rsidRPr="00211099">
        <w:rPr>
          <w:rFonts w:ascii="Times New Roman" w:hAnsi="Times New Roman" w:cs="Times New Roman"/>
        </w:rPr>
        <w:t xml:space="preserve">O Delta de Regularização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correspondente à área que deixa de ser legalmente exigida para recomposição ou compensação, atinge a escala dos milhões de hectares. Este volume traduz a alteração da conformidade documental de um conjunto de propriedades que, sob a métrica dos 80%, apresentavam passivos de elevada complexidade financeira e operacional para efeitos de restauração florestal.</w:t>
      </w:r>
    </w:p>
    <w:p w14:paraId="4504360E" w14:textId="2163D448" w:rsidR="005E1985" w:rsidRPr="005E1985" w:rsidRDefault="004A059C" w:rsidP="004A059C">
      <w:pPr>
        <w:pStyle w:val="Ttulo2"/>
        <w:rPr>
          <w:rFonts w:ascii="Times New Roman" w:hAnsi="Times New Roman" w:cs="Times New Roman"/>
          <w:color w:val="auto"/>
          <w:sz w:val="24"/>
          <w:szCs w:val="24"/>
        </w:rPr>
      </w:pPr>
      <w:bookmarkStart w:id="42" w:name="_Toc224164552"/>
      <w:r w:rsidRPr="004A059C">
        <w:rPr>
          <w:rFonts w:ascii="Times New Roman" w:hAnsi="Times New Roman" w:cs="Times New Roman"/>
          <w:color w:val="auto"/>
          <w:sz w:val="24"/>
          <w:szCs w:val="24"/>
        </w:rPr>
        <w:t>4.3 PERFIL DO PASSIVO: CONSOLIDADO VS. PÓS-2008</w:t>
      </w:r>
      <w:bookmarkEnd w:id="42"/>
    </w:p>
    <w:p w14:paraId="5335AD3D" w14:textId="139FB492" w:rsidR="002F7A50" w:rsidRPr="002F7A50" w:rsidRDefault="002F7A50" w:rsidP="002F7A50">
      <w:pPr>
        <w:spacing w:before="240" w:line="360" w:lineRule="auto"/>
        <w:ind w:firstLine="709"/>
        <w:jc w:val="both"/>
        <w:rPr>
          <w:rFonts w:ascii="Times New Roman" w:hAnsi="Times New Roman" w:cs="Times New Roman"/>
        </w:rPr>
      </w:pPr>
      <w:r w:rsidRPr="002F7A50">
        <w:rPr>
          <w:rFonts w:ascii="Times New Roman" w:hAnsi="Times New Roman" w:cs="Times New Roman"/>
        </w:rPr>
        <w:t>A integração com o referencial da Coleção 9 do MapBiomas permitiu estratificar o défice florestal em dois períodos, balizados pela data de 22 de julho de 2008. Os dados quantificam a existência de 6,5 milhões de hectares classificados como Passivo Consolidado (Figura 4) e 2,2 milhões de hectares como Passivo Não Consolidado (Figura 5). O processamento dos cenários demonstra que a totalidade da área convertida no Delta de Regularização</w:t>
      </w:r>
      <w:r>
        <w:rPr>
          <w:rFonts w:ascii="Times New Roman" w:hAnsi="Times New Roman" w:cs="Times New Roman"/>
        </w:rPr>
        <w:t xml:space="preserve"> </w:t>
      </w:r>
      <w:r>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11099">
        <w:rPr>
          <w:rFonts w:ascii="Times New Roman" w:hAnsi="Times New Roman" w:cs="Times New Roman"/>
        </w:rPr>
        <w:t xml:space="preserve">), </w:t>
      </w:r>
      <w:r w:rsidRPr="002F7A50">
        <w:rPr>
          <w:rFonts w:ascii="Times New Roman" w:hAnsi="Times New Roman" w:cs="Times New Roman"/>
        </w:rPr>
        <w:t>é deduzida exclusivamente do montante de passivo consolidado. O volume de passivo não consolidado mantém-se matematicamente inalterado em ambas as simulações (80% e 50%), atestando a aderência espacial do modelo ao marco temporal da legislação vigente.</w:t>
      </w:r>
    </w:p>
    <w:p w14:paraId="3A6611EE" w14:textId="77777777" w:rsidR="002F7A50" w:rsidRDefault="002F7A50" w:rsidP="002F7A50">
      <w:pPr>
        <w:keepNext/>
        <w:spacing w:before="240" w:line="360" w:lineRule="auto"/>
        <w:jc w:val="both"/>
      </w:pPr>
      <w:r>
        <w:rPr>
          <w:rFonts w:ascii="Times New Roman" w:hAnsi="Times New Roman" w:cs="Times New Roman"/>
          <w:b/>
          <w:bCs/>
          <w:noProof/>
        </w:rPr>
        <w:lastRenderedPageBreak/>
        <w:drawing>
          <wp:inline distT="0" distB="0" distL="0" distR="0" wp14:anchorId="104CD70D" wp14:editId="676BF852">
            <wp:extent cx="5759450" cy="3455670"/>
            <wp:effectExtent l="19050" t="19050" r="12700" b="11430"/>
            <wp:docPr id="73310405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04055" name="Imagem 7331040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3F14A73E" w14:textId="5401289B" w:rsidR="002F7A50" w:rsidRPr="002F7A50" w:rsidRDefault="002F7A50" w:rsidP="002F7A50">
      <w:pPr>
        <w:pStyle w:val="Legenda"/>
        <w:jc w:val="both"/>
        <w:rPr>
          <w:rFonts w:ascii="Times New Roman" w:hAnsi="Times New Roman" w:cs="Times New Roman"/>
          <w:i w:val="0"/>
          <w:iCs w:val="0"/>
          <w:color w:val="auto"/>
          <w:sz w:val="20"/>
          <w:szCs w:val="20"/>
        </w:rPr>
      </w:pPr>
      <w:r w:rsidRPr="002F7A50">
        <w:rPr>
          <w:rFonts w:ascii="Times New Roman" w:hAnsi="Times New Roman" w:cs="Times New Roman"/>
          <w:i w:val="0"/>
          <w:iCs w:val="0"/>
          <w:color w:val="auto"/>
          <w:sz w:val="20"/>
          <w:szCs w:val="20"/>
        </w:rPr>
        <w:t xml:space="preserve">Figura </w:t>
      </w:r>
      <w:r w:rsidRPr="002F7A50">
        <w:rPr>
          <w:rFonts w:ascii="Times New Roman" w:hAnsi="Times New Roman" w:cs="Times New Roman"/>
          <w:i w:val="0"/>
          <w:iCs w:val="0"/>
          <w:color w:val="auto"/>
          <w:sz w:val="20"/>
          <w:szCs w:val="20"/>
        </w:rPr>
        <w:fldChar w:fldCharType="begin"/>
      </w:r>
      <w:r w:rsidRPr="002F7A50">
        <w:rPr>
          <w:rFonts w:ascii="Times New Roman" w:hAnsi="Times New Roman" w:cs="Times New Roman"/>
          <w:i w:val="0"/>
          <w:iCs w:val="0"/>
          <w:color w:val="auto"/>
          <w:sz w:val="20"/>
          <w:szCs w:val="20"/>
        </w:rPr>
        <w:instrText xml:space="preserve"> SEQ Figura \* ARABIC </w:instrText>
      </w:r>
      <w:r w:rsidRPr="002F7A50">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4</w:t>
      </w:r>
      <w:r w:rsidRPr="002F7A50">
        <w:rPr>
          <w:rFonts w:ascii="Times New Roman" w:hAnsi="Times New Roman" w:cs="Times New Roman"/>
          <w:i w:val="0"/>
          <w:iCs w:val="0"/>
          <w:color w:val="auto"/>
          <w:sz w:val="20"/>
          <w:szCs w:val="20"/>
        </w:rPr>
        <w:fldChar w:fldCharType="end"/>
      </w:r>
      <w:r w:rsidRPr="002F7A50">
        <w:rPr>
          <w:rFonts w:ascii="Times New Roman" w:hAnsi="Times New Roman" w:cs="Times New Roman"/>
          <w:i w:val="0"/>
          <w:iCs w:val="0"/>
          <w:color w:val="auto"/>
          <w:sz w:val="20"/>
          <w:szCs w:val="20"/>
        </w:rPr>
        <w:t xml:space="preserve"> – Distribuição do Passivo Consolidado (supressões anteriores a 22 de julho de 2008) nos imóveis rurais acima de 4 módulos fiscais no Estado do Pará. Fonte: Elaborado pelo autor (2026).</w:t>
      </w:r>
    </w:p>
    <w:p w14:paraId="5A9236A9" w14:textId="77777777" w:rsidR="002F7A50" w:rsidRDefault="002F7A50" w:rsidP="002F7A50">
      <w:pPr>
        <w:keepNext/>
        <w:spacing w:before="240" w:line="360" w:lineRule="auto"/>
        <w:jc w:val="both"/>
      </w:pPr>
      <w:r>
        <w:rPr>
          <w:rFonts w:ascii="Times New Roman" w:hAnsi="Times New Roman" w:cs="Times New Roman"/>
          <w:b/>
          <w:bCs/>
          <w:noProof/>
        </w:rPr>
        <w:drawing>
          <wp:inline distT="0" distB="0" distL="0" distR="0" wp14:anchorId="3D888902" wp14:editId="68F057FA">
            <wp:extent cx="5759450" cy="3455670"/>
            <wp:effectExtent l="19050" t="19050" r="12700" b="11430"/>
            <wp:docPr id="115319778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97786" name="Imagem 11531977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39D4FA13" w14:textId="44E9A4E5" w:rsidR="002F7A50" w:rsidRPr="002F7A50" w:rsidRDefault="002F7A50" w:rsidP="002F7A50">
      <w:pPr>
        <w:pStyle w:val="Legenda"/>
        <w:jc w:val="both"/>
        <w:rPr>
          <w:rFonts w:ascii="Times New Roman" w:hAnsi="Times New Roman" w:cs="Times New Roman"/>
          <w:i w:val="0"/>
          <w:iCs w:val="0"/>
          <w:color w:val="auto"/>
          <w:sz w:val="20"/>
          <w:szCs w:val="20"/>
        </w:rPr>
      </w:pPr>
      <w:r w:rsidRPr="002F7A50">
        <w:rPr>
          <w:rFonts w:ascii="Times New Roman" w:hAnsi="Times New Roman" w:cs="Times New Roman"/>
          <w:i w:val="0"/>
          <w:iCs w:val="0"/>
          <w:color w:val="auto"/>
          <w:sz w:val="20"/>
          <w:szCs w:val="20"/>
        </w:rPr>
        <w:t xml:space="preserve">Figura </w:t>
      </w:r>
      <w:r w:rsidRPr="002F7A50">
        <w:rPr>
          <w:rFonts w:ascii="Times New Roman" w:hAnsi="Times New Roman" w:cs="Times New Roman"/>
          <w:i w:val="0"/>
          <w:iCs w:val="0"/>
          <w:color w:val="auto"/>
          <w:sz w:val="20"/>
          <w:szCs w:val="20"/>
        </w:rPr>
        <w:fldChar w:fldCharType="begin"/>
      </w:r>
      <w:r w:rsidRPr="002F7A50">
        <w:rPr>
          <w:rFonts w:ascii="Times New Roman" w:hAnsi="Times New Roman" w:cs="Times New Roman"/>
          <w:i w:val="0"/>
          <w:iCs w:val="0"/>
          <w:color w:val="auto"/>
          <w:sz w:val="20"/>
          <w:szCs w:val="20"/>
        </w:rPr>
        <w:instrText xml:space="preserve"> SEQ Figura \* ARABIC </w:instrText>
      </w:r>
      <w:r w:rsidRPr="002F7A50">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5</w:t>
      </w:r>
      <w:r w:rsidRPr="002F7A50">
        <w:rPr>
          <w:rFonts w:ascii="Times New Roman" w:hAnsi="Times New Roman" w:cs="Times New Roman"/>
          <w:i w:val="0"/>
          <w:iCs w:val="0"/>
          <w:color w:val="auto"/>
          <w:sz w:val="20"/>
          <w:szCs w:val="20"/>
        </w:rPr>
        <w:fldChar w:fldCharType="end"/>
      </w:r>
      <w:r w:rsidRPr="002F7A50">
        <w:rPr>
          <w:rFonts w:ascii="Times New Roman" w:hAnsi="Times New Roman" w:cs="Times New Roman"/>
          <w:i w:val="0"/>
          <w:iCs w:val="0"/>
          <w:color w:val="auto"/>
          <w:sz w:val="20"/>
          <w:szCs w:val="20"/>
        </w:rPr>
        <w:t xml:space="preserve"> – Distribuição do Passivo Não Consolidado (supressões posteriores a 22 de julho de 2008) nos imóveis rurais acima de 4 módulos fiscais no Estado do Pará. Fonte: Elaborado pelo autor (2026).</w:t>
      </w:r>
    </w:p>
    <w:p w14:paraId="2981C86A" w14:textId="55F98C43" w:rsidR="005E1985" w:rsidRPr="005E1985" w:rsidRDefault="004A059C" w:rsidP="004A059C">
      <w:pPr>
        <w:pStyle w:val="Ttulo2"/>
        <w:rPr>
          <w:rFonts w:ascii="Times New Roman" w:hAnsi="Times New Roman" w:cs="Times New Roman"/>
          <w:color w:val="auto"/>
          <w:sz w:val="24"/>
          <w:szCs w:val="24"/>
        </w:rPr>
      </w:pPr>
      <w:bookmarkStart w:id="43" w:name="_Toc224164553"/>
      <w:r w:rsidRPr="004A059C">
        <w:rPr>
          <w:rFonts w:ascii="Times New Roman" w:hAnsi="Times New Roman" w:cs="Times New Roman"/>
          <w:color w:val="auto"/>
          <w:sz w:val="24"/>
          <w:szCs w:val="24"/>
        </w:rPr>
        <w:lastRenderedPageBreak/>
        <w:t>4.4 DISTRIBUIÇÃO MUNICIPAL E ÁREAS DE MAIOR INCIDÊNCIA</w:t>
      </w:r>
      <w:bookmarkEnd w:id="43"/>
    </w:p>
    <w:p w14:paraId="03DF60D6" w14:textId="02AE71CB" w:rsidR="002F7A50" w:rsidRPr="002F7A50" w:rsidRDefault="002F7A50" w:rsidP="00DF3583">
      <w:pPr>
        <w:spacing w:before="240" w:line="360" w:lineRule="auto"/>
        <w:ind w:firstLine="709"/>
        <w:jc w:val="both"/>
        <w:rPr>
          <w:rFonts w:ascii="Times New Roman" w:hAnsi="Times New Roman" w:cs="Times New Roman"/>
        </w:rPr>
      </w:pPr>
      <w:r w:rsidRPr="002F7A50">
        <w:rPr>
          <w:rFonts w:ascii="Times New Roman" w:hAnsi="Times New Roman" w:cs="Times New Roman"/>
        </w:rPr>
        <w:t>A agregação espacial dos dados permitiu quantificar o volume do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2F7A50">
        <w:rPr>
          <w:rFonts w:ascii="Times New Roman" w:hAnsi="Times New Roman" w:cs="Times New Roman"/>
        </w:rPr>
        <w:t xml:space="preserve">), ao nível municipal. A análise do ranking demonstra uma assimetria na distribuição destes valores, com concentração aguda em municípios específicos (Figura 6). O município de São Félix do Xingu regista o maior valor absoluto, contabilizando 790.303 hectares de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Pr>
          <w:rFonts w:ascii="Times New Roman" w:hAnsi="Times New Roman" w:cs="Times New Roman"/>
        </w:rPr>
        <w:t xml:space="preserve"> </w:t>
      </w:r>
      <w:r w:rsidRPr="002F7A50">
        <w:rPr>
          <w:rFonts w:ascii="Times New Roman" w:hAnsi="Times New Roman" w:cs="Times New Roman"/>
        </w:rPr>
        <w:t>distribuídos por 2.271 imóveis rurais. Na sequência, identificam-se Altamira (240.786 hectares), Ourilândia do Norte (63.549 hectares) e Jacareacanga (35.759 hectares). A espacialização destes resultados evidencia que os maiores volumes de área subtraída do défice concentram-se predominantemente nas regiões central e sudeste do território analisado (Figura 7).</w:t>
      </w:r>
    </w:p>
    <w:p w14:paraId="36DD97FA" w14:textId="77777777" w:rsidR="00DF3583" w:rsidRDefault="00DF3583" w:rsidP="00DF3583">
      <w:pPr>
        <w:keepNext/>
        <w:spacing w:before="240" w:line="360" w:lineRule="auto"/>
        <w:jc w:val="both"/>
      </w:pPr>
      <w:r>
        <w:rPr>
          <w:rFonts w:ascii="Times New Roman" w:hAnsi="Times New Roman" w:cs="Times New Roman"/>
          <w:b/>
          <w:bCs/>
          <w:noProof/>
        </w:rPr>
        <w:drawing>
          <wp:inline distT="0" distB="0" distL="0" distR="0" wp14:anchorId="192EA388" wp14:editId="6FBDBA8D">
            <wp:extent cx="5759450" cy="3455670"/>
            <wp:effectExtent l="19050" t="19050" r="12700" b="11430"/>
            <wp:docPr id="90715854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58545" name="Imagem 90715854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3455670"/>
                    </a:xfrm>
                    <a:prstGeom prst="rect">
                      <a:avLst/>
                    </a:prstGeom>
                    <a:ln>
                      <a:solidFill>
                        <a:schemeClr val="tx1">
                          <a:lumMod val="50000"/>
                          <a:lumOff val="50000"/>
                        </a:schemeClr>
                      </a:solidFill>
                    </a:ln>
                  </pic:spPr>
                </pic:pic>
              </a:graphicData>
            </a:graphic>
          </wp:inline>
        </w:drawing>
      </w:r>
    </w:p>
    <w:p w14:paraId="6E1C1D58" w14:textId="198D3AD5" w:rsidR="00DF3583" w:rsidRPr="00DF3583" w:rsidRDefault="00DF3583" w:rsidP="00DF3583">
      <w:pPr>
        <w:pStyle w:val="Legenda"/>
        <w:jc w:val="both"/>
        <w:rPr>
          <w:rFonts w:ascii="Times New Roman" w:hAnsi="Times New Roman" w:cs="Times New Roman"/>
          <w:i w:val="0"/>
          <w:iCs w:val="0"/>
          <w:color w:val="auto"/>
          <w:sz w:val="20"/>
          <w:szCs w:val="20"/>
        </w:rPr>
      </w:pPr>
      <w:r w:rsidRPr="00DF3583">
        <w:rPr>
          <w:rFonts w:ascii="Times New Roman" w:hAnsi="Times New Roman" w:cs="Times New Roman"/>
          <w:i w:val="0"/>
          <w:iCs w:val="0"/>
          <w:color w:val="auto"/>
          <w:sz w:val="20"/>
          <w:szCs w:val="20"/>
        </w:rPr>
        <w:t xml:space="preserve">Figura </w:t>
      </w:r>
      <w:r w:rsidRPr="00DF3583">
        <w:rPr>
          <w:rFonts w:ascii="Times New Roman" w:hAnsi="Times New Roman" w:cs="Times New Roman"/>
          <w:i w:val="0"/>
          <w:iCs w:val="0"/>
          <w:color w:val="auto"/>
          <w:sz w:val="20"/>
          <w:szCs w:val="20"/>
        </w:rPr>
        <w:fldChar w:fldCharType="begin"/>
      </w:r>
      <w:r w:rsidRPr="00DF3583">
        <w:rPr>
          <w:rFonts w:ascii="Times New Roman" w:hAnsi="Times New Roman" w:cs="Times New Roman"/>
          <w:i w:val="0"/>
          <w:iCs w:val="0"/>
          <w:color w:val="auto"/>
          <w:sz w:val="20"/>
          <w:szCs w:val="20"/>
        </w:rPr>
        <w:instrText xml:space="preserve"> SEQ Figura \* ARABIC </w:instrText>
      </w:r>
      <w:r w:rsidRPr="00DF3583">
        <w:rPr>
          <w:rFonts w:ascii="Times New Roman" w:hAnsi="Times New Roman" w:cs="Times New Roman"/>
          <w:i w:val="0"/>
          <w:iCs w:val="0"/>
          <w:color w:val="auto"/>
          <w:sz w:val="20"/>
          <w:szCs w:val="20"/>
        </w:rPr>
        <w:fldChar w:fldCharType="separate"/>
      </w:r>
      <w:r w:rsidR="00CA069D">
        <w:rPr>
          <w:rFonts w:ascii="Times New Roman" w:hAnsi="Times New Roman" w:cs="Times New Roman"/>
          <w:i w:val="0"/>
          <w:iCs w:val="0"/>
          <w:noProof/>
          <w:color w:val="auto"/>
          <w:sz w:val="20"/>
          <w:szCs w:val="20"/>
        </w:rPr>
        <w:t>6</w:t>
      </w:r>
      <w:r w:rsidRPr="00DF3583">
        <w:rPr>
          <w:rFonts w:ascii="Times New Roman" w:hAnsi="Times New Roman" w:cs="Times New Roman"/>
          <w:i w:val="0"/>
          <w:iCs w:val="0"/>
          <w:color w:val="auto"/>
          <w:sz w:val="20"/>
          <w:szCs w:val="20"/>
        </w:rPr>
        <w:fldChar w:fldCharType="end"/>
      </w:r>
      <w:r>
        <w:rPr>
          <w:rFonts w:ascii="Times New Roman" w:hAnsi="Times New Roman" w:cs="Times New Roman"/>
          <w:i w:val="0"/>
          <w:iCs w:val="0"/>
          <w:color w:val="auto"/>
          <w:sz w:val="20"/>
          <w:szCs w:val="20"/>
        </w:rPr>
        <w:t xml:space="preserve"> </w:t>
      </w:r>
      <w:r w:rsidRPr="00DF3583">
        <w:rPr>
          <w:rFonts w:ascii="Times New Roman" w:hAnsi="Times New Roman" w:cs="Times New Roman"/>
          <w:i w:val="0"/>
          <w:iCs w:val="0"/>
          <w:color w:val="auto"/>
          <w:sz w:val="20"/>
          <w:szCs w:val="20"/>
        </w:rPr>
        <w:t>– Ranking dos 10 municípios com maior volume de Delta de Regularização em imóveis rurais acima de 4 módulos fiscais no Pará. Fonte: Elaborado pelo autor (2026).</w:t>
      </w:r>
    </w:p>
    <w:p w14:paraId="091E613B" w14:textId="77777777" w:rsidR="00DF3583" w:rsidRDefault="00DF3583" w:rsidP="00DF3583">
      <w:pPr>
        <w:keepNext/>
        <w:spacing w:before="240" w:line="360" w:lineRule="auto"/>
        <w:jc w:val="both"/>
      </w:pPr>
      <w:r>
        <w:rPr>
          <w:rFonts w:ascii="Times New Roman" w:hAnsi="Times New Roman" w:cs="Times New Roman"/>
          <w:i/>
          <w:iCs/>
          <w:noProof/>
        </w:rPr>
        <w:lastRenderedPageBreak/>
        <w:drawing>
          <wp:inline distT="0" distB="0" distL="0" distR="0" wp14:anchorId="18A59511" wp14:editId="2B86DC4A">
            <wp:extent cx="5759450" cy="4072890"/>
            <wp:effectExtent l="19050" t="19050" r="12700" b="22860"/>
            <wp:docPr id="169327130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1300" name="Imagem 16932713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4072890"/>
                    </a:xfrm>
                    <a:prstGeom prst="rect">
                      <a:avLst/>
                    </a:prstGeom>
                    <a:ln>
                      <a:solidFill>
                        <a:schemeClr val="tx1">
                          <a:lumMod val="50000"/>
                          <a:lumOff val="50000"/>
                        </a:schemeClr>
                      </a:solidFill>
                    </a:ln>
                  </pic:spPr>
                </pic:pic>
              </a:graphicData>
            </a:graphic>
          </wp:inline>
        </w:drawing>
      </w:r>
    </w:p>
    <w:p w14:paraId="6D84C090" w14:textId="4320A8A2" w:rsidR="00DF3583" w:rsidRPr="00DF3583" w:rsidRDefault="00DF3583" w:rsidP="00DF3583">
      <w:pPr>
        <w:pStyle w:val="Legenda"/>
        <w:jc w:val="both"/>
        <w:rPr>
          <w:i w:val="0"/>
          <w:iCs w:val="0"/>
          <w:color w:val="auto"/>
        </w:rPr>
      </w:pPr>
      <w:r w:rsidRPr="00DF3583">
        <w:rPr>
          <w:i w:val="0"/>
          <w:iCs w:val="0"/>
          <w:color w:val="auto"/>
        </w:rPr>
        <w:t xml:space="preserve">Figura </w:t>
      </w:r>
      <w:r w:rsidRPr="00DF3583">
        <w:rPr>
          <w:i w:val="0"/>
          <w:iCs w:val="0"/>
          <w:color w:val="auto"/>
        </w:rPr>
        <w:fldChar w:fldCharType="begin"/>
      </w:r>
      <w:r w:rsidRPr="00DF3583">
        <w:rPr>
          <w:i w:val="0"/>
          <w:iCs w:val="0"/>
          <w:color w:val="auto"/>
        </w:rPr>
        <w:instrText xml:space="preserve"> SEQ Figura \* ARABIC </w:instrText>
      </w:r>
      <w:r w:rsidRPr="00DF3583">
        <w:rPr>
          <w:i w:val="0"/>
          <w:iCs w:val="0"/>
          <w:color w:val="auto"/>
        </w:rPr>
        <w:fldChar w:fldCharType="separate"/>
      </w:r>
      <w:r w:rsidR="00CA069D">
        <w:rPr>
          <w:i w:val="0"/>
          <w:iCs w:val="0"/>
          <w:noProof/>
          <w:color w:val="auto"/>
        </w:rPr>
        <w:t>7</w:t>
      </w:r>
      <w:r w:rsidRPr="00DF3583">
        <w:rPr>
          <w:i w:val="0"/>
          <w:iCs w:val="0"/>
          <w:color w:val="auto"/>
        </w:rPr>
        <w:fldChar w:fldCharType="end"/>
      </w:r>
      <w:r w:rsidRPr="00DF3583">
        <w:rPr>
          <w:i w:val="0"/>
          <w:iCs w:val="0"/>
          <w:color w:val="auto"/>
        </w:rPr>
        <w:t xml:space="preserve"> – Distribuição espacial do Delta de Regularização </w:t>
      </w:r>
      <w:r w:rsidR="007D493F">
        <w:rPr>
          <w:rFonts w:ascii="Times New Roman" w:hAnsi="Times New Roman" w:cs="Times New Roman"/>
        </w:rPr>
        <w:t>(</w:t>
      </w:r>
      <m:oMath>
        <m:sSub>
          <m:sSubPr>
            <m:ctrlPr>
              <w:rPr>
                <w:rFonts w:ascii="Cambria Math" w:hAnsi="Cambria Math" w:cs="Times New Roman"/>
                <w:i w:val="0"/>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7D493F" w:rsidRPr="00211099">
        <w:rPr>
          <w:rFonts w:ascii="Times New Roman" w:hAnsi="Times New Roman" w:cs="Times New Roman"/>
        </w:rPr>
        <w:t>)</w:t>
      </w:r>
      <w:r w:rsidR="007D493F">
        <w:rPr>
          <w:rFonts w:ascii="Times New Roman" w:hAnsi="Times New Roman" w:cs="Times New Roman"/>
        </w:rPr>
        <w:t xml:space="preserve"> </w:t>
      </w:r>
      <w:r w:rsidRPr="00DF3583">
        <w:rPr>
          <w:i w:val="0"/>
          <w:iCs w:val="0"/>
          <w:color w:val="auto"/>
        </w:rPr>
        <w:t>por município no Estado do Pará. Fonte: Elaborado pelo autor (2026).</w:t>
      </w:r>
    </w:p>
    <w:p w14:paraId="53835F31" w14:textId="2FF8C913" w:rsidR="00CA069D" w:rsidRPr="00CA069D" w:rsidRDefault="004A059C" w:rsidP="004A059C">
      <w:pPr>
        <w:pStyle w:val="Ttulo2"/>
        <w:rPr>
          <w:rFonts w:ascii="Times New Roman" w:hAnsi="Times New Roman" w:cs="Times New Roman"/>
          <w:color w:val="auto"/>
          <w:sz w:val="24"/>
          <w:szCs w:val="24"/>
        </w:rPr>
      </w:pPr>
      <w:bookmarkStart w:id="44" w:name="_Toc224164554"/>
      <w:r w:rsidRPr="004A059C">
        <w:rPr>
          <w:rFonts w:ascii="Times New Roman" w:hAnsi="Times New Roman" w:cs="Times New Roman"/>
          <w:color w:val="auto"/>
          <w:sz w:val="24"/>
          <w:szCs w:val="24"/>
        </w:rPr>
        <w:t>4.5 TIPOLOGIA DO PASSIVO E POTENCIAL DE CONFORMIDADE</w:t>
      </w:r>
      <w:bookmarkEnd w:id="44"/>
    </w:p>
    <w:p w14:paraId="71E7C3EC" w14:textId="77777777" w:rsidR="00CA069D" w:rsidRPr="00CA069D" w:rsidRDefault="00CA069D" w:rsidP="00CA069D">
      <w:pPr>
        <w:spacing w:after="0" w:line="360" w:lineRule="auto"/>
        <w:ind w:firstLine="709"/>
        <w:jc w:val="both"/>
        <w:rPr>
          <w:rFonts w:ascii="Times New Roman" w:hAnsi="Times New Roman" w:cs="Times New Roman"/>
        </w:rPr>
      </w:pPr>
      <w:r w:rsidRPr="00CA069D">
        <w:rPr>
          <w:rFonts w:ascii="Times New Roman" w:hAnsi="Times New Roman" w:cs="Times New Roman"/>
        </w:rPr>
        <w:t>A análise qualitativa estratificou os 16.525 imóveis localizados em municípios elegíveis de acordo com a natureza temporal do défice detectado e a magnitude da supressão pós-2008. Os dados revelam que 44,8% da amostra (7.402 imóveis) não apresenta passivo não consolidado, indicando a ausência de supressão de vegetação nativa após o marco de 22 de julho de 2008 (Figura 8).</w:t>
      </w:r>
    </w:p>
    <w:p w14:paraId="70545759" w14:textId="77777777" w:rsidR="00CA069D" w:rsidRDefault="00CA069D" w:rsidP="00CA069D">
      <w:pPr>
        <w:keepNext/>
        <w:spacing w:after="0" w:line="360" w:lineRule="auto"/>
        <w:jc w:val="center"/>
      </w:pPr>
      <w:r>
        <w:rPr>
          <w:rFonts w:ascii="Times New Roman" w:hAnsi="Times New Roman" w:cs="Times New Roman"/>
          <w:noProof/>
        </w:rPr>
        <w:lastRenderedPageBreak/>
        <w:drawing>
          <wp:inline distT="0" distB="0" distL="0" distR="0" wp14:anchorId="1501EF11" wp14:editId="44E472AF">
            <wp:extent cx="2878668" cy="3120390"/>
            <wp:effectExtent l="19050" t="19050" r="17145" b="22860"/>
            <wp:docPr id="481501230"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01230" name="Imagem 481501230"/>
                    <pic:cNvPicPr/>
                  </pic:nvPicPr>
                  <pic:blipFill rotWithShape="1">
                    <a:blip r:embed="rId17" cstate="print">
                      <a:extLst>
                        <a:ext uri="{28A0092B-C50C-407E-A947-70E740481C1C}">
                          <a14:useLocalDpi xmlns:a14="http://schemas.microsoft.com/office/drawing/2010/main" val="0"/>
                        </a:ext>
                      </a:extLst>
                    </a:blip>
                    <a:srcRect l="15678" r="15126"/>
                    <a:stretch>
                      <a:fillRect/>
                    </a:stretch>
                  </pic:blipFill>
                  <pic:spPr bwMode="auto">
                    <a:xfrm>
                      <a:off x="0" y="0"/>
                      <a:ext cx="2891560" cy="3134364"/>
                    </a:xfrm>
                    <a:prstGeom prst="rect">
                      <a:avLst/>
                    </a:prstGeom>
                    <a:ln w="9525" cap="flat" cmpd="sng" algn="ctr">
                      <a:solidFill>
                        <a:sysClr val="windowText" lastClr="000000">
                          <a:lumMod val="50000"/>
                          <a:lumOff val="50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A7EF5C" w14:textId="464BD0E1"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Pr>
          <w:rFonts w:ascii="Times New Roman" w:hAnsi="Times New Roman" w:cs="Times New Roman"/>
          <w:i w:val="0"/>
          <w:iCs w:val="0"/>
          <w:noProof/>
          <w:color w:val="auto"/>
          <w:sz w:val="20"/>
          <w:szCs w:val="20"/>
        </w:rPr>
        <w:t>8</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Proporção de imóveis rurais elegíveis segundo a ocorrência de passivo não consolidado (pós-2008). Elaborado pelo autor (2026).</w:t>
      </w:r>
    </w:p>
    <w:p w14:paraId="436537A5" w14:textId="07339480" w:rsidR="00CA069D" w:rsidRPr="00CA069D" w:rsidRDefault="00CA069D" w:rsidP="00CA069D">
      <w:pPr>
        <w:spacing w:after="0" w:line="360" w:lineRule="auto"/>
        <w:ind w:firstLine="709"/>
        <w:rPr>
          <w:rFonts w:ascii="Times New Roman" w:hAnsi="Times New Roman" w:cs="Times New Roman"/>
        </w:rPr>
      </w:pPr>
      <w:r>
        <w:rPr>
          <w:rFonts w:ascii="Times New Roman" w:hAnsi="Times New Roman" w:cs="Times New Roman"/>
          <w:i/>
          <w:iCs/>
        </w:rPr>
        <w:t xml:space="preserve"> </w:t>
      </w:r>
      <w:r w:rsidRPr="00CA069D">
        <w:rPr>
          <w:rFonts w:ascii="Times New Roman" w:hAnsi="Times New Roman" w:cs="Times New Roman"/>
        </w:rPr>
        <w:t>A desagregação por status de imóvel identifica cinco categorias exclusivas (Figura 9). O grupo classificado como "Elegível - Apenas Passivo Consolidado" totaliza 4.838 propriedades, representando o segmento com maior potencial de regularização imediata via Artigo 12. Por outro lado, o somatório dos imóveis que apresentam passivo não consolidado ("Apenas Passivo Não Consolidado" e "Ambos Passivos") perfaz 9.123 unidades (55,2% dos elegíveis), mantendo a necessidade de recomposição integral das áreas suprimidas após 2008.</w:t>
      </w:r>
    </w:p>
    <w:p w14:paraId="6AD20B7A" w14:textId="77777777" w:rsidR="00CA069D" w:rsidRDefault="00CA069D" w:rsidP="004B44FD">
      <w:pPr>
        <w:keepNext/>
        <w:spacing w:after="0" w:line="360" w:lineRule="auto"/>
        <w:jc w:val="center"/>
      </w:pPr>
      <w:r>
        <w:rPr>
          <w:rFonts w:ascii="Times New Roman" w:hAnsi="Times New Roman" w:cs="Times New Roman"/>
          <w:b/>
          <w:bCs/>
          <w:noProof/>
        </w:rPr>
        <w:drawing>
          <wp:inline distT="0" distB="0" distL="0" distR="0" wp14:anchorId="43CBA3B5" wp14:editId="52C1F07A">
            <wp:extent cx="5368290" cy="3220974"/>
            <wp:effectExtent l="19050" t="19050" r="22860" b="17780"/>
            <wp:docPr id="32023288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32888" name="Imagem 3202328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69743" cy="3221846"/>
                    </a:xfrm>
                    <a:prstGeom prst="rect">
                      <a:avLst/>
                    </a:prstGeom>
                    <a:ln>
                      <a:solidFill>
                        <a:schemeClr val="tx1">
                          <a:lumMod val="50000"/>
                          <a:lumOff val="50000"/>
                        </a:schemeClr>
                      </a:solidFill>
                    </a:ln>
                  </pic:spPr>
                </pic:pic>
              </a:graphicData>
            </a:graphic>
          </wp:inline>
        </w:drawing>
      </w:r>
    </w:p>
    <w:p w14:paraId="170F44D4" w14:textId="2114A3F0"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Pr>
          <w:rFonts w:ascii="Times New Roman" w:hAnsi="Times New Roman" w:cs="Times New Roman"/>
          <w:i w:val="0"/>
          <w:iCs w:val="0"/>
          <w:noProof/>
          <w:color w:val="auto"/>
          <w:sz w:val="20"/>
          <w:szCs w:val="20"/>
        </w:rPr>
        <w:t>9</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Quantitativo de imóveis rurais elegíveis por categoria de status de passivo ambiental. Elaborado pelo autor (2026).</w:t>
      </w:r>
    </w:p>
    <w:p w14:paraId="1A625EA2" w14:textId="577E971F" w:rsidR="00CA069D" w:rsidRPr="00CA069D" w:rsidRDefault="00CA069D" w:rsidP="00CA069D">
      <w:pPr>
        <w:spacing w:after="0" w:line="360" w:lineRule="auto"/>
        <w:ind w:firstLine="709"/>
        <w:jc w:val="both"/>
        <w:rPr>
          <w:rFonts w:ascii="Times New Roman" w:hAnsi="Times New Roman" w:cs="Times New Roman"/>
        </w:rPr>
      </w:pPr>
      <w:r w:rsidRPr="00CA069D">
        <w:rPr>
          <w:rFonts w:ascii="Times New Roman" w:hAnsi="Times New Roman" w:cs="Times New Roman"/>
        </w:rPr>
        <w:lastRenderedPageBreak/>
        <w:t xml:space="preserve">A comparação do impacto médio da redução demonstra que os imóveis sem passivo não consolidado registram um Delta de Regularização </w:t>
      </w:r>
      <w:r w:rsidR="007D493F">
        <w:rPr>
          <w:rFonts w:ascii="Times New Roman" w:hAnsi="Times New Roman" w:cs="Times New Roman"/>
        </w:rPr>
        <w:t>(</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7D493F" w:rsidRPr="00211099">
        <w:rPr>
          <w:rFonts w:ascii="Times New Roman" w:hAnsi="Times New Roman" w:cs="Times New Roman"/>
        </w:rPr>
        <w:t>)</w:t>
      </w:r>
      <w:r w:rsidR="007D493F">
        <w:rPr>
          <w:rFonts w:ascii="Times New Roman" w:hAnsi="Times New Roman" w:cs="Times New Roman"/>
        </w:rPr>
        <w:t xml:space="preserve"> </w:t>
      </w:r>
      <w:r w:rsidRPr="00CA069D">
        <w:rPr>
          <w:rFonts w:ascii="Times New Roman" w:hAnsi="Times New Roman" w:cs="Times New Roman"/>
        </w:rPr>
        <w:t>médio de 185,6 hectares, valor ligeiramente superior aos 181,9 hectares de média observados no grupo com passivo recente (Figura 10).</w:t>
      </w:r>
    </w:p>
    <w:p w14:paraId="3B9DCF56" w14:textId="77777777" w:rsidR="00CA069D" w:rsidRDefault="00CA069D" w:rsidP="004B44FD">
      <w:pPr>
        <w:keepNext/>
        <w:spacing w:after="0" w:line="360" w:lineRule="auto"/>
        <w:jc w:val="center"/>
      </w:pPr>
      <w:r>
        <w:rPr>
          <w:rFonts w:ascii="Times New Roman" w:hAnsi="Times New Roman" w:cs="Times New Roman"/>
          <w:b/>
          <w:bCs/>
          <w:noProof/>
        </w:rPr>
        <w:drawing>
          <wp:inline distT="0" distB="0" distL="0" distR="0" wp14:anchorId="7F927DF7" wp14:editId="1E7335D2">
            <wp:extent cx="4888230" cy="3666442"/>
            <wp:effectExtent l="19050" t="19050" r="26670" b="10795"/>
            <wp:docPr id="19964676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67611" name="Imagem 19964676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00820" cy="3675886"/>
                    </a:xfrm>
                    <a:prstGeom prst="rect">
                      <a:avLst/>
                    </a:prstGeom>
                    <a:ln>
                      <a:solidFill>
                        <a:schemeClr val="tx1">
                          <a:lumMod val="50000"/>
                          <a:lumOff val="50000"/>
                        </a:schemeClr>
                      </a:solidFill>
                    </a:ln>
                  </pic:spPr>
                </pic:pic>
              </a:graphicData>
            </a:graphic>
          </wp:inline>
        </w:drawing>
      </w:r>
    </w:p>
    <w:p w14:paraId="3027F840" w14:textId="668CE9AA" w:rsidR="00CA069D" w:rsidRPr="00CA069D" w:rsidRDefault="00CA069D" w:rsidP="00CA069D">
      <w:pPr>
        <w:pStyle w:val="Legenda"/>
        <w:jc w:val="both"/>
        <w:rPr>
          <w:rFonts w:ascii="Times New Roman" w:hAnsi="Times New Roman" w:cs="Times New Roman"/>
          <w:i w:val="0"/>
          <w:iCs w:val="0"/>
          <w:color w:val="auto"/>
          <w:sz w:val="20"/>
          <w:szCs w:val="20"/>
        </w:rPr>
      </w:pPr>
      <w:r w:rsidRPr="00CA069D">
        <w:rPr>
          <w:rFonts w:ascii="Times New Roman" w:hAnsi="Times New Roman" w:cs="Times New Roman"/>
          <w:i w:val="0"/>
          <w:iCs w:val="0"/>
          <w:color w:val="auto"/>
          <w:sz w:val="20"/>
          <w:szCs w:val="20"/>
        </w:rPr>
        <w:t xml:space="preserve">Figura </w:t>
      </w:r>
      <w:r w:rsidRPr="00CA069D">
        <w:rPr>
          <w:rFonts w:ascii="Times New Roman" w:hAnsi="Times New Roman" w:cs="Times New Roman"/>
          <w:i w:val="0"/>
          <w:iCs w:val="0"/>
          <w:color w:val="auto"/>
          <w:sz w:val="20"/>
          <w:szCs w:val="20"/>
        </w:rPr>
        <w:fldChar w:fldCharType="begin"/>
      </w:r>
      <w:r w:rsidRPr="00CA069D">
        <w:rPr>
          <w:rFonts w:ascii="Times New Roman" w:hAnsi="Times New Roman" w:cs="Times New Roman"/>
          <w:i w:val="0"/>
          <w:iCs w:val="0"/>
          <w:color w:val="auto"/>
          <w:sz w:val="20"/>
          <w:szCs w:val="20"/>
        </w:rPr>
        <w:instrText xml:space="preserve"> SEQ Figura \* ARABIC </w:instrText>
      </w:r>
      <w:r w:rsidRPr="00CA069D">
        <w:rPr>
          <w:rFonts w:ascii="Times New Roman" w:hAnsi="Times New Roman" w:cs="Times New Roman"/>
          <w:i w:val="0"/>
          <w:iCs w:val="0"/>
          <w:color w:val="auto"/>
          <w:sz w:val="20"/>
          <w:szCs w:val="20"/>
        </w:rPr>
        <w:fldChar w:fldCharType="separate"/>
      </w:r>
      <w:r w:rsidRPr="00CA069D">
        <w:rPr>
          <w:rFonts w:ascii="Times New Roman" w:hAnsi="Times New Roman" w:cs="Times New Roman"/>
          <w:i w:val="0"/>
          <w:iCs w:val="0"/>
          <w:noProof/>
          <w:color w:val="auto"/>
          <w:sz w:val="20"/>
          <w:szCs w:val="20"/>
        </w:rPr>
        <w:t>10</w:t>
      </w:r>
      <w:r w:rsidRPr="00CA069D">
        <w:rPr>
          <w:rFonts w:ascii="Times New Roman" w:hAnsi="Times New Roman" w:cs="Times New Roman"/>
          <w:i w:val="0"/>
          <w:iCs w:val="0"/>
          <w:color w:val="auto"/>
          <w:sz w:val="20"/>
          <w:szCs w:val="20"/>
        </w:rPr>
        <w:fldChar w:fldCharType="end"/>
      </w:r>
      <w:r w:rsidRPr="00CA069D">
        <w:rPr>
          <w:rFonts w:ascii="Times New Roman" w:hAnsi="Times New Roman" w:cs="Times New Roman"/>
          <w:i w:val="0"/>
          <w:iCs w:val="0"/>
          <w:color w:val="auto"/>
          <w:sz w:val="20"/>
          <w:szCs w:val="20"/>
        </w:rPr>
        <w:t xml:space="preserve"> – Comparativo do Delta de Regularização </w:t>
      </w:r>
      <m:oMath>
        <m:sSub>
          <m:sSubPr>
            <m:ctrlPr>
              <w:rPr>
                <w:rFonts w:ascii="Cambria Math" w:hAnsi="Cambria Math" w:cs="Times New Roman"/>
                <w:i w:val="0"/>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007D493F">
        <w:rPr>
          <w:rFonts w:ascii="Times New Roman" w:hAnsi="Times New Roman" w:cs="Times New Roman"/>
        </w:rPr>
        <w:t xml:space="preserve"> </w:t>
      </w:r>
      <w:r w:rsidRPr="00CA069D">
        <w:rPr>
          <w:rFonts w:ascii="Times New Roman" w:hAnsi="Times New Roman" w:cs="Times New Roman"/>
          <w:i w:val="0"/>
          <w:iCs w:val="0"/>
          <w:color w:val="auto"/>
          <w:sz w:val="20"/>
          <w:szCs w:val="20"/>
        </w:rPr>
        <w:t>médio entre imóveis elegíveis com e sem passivo não consolidado. Elaborado pelo autor (2026).</w:t>
      </w:r>
    </w:p>
    <w:p w14:paraId="3C96104E" w14:textId="4DF8813F" w:rsidR="001F48F5" w:rsidRPr="00CA069D" w:rsidRDefault="00CA069D" w:rsidP="00CA069D">
      <w:pPr>
        <w:spacing w:after="0" w:line="360" w:lineRule="auto"/>
        <w:ind w:firstLine="709"/>
        <w:jc w:val="both"/>
        <w:rPr>
          <w:rFonts w:ascii="Times New Roman" w:hAnsi="Times New Roman" w:cs="Times New Roman"/>
        </w:rPr>
      </w:pPr>
      <w:r w:rsidRPr="00CA069D">
        <w:rPr>
          <w:rFonts w:ascii="Times New Roman" w:hAnsi="Times New Roman" w:cs="Times New Roman"/>
        </w:rPr>
        <w:t>Por fim, a estratificação por magnitude do passivo não consolidado indica que, entre os imóveis com supressão pós-2008, 4.620 propriedades apresentam défices de até 50 hectares (classe "Pequeno"), enquanto 520 imóveis registram passivos superiores a 500 hectares (classe "Muito Grande").</w:t>
      </w:r>
    </w:p>
    <w:p w14:paraId="1D3BDCB6" w14:textId="77777777" w:rsidR="007D493F" w:rsidRDefault="007D493F" w:rsidP="004A059C">
      <w:pPr>
        <w:pStyle w:val="Ttulo1"/>
        <w:rPr>
          <w:rFonts w:cs="Times New Roman"/>
        </w:rPr>
      </w:pPr>
      <w:bookmarkStart w:id="45" w:name="_Toc224164555"/>
      <w:r w:rsidRPr="007D493F">
        <w:rPr>
          <w:rFonts w:cs="Times New Roman"/>
        </w:rPr>
        <w:t>5. DISCUSSÃO E IMPLICAÇÕES PARA A GESTÃO PÚBLICA</w:t>
      </w:r>
      <w:bookmarkEnd w:id="45"/>
    </w:p>
    <w:p w14:paraId="0F72185E" w14:textId="3E4C21AF" w:rsidR="007D493F" w:rsidRPr="007D493F" w:rsidRDefault="004A059C" w:rsidP="004A059C">
      <w:pPr>
        <w:pStyle w:val="Ttulo2"/>
        <w:rPr>
          <w:rFonts w:ascii="Times New Roman" w:hAnsi="Times New Roman" w:cs="Times New Roman"/>
          <w:color w:val="auto"/>
          <w:sz w:val="24"/>
          <w:szCs w:val="24"/>
        </w:rPr>
      </w:pPr>
      <w:bookmarkStart w:id="46" w:name="_Toc224164556"/>
      <w:r w:rsidRPr="004A059C">
        <w:rPr>
          <w:rFonts w:ascii="Times New Roman" w:hAnsi="Times New Roman" w:cs="Times New Roman"/>
          <w:color w:val="auto"/>
          <w:sz w:val="24"/>
          <w:szCs w:val="24"/>
        </w:rPr>
        <w:t>5.2 O CUSTO DA INFLEXIBILIDADE</w:t>
      </w:r>
      <w:bookmarkEnd w:id="46"/>
    </w:p>
    <w:p w14:paraId="271D9781" w14:textId="7A1583CB" w:rsidR="007D493F" w:rsidRPr="007D493F" w:rsidRDefault="007D493F" w:rsidP="007D493F">
      <w:pPr>
        <w:spacing w:after="0" w:line="360" w:lineRule="auto"/>
        <w:ind w:firstLine="709"/>
        <w:jc w:val="both"/>
        <w:rPr>
          <w:rFonts w:ascii="Times New Roman" w:hAnsi="Times New Roman" w:cs="Times New Roman"/>
        </w:rPr>
      </w:pPr>
      <w:r w:rsidRPr="007D493F">
        <w:rPr>
          <w:rFonts w:ascii="Times New Roman" w:hAnsi="Times New Roman" w:cs="Times New Roman"/>
        </w:rPr>
        <w:t>A transição da ilegalidade para a conformidade ambiental na Amazônia esbarra em uma barreira limitante: o altíssimo custo de oportunidade e de restauração da terra. A modelagem geoestatística desenvolvida neste estudo revelou um Delta de Regularização de 5,8 milhões de hectares, o que representa a exata dimensão de terras produtivas consolidadas que seriam poupadas da obrigatoriedade de conversão florestal caso a regra de redução para 50% seja aplicada de forma ampla no estado do Pará.</w:t>
      </w:r>
    </w:p>
    <w:p w14:paraId="354A0309" w14:textId="77777777" w:rsidR="007D493F" w:rsidRPr="007D493F" w:rsidRDefault="007D493F" w:rsidP="007D493F">
      <w:pPr>
        <w:spacing w:after="0" w:line="360" w:lineRule="auto"/>
        <w:ind w:firstLine="709"/>
        <w:jc w:val="both"/>
        <w:rPr>
          <w:rFonts w:ascii="Times New Roman" w:hAnsi="Times New Roman" w:cs="Times New Roman"/>
        </w:rPr>
      </w:pPr>
      <w:r w:rsidRPr="007D493F">
        <w:rPr>
          <w:rFonts w:ascii="Times New Roman" w:hAnsi="Times New Roman" w:cs="Times New Roman"/>
        </w:rPr>
        <w:lastRenderedPageBreak/>
        <w:t xml:space="preserve">A exigência de recomposição do patamar de 80% em áreas de uso alternativo do solo consolidado impõe um ônus que compromete a viabilidade econômica das propriedades rurais. Conforme elucida a literatura sobre o tema, a conversão em massa de terras agropecuárias consolidadas de volta para o estado de floresta natural geraria impactos socioeconômicos enormes, não havendo sequer capacidade técnica ou logística instalada no país para executar a restauração ecológica em tamanha imensidão de terras (SPAROVEK </w:t>
      </w:r>
      <w:r w:rsidRPr="007D493F">
        <w:rPr>
          <w:rFonts w:ascii="Times New Roman" w:hAnsi="Times New Roman" w:cs="Times New Roman"/>
          <w:i/>
          <w:iCs/>
        </w:rPr>
        <w:t>et al.</w:t>
      </w:r>
      <w:r w:rsidRPr="007D493F">
        <w:rPr>
          <w:rFonts w:ascii="Times New Roman" w:hAnsi="Times New Roman" w:cs="Times New Roman"/>
        </w:rPr>
        <w:t>, 2011).</w:t>
      </w:r>
    </w:p>
    <w:p w14:paraId="73633B92" w14:textId="77777777" w:rsidR="007D493F" w:rsidRPr="007D493F" w:rsidRDefault="007D493F" w:rsidP="007D493F">
      <w:pPr>
        <w:spacing w:after="0" w:line="360" w:lineRule="auto"/>
        <w:ind w:firstLine="709"/>
        <w:jc w:val="both"/>
        <w:rPr>
          <w:rFonts w:ascii="Times New Roman" w:hAnsi="Times New Roman" w:cs="Times New Roman"/>
        </w:rPr>
      </w:pPr>
      <w:r w:rsidRPr="007D493F">
        <w:rPr>
          <w:rFonts w:ascii="Times New Roman" w:hAnsi="Times New Roman" w:cs="Times New Roman"/>
        </w:rPr>
        <w:t xml:space="preserve">Ademais, a imobilização de grandes extensões de terras de alta aptidão produtiva gera um custo de oportunidade severo no bioma Amazônia (SOUZA </w:t>
      </w:r>
      <w:r w:rsidRPr="007D493F">
        <w:rPr>
          <w:rFonts w:ascii="Times New Roman" w:hAnsi="Times New Roman" w:cs="Times New Roman"/>
          <w:i/>
          <w:iCs/>
        </w:rPr>
        <w:t>et al.</w:t>
      </w:r>
      <w:r w:rsidRPr="007D493F">
        <w:rPr>
          <w:rFonts w:ascii="Times New Roman" w:hAnsi="Times New Roman" w:cs="Times New Roman"/>
        </w:rPr>
        <w:t xml:space="preserve">, 2025). Foi exatamente o reconhecimento dessa inviabilidade prática e econômica que motivou o legislador a criar regimes de transição e de flexibilização no Código Florestal (Lei nº 12.651/2012), buscando o equilíbrio entre a preservação dos serviços ecossistêmicos e a manutenção do setor produtivo que já se encontrava consolidado antes do marco legal (RAJÃO </w:t>
      </w:r>
      <w:r w:rsidRPr="007D493F">
        <w:rPr>
          <w:rFonts w:ascii="Times New Roman" w:hAnsi="Times New Roman" w:cs="Times New Roman"/>
          <w:i/>
          <w:iCs/>
        </w:rPr>
        <w:t>et al.</w:t>
      </w:r>
      <w:r w:rsidRPr="007D493F">
        <w:rPr>
          <w:rFonts w:ascii="Times New Roman" w:hAnsi="Times New Roman" w:cs="Times New Roman"/>
        </w:rPr>
        <w:t>, 2021). A aplicação da redução prevista no Artigo 12 impede, portanto, a insolvência em massa dos produtores paraenses, traduzindo-se na fixação de mais de 5 milhões de hectares na economia formal do estado.</w:t>
      </w:r>
    </w:p>
    <w:p w14:paraId="40F13EEF" w14:textId="7F52C90E" w:rsidR="007D493F" w:rsidRPr="007D493F" w:rsidRDefault="004A059C" w:rsidP="004A059C">
      <w:pPr>
        <w:pStyle w:val="Ttulo2"/>
        <w:rPr>
          <w:rFonts w:ascii="Times New Roman" w:hAnsi="Times New Roman" w:cs="Times New Roman"/>
          <w:color w:val="auto"/>
          <w:sz w:val="24"/>
          <w:szCs w:val="24"/>
        </w:rPr>
      </w:pPr>
      <w:bookmarkStart w:id="47" w:name="_Toc224164557"/>
      <w:r w:rsidRPr="004A059C">
        <w:rPr>
          <w:rFonts w:ascii="Times New Roman" w:hAnsi="Times New Roman" w:cs="Times New Roman"/>
          <w:color w:val="auto"/>
          <w:sz w:val="24"/>
          <w:szCs w:val="24"/>
        </w:rPr>
        <w:t>5.3 O DESMATAMENTO PÓS-2008 E O RIGOR PROBATÓRIO</w:t>
      </w:r>
      <w:bookmarkEnd w:id="47"/>
    </w:p>
    <w:p w14:paraId="02082A13" w14:textId="115B97B3" w:rsidR="007D493F" w:rsidRPr="007D493F" w:rsidRDefault="007D493F" w:rsidP="007D493F">
      <w:pPr>
        <w:spacing w:after="0" w:line="360" w:lineRule="auto"/>
        <w:ind w:firstLine="709"/>
        <w:jc w:val="both"/>
        <w:rPr>
          <w:rFonts w:ascii="Times New Roman" w:hAnsi="Times New Roman" w:cs="Times New Roman"/>
        </w:rPr>
      </w:pPr>
      <w:r w:rsidRPr="007D493F">
        <w:rPr>
          <w:rFonts w:ascii="Times New Roman" w:hAnsi="Times New Roman" w:cs="Times New Roman"/>
        </w:rPr>
        <w:t>Se, por um lado, a dispensa de recomposição sobre o passivo consolidado atua como um alívio econômico vital, por outro, a modelagem estabelece uma barreira ética intransponível: o isolamento do desmatamento ilegal recente. O estudo quantificou 2,2 milhões de hectares de passivo não consolidado</w:t>
      </w:r>
      <w:r>
        <w:rPr>
          <w:rFonts w:ascii="Times New Roman" w:hAnsi="Times New Roman" w:cs="Times New Roman"/>
        </w:rPr>
        <w:t xml:space="preserve">, </w:t>
      </w:r>
      <w:r w:rsidRPr="007D493F">
        <w:rPr>
          <w:rFonts w:ascii="Times New Roman" w:hAnsi="Times New Roman" w:cs="Times New Roman"/>
        </w:rPr>
        <w:t>ou seja, supressão de vegetação nativa ocorrida após 22 de julho de 2008, ressaltando que a redução da Reserva Legal não se traduz em um "passe livre" ou anistia para infrações recentes.</w:t>
      </w:r>
    </w:p>
    <w:p w14:paraId="0E42C6D0" w14:textId="77777777" w:rsidR="007D493F" w:rsidRPr="007D493F" w:rsidRDefault="007D493F" w:rsidP="007D493F">
      <w:pPr>
        <w:spacing w:after="0" w:line="360" w:lineRule="auto"/>
        <w:ind w:firstLine="709"/>
        <w:jc w:val="both"/>
        <w:rPr>
          <w:rFonts w:ascii="Times New Roman" w:hAnsi="Times New Roman" w:cs="Times New Roman"/>
        </w:rPr>
      </w:pPr>
      <w:r w:rsidRPr="007D493F">
        <w:rPr>
          <w:rFonts w:ascii="Times New Roman" w:hAnsi="Times New Roman" w:cs="Times New Roman"/>
        </w:rPr>
        <w:t xml:space="preserve">Como aponta a doutrina, a flexibilização das regras para o passivo pretérito exige, em contrapartida, um rigoroso e implacável sistema de comando e controle para as supressões futuras, a fim de não criar um incentivo moral à degradação contínua (RAJÃO </w:t>
      </w:r>
      <w:r w:rsidRPr="007D493F">
        <w:rPr>
          <w:rFonts w:ascii="Times New Roman" w:hAnsi="Times New Roman" w:cs="Times New Roman"/>
          <w:i/>
          <w:iCs/>
        </w:rPr>
        <w:t>et al.</w:t>
      </w:r>
      <w:r w:rsidRPr="007D493F">
        <w:rPr>
          <w:rFonts w:ascii="Times New Roman" w:hAnsi="Times New Roman" w:cs="Times New Roman"/>
        </w:rPr>
        <w:t>, 2021). A separação exata entre passivo consolidado e não consolidado só é viável graças ao avanço das séries temporais de alta resolução. O uso das tecnologias de sensoriamento remoto, consagradas por iniciativas como o Projeto MapBiomas, permite mapear com alta precisão e rapidez as cicatrizes de desmatamento, fornecendo laudos incontestáveis de cobertura vegetal histórica (MAPBIOMAS, 2025).</w:t>
      </w:r>
    </w:p>
    <w:p w14:paraId="3490475B" w14:textId="51D59F1E" w:rsidR="007D493F" w:rsidRDefault="007D493F" w:rsidP="007D493F">
      <w:pPr>
        <w:spacing w:after="0" w:line="360" w:lineRule="auto"/>
        <w:ind w:firstLine="709"/>
        <w:jc w:val="both"/>
        <w:rPr>
          <w:rFonts w:ascii="Times New Roman" w:hAnsi="Times New Roman" w:cs="Times New Roman"/>
        </w:rPr>
      </w:pPr>
      <w:r w:rsidRPr="007D493F">
        <w:rPr>
          <w:rFonts w:ascii="Times New Roman" w:hAnsi="Times New Roman" w:cs="Times New Roman"/>
        </w:rPr>
        <w:t xml:space="preserve">A aplicação destas ferramentas geoestatísticas na identificação da linha de corte de 2008 confere extrema segurança jurídica ao Estado. O uso de imagens de satélite e dados espaciais já se consolidou como prova documental autônoma e idônea na constatação de danos </w:t>
      </w:r>
      <w:r w:rsidRPr="007D493F">
        <w:rPr>
          <w:rFonts w:ascii="Times New Roman" w:hAnsi="Times New Roman" w:cs="Times New Roman"/>
        </w:rPr>
        <w:lastRenderedPageBreak/>
        <w:t>ambientais, entendimento este pacificado pelo Superior Tribunal de Justiça e parametrizado pelo Conselho Nacional de Justiça (BRASIL, 2017; BRASIL, 2020; CNJ, 2023). Dessa forma, a aplicação automatizada do Art. 12 garante que a regularização beneficie exclusivamente os produtores adequados aos critérios da consolidação, permitindo que as forças de fiscalização estaduais foquem seus limitados recursos punitivos cirurgicamente sobre os 2,2 milhões de hectares de ilegalidade pós-2008.</w:t>
      </w:r>
    </w:p>
    <w:p w14:paraId="0E6B5F63" w14:textId="3557B85C" w:rsidR="00DD24CC" w:rsidRDefault="007D493F" w:rsidP="004A059C">
      <w:pPr>
        <w:pStyle w:val="Ttulo1"/>
        <w:rPr>
          <w:rFonts w:cs="Times New Roman"/>
        </w:rPr>
      </w:pPr>
      <w:bookmarkStart w:id="48" w:name="_Toc224164558"/>
      <w:r>
        <w:rPr>
          <w:rFonts w:cs="Times New Roman"/>
        </w:rPr>
        <w:t>6</w:t>
      </w:r>
      <w:r w:rsidRPr="007D493F">
        <w:rPr>
          <w:rFonts w:cs="Times New Roman"/>
        </w:rPr>
        <w:t xml:space="preserve"> </w:t>
      </w:r>
      <w:r w:rsidR="00DD24CC" w:rsidRPr="007D493F">
        <w:rPr>
          <w:rFonts w:cs="Times New Roman"/>
        </w:rPr>
        <w:t>CONCLUSÃO</w:t>
      </w:r>
      <w:bookmarkEnd w:id="48"/>
    </w:p>
    <w:p w14:paraId="75D332D3" w14:textId="77777777" w:rsidR="005D4794" w:rsidRPr="005D4794" w:rsidRDefault="005D4794" w:rsidP="005D4794">
      <w:pPr>
        <w:spacing w:after="0" w:line="360" w:lineRule="auto"/>
        <w:jc w:val="both"/>
        <w:rPr>
          <w:rFonts w:ascii="Times New Roman" w:hAnsi="Times New Roman" w:cs="Times New Roman"/>
        </w:rPr>
      </w:pPr>
      <w:r w:rsidRPr="005D4794">
        <w:rPr>
          <w:rFonts w:ascii="Times New Roman" w:hAnsi="Times New Roman" w:cs="Times New Roman"/>
        </w:rPr>
        <w:t>O presente estudo avaliou a viabilidade técnica e o impacto geoestatístico da aplicação do Artigo 12 da Lei nº 12.651/2012 para imóveis rurais superiores a 4 módulos fiscais no Estado do Pará. A modelagem desenvolvida permitiu quantificar a dimensão territorial e o perfil de conformidade ambiental sob o cenário de redução da Reserva Legal de 80% para 50%.</w:t>
      </w:r>
    </w:p>
    <w:p w14:paraId="4251C27C" w14:textId="2B75631F" w:rsidR="005D4794" w:rsidRPr="005D4794" w:rsidRDefault="004A059C" w:rsidP="004A059C">
      <w:pPr>
        <w:pStyle w:val="Ttulo2"/>
        <w:rPr>
          <w:rFonts w:ascii="Times New Roman" w:hAnsi="Times New Roman" w:cs="Times New Roman"/>
          <w:color w:val="auto"/>
          <w:sz w:val="24"/>
          <w:szCs w:val="24"/>
        </w:rPr>
      </w:pPr>
      <w:bookmarkStart w:id="49" w:name="_Toc224164559"/>
      <w:r w:rsidRPr="004A059C">
        <w:rPr>
          <w:rFonts w:ascii="Times New Roman" w:hAnsi="Times New Roman" w:cs="Times New Roman"/>
          <w:color w:val="auto"/>
          <w:sz w:val="24"/>
          <w:szCs w:val="24"/>
        </w:rPr>
        <w:t>6.1 SÍNTESE DO IMPACTO TERRITORIAL</w:t>
      </w:r>
      <w:bookmarkEnd w:id="49"/>
    </w:p>
    <w:p w14:paraId="559EF65F" w14:textId="600BECBF" w:rsidR="005D4794" w:rsidRPr="005D4794" w:rsidRDefault="005D4794" w:rsidP="005D4794">
      <w:pPr>
        <w:spacing w:after="0" w:line="360" w:lineRule="auto"/>
        <w:ind w:firstLine="709"/>
        <w:jc w:val="both"/>
        <w:rPr>
          <w:rFonts w:ascii="Times New Roman" w:hAnsi="Times New Roman" w:cs="Times New Roman"/>
        </w:rPr>
      </w:pPr>
      <w:r w:rsidRPr="005D4794">
        <w:rPr>
          <w:rFonts w:ascii="Times New Roman" w:hAnsi="Times New Roman" w:cs="Times New Roman"/>
        </w:rPr>
        <w:t>A análise identificou 18 municípios que cumprem os critérios de elegibilidade geográfica e normativa. Nestes territórios, a transição para a métrica de 50% resulta em um Delta de Regularização (</w:t>
      </w:r>
      <m:oMath>
        <m:sSub>
          <m:sSubPr>
            <m:ctrlPr>
              <w:rPr>
                <w:rFonts w:ascii="Cambria Math" w:hAnsi="Cambria Math" w:cs="Times New Roman"/>
                <w:i/>
              </w:rPr>
            </m:ctrlPr>
          </m:sSubPr>
          <m:e>
            <m:r>
              <m:rPr>
                <m:sty m:val="p"/>
              </m:rPr>
              <w:rPr>
                <w:rFonts w:ascii="Cambria Math" w:hAnsi="Cambria Math" w:cs="Times New Roman"/>
              </w:rPr>
              <m:t>Δ</m:t>
            </m:r>
            <m:ctrlPr>
              <w:rPr>
                <w:rFonts w:ascii="Cambria Math" w:hAnsi="Cambria Math" w:cs="Times New Roman"/>
              </w:rPr>
            </m:ctrlPr>
          </m:e>
          <m:sub>
            <m:r>
              <w:rPr>
                <w:rFonts w:ascii="Cambria Math" w:hAnsi="Cambria Math" w:cs="Times New Roman"/>
              </w:rPr>
              <m:t>reg</m:t>
            </m:r>
          </m:sub>
        </m:sSub>
      </m:oMath>
      <w:r w:rsidRPr="005D4794">
        <w:rPr>
          <w:rFonts w:ascii="Times New Roman" w:hAnsi="Times New Roman" w:cs="Times New Roman"/>
        </w:rPr>
        <w:t>)</w:t>
      </w:r>
      <w:r>
        <w:rPr>
          <w:rFonts w:ascii="Times New Roman" w:hAnsi="Times New Roman" w:cs="Times New Roman"/>
        </w:rPr>
        <w:t xml:space="preserve"> </w:t>
      </w:r>
      <w:r w:rsidRPr="005D4794">
        <w:rPr>
          <w:rFonts w:ascii="Times New Roman" w:hAnsi="Times New Roman" w:cs="Times New Roman"/>
        </w:rPr>
        <w:t>acumulado de 5,8 milhões de hectares.</w:t>
      </w:r>
    </w:p>
    <w:p w14:paraId="4E5E86DC" w14:textId="77777777" w:rsidR="005D4794" w:rsidRPr="005D4794" w:rsidRDefault="005D4794" w:rsidP="005D4794">
      <w:pPr>
        <w:spacing w:after="0" w:line="360" w:lineRule="auto"/>
        <w:ind w:firstLine="709"/>
        <w:jc w:val="both"/>
        <w:rPr>
          <w:rFonts w:ascii="Times New Roman" w:hAnsi="Times New Roman" w:cs="Times New Roman"/>
        </w:rPr>
      </w:pPr>
      <w:r w:rsidRPr="005D4794">
        <w:rPr>
          <w:rFonts w:ascii="Times New Roman" w:hAnsi="Times New Roman" w:cs="Times New Roman"/>
        </w:rPr>
        <w:t>Do ponto de vista qualitativo, a análise de 16.525 imóveis localizados nestas áreas revelou que 4.838 propriedades apresentam potencial de conformidade ambiental imediata, uma vez que seu défice é composto exclusivamente por passivo consolidado (pré-2008). Por outro lado, a manutenção de 2,2 milhões de hectares como passivo não consolidado (pós-2008) demonstra que a metodologia isola com precisão o benefício legal, impedindo a anistia de infrações recentes.</w:t>
      </w:r>
    </w:p>
    <w:p w14:paraId="1B68726D" w14:textId="36D0EC15" w:rsidR="005D4794" w:rsidRPr="005D4794" w:rsidRDefault="004A059C" w:rsidP="004A059C">
      <w:pPr>
        <w:pStyle w:val="Ttulo2"/>
        <w:rPr>
          <w:rFonts w:ascii="Times New Roman" w:hAnsi="Times New Roman" w:cs="Times New Roman"/>
          <w:color w:val="auto"/>
          <w:sz w:val="24"/>
          <w:szCs w:val="24"/>
        </w:rPr>
      </w:pPr>
      <w:bookmarkStart w:id="50" w:name="_Toc224164560"/>
      <w:r w:rsidRPr="004A059C">
        <w:rPr>
          <w:rFonts w:ascii="Times New Roman" w:hAnsi="Times New Roman" w:cs="Times New Roman"/>
          <w:color w:val="auto"/>
          <w:sz w:val="24"/>
          <w:szCs w:val="24"/>
        </w:rPr>
        <w:t>6.2 PARECER QUANTO À ADOÇÃO DA METODOLOGIA</w:t>
      </w:r>
      <w:bookmarkEnd w:id="50"/>
    </w:p>
    <w:p w14:paraId="10FA8489" w14:textId="77777777" w:rsidR="005D4794" w:rsidRPr="005D4794" w:rsidRDefault="005D4794" w:rsidP="005D4794">
      <w:pPr>
        <w:spacing w:after="0" w:line="360" w:lineRule="auto"/>
        <w:ind w:firstLine="709"/>
        <w:jc w:val="both"/>
        <w:rPr>
          <w:rFonts w:ascii="Times New Roman" w:hAnsi="Times New Roman" w:cs="Times New Roman"/>
        </w:rPr>
      </w:pPr>
      <w:r w:rsidRPr="005D4794">
        <w:rPr>
          <w:rFonts w:ascii="Times New Roman" w:hAnsi="Times New Roman" w:cs="Times New Roman"/>
        </w:rPr>
        <w:t>Com base nos resultados obtidos, o parecer sobre a adoção desta metodologia para a gestão da regularização ambiental no Pará é favorável, pautando-se nos seguintes pontos de impacto:</w:t>
      </w:r>
    </w:p>
    <w:p w14:paraId="75BB3370" w14:textId="77777777" w:rsidR="005D4794" w:rsidRPr="005D4794" w:rsidRDefault="005D4794" w:rsidP="005D4794">
      <w:pPr>
        <w:pStyle w:val="PargrafodaLista"/>
        <w:numPr>
          <w:ilvl w:val="0"/>
          <w:numId w:val="11"/>
        </w:numPr>
        <w:spacing w:after="0" w:line="360" w:lineRule="auto"/>
        <w:ind w:left="993"/>
        <w:jc w:val="both"/>
        <w:rPr>
          <w:rFonts w:ascii="Times New Roman" w:hAnsi="Times New Roman" w:cs="Times New Roman"/>
        </w:rPr>
      </w:pPr>
      <w:r w:rsidRPr="005D4794">
        <w:rPr>
          <w:rFonts w:ascii="Times New Roman" w:hAnsi="Times New Roman" w:cs="Times New Roman"/>
        </w:rPr>
        <w:t>Segurança Jurídica e Probatória: O uso da validação temporal via MapBiomas (Coleção 9) e processamento em nuvem confere integridade ao marco de julho de 2008, reduzindo a subjetividade na análise do passivo.</w:t>
      </w:r>
    </w:p>
    <w:p w14:paraId="29B14E51" w14:textId="77777777" w:rsidR="005D4794" w:rsidRPr="005D4794" w:rsidRDefault="005D4794" w:rsidP="005D4794">
      <w:pPr>
        <w:pStyle w:val="PargrafodaLista"/>
        <w:numPr>
          <w:ilvl w:val="0"/>
          <w:numId w:val="11"/>
        </w:numPr>
        <w:spacing w:after="0" w:line="360" w:lineRule="auto"/>
        <w:ind w:left="993"/>
        <w:jc w:val="both"/>
        <w:rPr>
          <w:rFonts w:ascii="Times New Roman" w:hAnsi="Times New Roman" w:cs="Times New Roman"/>
        </w:rPr>
      </w:pPr>
      <w:r w:rsidRPr="005D4794">
        <w:rPr>
          <w:rFonts w:ascii="Times New Roman" w:hAnsi="Times New Roman" w:cs="Times New Roman"/>
        </w:rPr>
        <w:t>Viabilidade Econômica: A conversão de 5,8 milhões de hectares de passivo "de papel" em conformidade documental elimina uma barreira de restauração que, conforme a literatura e os custos logísticos regionais, seria tecnicamente inviável e economicamente insolvente para o setor produtivo.</w:t>
      </w:r>
    </w:p>
    <w:p w14:paraId="1216525E" w14:textId="77777777" w:rsidR="005D4794" w:rsidRPr="005D4794" w:rsidRDefault="005D4794" w:rsidP="005D4794">
      <w:pPr>
        <w:pStyle w:val="PargrafodaLista"/>
        <w:numPr>
          <w:ilvl w:val="0"/>
          <w:numId w:val="11"/>
        </w:numPr>
        <w:spacing w:after="0" w:line="360" w:lineRule="auto"/>
        <w:ind w:left="993"/>
        <w:jc w:val="both"/>
        <w:rPr>
          <w:rFonts w:ascii="Times New Roman" w:hAnsi="Times New Roman" w:cs="Times New Roman"/>
        </w:rPr>
      </w:pPr>
      <w:r w:rsidRPr="005D4794">
        <w:rPr>
          <w:rFonts w:ascii="Times New Roman" w:hAnsi="Times New Roman" w:cs="Times New Roman"/>
        </w:rPr>
        <w:lastRenderedPageBreak/>
        <w:t>Eficiência na Gestão de Dados: A automação desenvolvida permite que o Estado processe grandes volumes de dados do SICAR-PA de forma padronizada, possibilitando uma visão clara de onde o passivo ambiental é um legado histórico e onde ele é um problema de desmatamento persistente.</w:t>
      </w:r>
    </w:p>
    <w:p w14:paraId="7D62AAEC" w14:textId="71F04839" w:rsidR="005D4794" w:rsidRPr="005D4794" w:rsidRDefault="004A059C" w:rsidP="004A059C">
      <w:pPr>
        <w:pStyle w:val="Ttulo2"/>
        <w:rPr>
          <w:rFonts w:ascii="Times New Roman" w:hAnsi="Times New Roman" w:cs="Times New Roman"/>
          <w:color w:val="auto"/>
          <w:sz w:val="24"/>
          <w:szCs w:val="24"/>
        </w:rPr>
      </w:pPr>
      <w:bookmarkStart w:id="51" w:name="_Toc224164561"/>
      <w:r w:rsidRPr="004A059C">
        <w:rPr>
          <w:rFonts w:ascii="Times New Roman" w:hAnsi="Times New Roman" w:cs="Times New Roman"/>
          <w:color w:val="auto"/>
          <w:sz w:val="24"/>
          <w:szCs w:val="24"/>
        </w:rPr>
        <w:t>6.3 DISPONIBILIDADE DE DADOS E REPRODUTIBILIDADE</w:t>
      </w:r>
      <w:bookmarkEnd w:id="51"/>
    </w:p>
    <w:p w14:paraId="4D442A93" w14:textId="77777777" w:rsidR="005D4794" w:rsidRPr="005D4794" w:rsidRDefault="005D4794" w:rsidP="005D4794">
      <w:pPr>
        <w:spacing w:after="0" w:line="360" w:lineRule="auto"/>
        <w:ind w:firstLine="709"/>
        <w:jc w:val="both"/>
        <w:rPr>
          <w:rFonts w:ascii="Times New Roman" w:hAnsi="Times New Roman" w:cs="Times New Roman"/>
        </w:rPr>
      </w:pPr>
      <w:r w:rsidRPr="005D4794">
        <w:rPr>
          <w:rFonts w:ascii="Times New Roman" w:hAnsi="Times New Roman" w:cs="Times New Roman"/>
        </w:rPr>
        <w:t>Para garantir a transparência e permitir auditorias técnicas sobre os valores apresentados, todos os recursos da análise estão disponíveis:</w:t>
      </w:r>
    </w:p>
    <w:p w14:paraId="4B223992" w14:textId="77777777" w:rsidR="005D4794" w:rsidRPr="005D4794" w:rsidRDefault="005D4794" w:rsidP="005D4794">
      <w:pPr>
        <w:pStyle w:val="PargrafodaLista"/>
        <w:numPr>
          <w:ilvl w:val="0"/>
          <w:numId w:val="12"/>
        </w:numPr>
        <w:spacing w:after="0" w:line="360" w:lineRule="auto"/>
        <w:jc w:val="both"/>
        <w:rPr>
          <w:rFonts w:ascii="Times New Roman" w:hAnsi="Times New Roman" w:cs="Times New Roman"/>
        </w:rPr>
      </w:pPr>
      <w:r w:rsidRPr="005D4794">
        <w:rPr>
          <w:rFonts w:ascii="Times New Roman" w:hAnsi="Times New Roman" w:cs="Times New Roman"/>
        </w:rPr>
        <w:t xml:space="preserve">Código-fonte e Documentação: </w:t>
      </w:r>
      <w:hyperlink r:id="rId20" w:tgtFrame="_blank" w:history="1">
        <w:r w:rsidRPr="005D4794">
          <w:rPr>
            <w:rStyle w:val="Hyperlink"/>
            <w:rFonts w:ascii="Times New Roman" w:hAnsi="Times New Roman" w:cs="Times New Roman"/>
          </w:rPr>
          <w:t>github.com/NGEO-IDEFLOR-Bio/analise-reserva-legal-para</w:t>
        </w:r>
      </w:hyperlink>
    </w:p>
    <w:p w14:paraId="7B076CA7" w14:textId="77777777" w:rsidR="005D4794" w:rsidRPr="005D4794" w:rsidRDefault="005D4794" w:rsidP="005D4794">
      <w:pPr>
        <w:pStyle w:val="PargrafodaLista"/>
        <w:numPr>
          <w:ilvl w:val="0"/>
          <w:numId w:val="12"/>
        </w:numPr>
        <w:spacing w:after="0" w:line="360" w:lineRule="auto"/>
        <w:jc w:val="both"/>
        <w:rPr>
          <w:rFonts w:ascii="Times New Roman" w:hAnsi="Times New Roman" w:cs="Times New Roman"/>
        </w:rPr>
      </w:pPr>
      <w:r w:rsidRPr="005D4794">
        <w:rPr>
          <w:rFonts w:ascii="Times New Roman" w:hAnsi="Times New Roman" w:cs="Times New Roman"/>
        </w:rPr>
        <w:t xml:space="preserve">Resultados Brutos e Estatísticas: </w:t>
      </w:r>
      <w:hyperlink r:id="rId21" w:tgtFrame="_blank" w:history="1">
        <w:r w:rsidRPr="005D4794">
          <w:rPr>
            <w:rStyle w:val="Hyperlink"/>
            <w:rFonts w:ascii="Times New Roman" w:hAnsi="Times New Roman" w:cs="Times New Roman"/>
          </w:rPr>
          <w:t>Pasta /output</w:t>
        </w:r>
      </w:hyperlink>
    </w:p>
    <w:p w14:paraId="66E041F8" w14:textId="77777777" w:rsidR="005D4794" w:rsidRPr="005D4794" w:rsidRDefault="005D4794" w:rsidP="005D4794">
      <w:pPr>
        <w:pStyle w:val="PargrafodaLista"/>
        <w:numPr>
          <w:ilvl w:val="0"/>
          <w:numId w:val="12"/>
        </w:numPr>
        <w:spacing w:after="0" w:line="360" w:lineRule="auto"/>
        <w:jc w:val="both"/>
        <w:rPr>
          <w:rFonts w:ascii="Times New Roman" w:hAnsi="Times New Roman" w:cs="Times New Roman"/>
        </w:rPr>
      </w:pPr>
      <w:r w:rsidRPr="005D4794">
        <w:rPr>
          <w:rFonts w:ascii="Times New Roman" w:hAnsi="Times New Roman" w:cs="Times New Roman"/>
        </w:rPr>
        <w:t xml:space="preserve">Produtos Cartográficos: </w:t>
      </w:r>
      <w:hyperlink r:id="rId22" w:tgtFrame="_blank" w:history="1">
        <w:r w:rsidRPr="005D4794">
          <w:rPr>
            <w:rStyle w:val="Hyperlink"/>
            <w:rFonts w:ascii="Times New Roman" w:hAnsi="Times New Roman" w:cs="Times New Roman"/>
          </w:rPr>
          <w:t>Pasta /mapas</w:t>
        </w:r>
      </w:hyperlink>
    </w:p>
    <w:p w14:paraId="48370D7D" w14:textId="53CA753A" w:rsidR="00DD24CC" w:rsidRPr="007D493F" w:rsidRDefault="007D493F" w:rsidP="004A059C">
      <w:pPr>
        <w:pStyle w:val="Ttulo1"/>
        <w:rPr>
          <w:rFonts w:cs="Times New Roman"/>
        </w:rPr>
      </w:pPr>
      <w:bookmarkStart w:id="52" w:name="_Toc224164562"/>
      <w:r>
        <w:rPr>
          <w:rFonts w:cs="Times New Roman"/>
        </w:rPr>
        <w:t>7</w:t>
      </w:r>
      <w:r w:rsidR="00DD24CC" w:rsidRPr="007D493F">
        <w:rPr>
          <w:rFonts w:cs="Times New Roman"/>
        </w:rPr>
        <w:t xml:space="preserve"> REFERÊNCIAS</w:t>
      </w:r>
      <w:bookmarkEnd w:id="52"/>
    </w:p>
    <w:p w14:paraId="761682A7" w14:textId="77777777" w:rsidR="00962403" w:rsidRDefault="00962403" w:rsidP="004A059C">
      <w:pPr>
        <w:spacing w:before="240" w:line="360" w:lineRule="auto"/>
        <w:jc w:val="both"/>
        <w:rPr>
          <w:rFonts w:ascii="Times New Roman" w:hAnsi="Times New Roman" w:cs="Times New Roman"/>
        </w:rPr>
      </w:pPr>
      <w:r w:rsidRPr="009C4947">
        <w:rPr>
          <w:rFonts w:ascii="Times New Roman" w:hAnsi="Times New Roman" w:cs="Times New Roman"/>
        </w:rPr>
        <w:t xml:space="preserve">ALMEIDA, C. A. de et al. </w:t>
      </w:r>
      <w:r w:rsidRPr="009C4947">
        <w:rPr>
          <w:rFonts w:ascii="Times New Roman" w:hAnsi="Times New Roman" w:cs="Times New Roman"/>
          <w:b/>
          <w:bCs/>
        </w:rPr>
        <w:t>Metodologia utilizada nos sistemas PRODES e DETER</w:t>
      </w:r>
      <w:r w:rsidRPr="009C4947">
        <w:rPr>
          <w:rFonts w:ascii="Times New Roman" w:hAnsi="Times New Roman" w:cs="Times New Roman"/>
        </w:rPr>
        <w:t>. 2. ed. São José dos Campos: INPE, 2022.</w:t>
      </w:r>
    </w:p>
    <w:p w14:paraId="589F34A8"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t xml:space="preserve">BRASIL. </w:t>
      </w:r>
      <w:r w:rsidRPr="00E35BC1">
        <w:rPr>
          <w:rFonts w:ascii="Times New Roman" w:hAnsi="Times New Roman" w:cs="Times New Roman"/>
          <w:b/>
          <w:bCs/>
        </w:rPr>
        <w:t>Decreto de 24 de abril de 2013</w:t>
      </w:r>
      <w:r w:rsidRPr="00E35BC1">
        <w:rPr>
          <w:rFonts w:ascii="Times New Roman" w:hAnsi="Times New Roman" w:cs="Times New Roman"/>
        </w:rPr>
        <w:t>. Brasília, DF: Presidência da República, 2013.</w:t>
      </w:r>
    </w:p>
    <w:p w14:paraId="6EB3F1C3"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BRASIL. </w:t>
      </w:r>
      <w:r w:rsidRPr="00F47B23">
        <w:rPr>
          <w:rFonts w:ascii="Times New Roman" w:hAnsi="Times New Roman" w:cs="Times New Roman"/>
          <w:b/>
          <w:bCs/>
        </w:rPr>
        <w:t>Lei nº 12.651, de 25 de maio de 2012</w:t>
      </w:r>
      <w:r w:rsidRPr="00F47B23">
        <w:rPr>
          <w:rFonts w:ascii="Times New Roman" w:hAnsi="Times New Roman" w:cs="Times New Roman"/>
        </w:rPr>
        <w:t>. Dispõe sobre a proteção da vegetação nativa; altera as Leis nºs 6.938, de 31 de agosto de 1981, 9.393, de 19 de dezembro de 1996, e 11.428, de 22 de dezembro de 2006; revoga as Leis nºs 4.771, de 15 de setembro de 1965, e 7.754, de 14 de abril de 1989, e a Medida Provisória nº 2.166-67, de 24 de agosto de 2001; e dá outras providências. Diário Oficial da União, Brasília, DF, 28 maio 2012.</w:t>
      </w:r>
    </w:p>
    <w:p w14:paraId="084EB2CA" w14:textId="77777777" w:rsidR="00962403" w:rsidRPr="008B797B" w:rsidRDefault="00962403" w:rsidP="003D0CAE">
      <w:pPr>
        <w:spacing w:line="360" w:lineRule="auto"/>
        <w:jc w:val="both"/>
        <w:rPr>
          <w:rFonts w:ascii="Times New Roman" w:hAnsi="Times New Roman" w:cs="Times New Roman"/>
        </w:rPr>
      </w:pPr>
      <w:r w:rsidRPr="00B55AD7">
        <w:rPr>
          <w:rFonts w:ascii="Times New Roman" w:hAnsi="Times New Roman" w:cs="Times New Roman"/>
        </w:rPr>
        <w:t xml:space="preserve">BRASIL. </w:t>
      </w:r>
      <w:r w:rsidRPr="00B55AD7">
        <w:rPr>
          <w:rFonts w:ascii="Times New Roman" w:hAnsi="Times New Roman" w:cs="Times New Roman"/>
          <w:b/>
          <w:bCs/>
        </w:rPr>
        <w:t>Lei nº 8.629, de 25 de fevereiro de 1993</w:t>
      </w:r>
      <w:r w:rsidRPr="00B55AD7">
        <w:rPr>
          <w:rFonts w:ascii="Times New Roman" w:hAnsi="Times New Roman" w:cs="Times New Roman"/>
        </w:rPr>
        <w:t xml:space="preserve">. Dispõe sobre a regulamentação dos dispositivos constitucionais relativos à reforma agrária, previstos no Capítulo III, Título VII, da Constituição Federal. Brasília, DF: Presidência da República, [1993]. Disponível em: </w:t>
      </w:r>
      <w:hyperlink r:id="rId23" w:tgtFrame="_blank" w:history="1">
        <w:r w:rsidRPr="00B55AD7">
          <w:rPr>
            <w:rStyle w:val="Hyperlink"/>
            <w:rFonts w:ascii="Times New Roman" w:hAnsi="Times New Roman" w:cs="Times New Roman"/>
          </w:rPr>
          <w:t>http://www.planalto.gov.br/ccivil_03/leis/l8629.htm</w:t>
        </w:r>
      </w:hyperlink>
      <w:r w:rsidRPr="00B55AD7">
        <w:rPr>
          <w:rFonts w:ascii="Times New Roman" w:hAnsi="Times New Roman" w:cs="Times New Roman"/>
        </w:rPr>
        <w:t>. Acesso em: 10 mar. 2026.</w:t>
      </w:r>
    </w:p>
    <w:p w14:paraId="4E2DA70E" w14:textId="77777777" w:rsidR="00962403" w:rsidRPr="008B797B" w:rsidRDefault="00962403"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1.284.069/RS</w:t>
      </w:r>
      <w:r w:rsidRPr="008B797B">
        <w:rPr>
          <w:rFonts w:ascii="Times New Roman" w:hAnsi="Times New Roman" w:cs="Times New Roman"/>
        </w:rPr>
        <w:t>. Relator: Ministro Herman Benjamin. Julgado em 17 nov. 2016. DJe 28 ago. 2020.</w:t>
      </w:r>
    </w:p>
    <w:p w14:paraId="486E9C5A" w14:textId="77777777" w:rsidR="00962403" w:rsidRDefault="00962403" w:rsidP="003D0CAE">
      <w:pPr>
        <w:spacing w:line="360" w:lineRule="auto"/>
        <w:jc w:val="both"/>
        <w:rPr>
          <w:rFonts w:ascii="Times New Roman" w:hAnsi="Times New Roman" w:cs="Times New Roman"/>
        </w:rPr>
      </w:pPr>
      <w:r w:rsidRPr="008B797B">
        <w:rPr>
          <w:rFonts w:ascii="Times New Roman" w:hAnsi="Times New Roman" w:cs="Times New Roman"/>
        </w:rPr>
        <w:t xml:space="preserve">BRASIL. Superior Tribunal de Justiça (2. Turma). </w:t>
      </w:r>
      <w:r w:rsidRPr="008B797B">
        <w:rPr>
          <w:rFonts w:ascii="Times New Roman" w:hAnsi="Times New Roman" w:cs="Times New Roman"/>
          <w:b/>
          <w:bCs/>
        </w:rPr>
        <w:t>Recurso Especial nº 1.644.195/SC</w:t>
      </w:r>
      <w:r w:rsidRPr="008B797B">
        <w:rPr>
          <w:rFonts w:ascii="Times New Roman" w:hAnsi="Times New Roman" w:cs="Times New Roman"/>
        </w:rPr>
        <w:t>. Relator: Ministro Herman Benjamin. Julgado em 27 abr. 2017. DJe 08 mai. 2017.</w:t>
      </w:r>
    </w:p>
    <w:p w14:paraId="2CCBE4F9"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t xml:space="preserve">CONSELHO NACIONAL DE JUSTIÇA (CNJ). </w:t>
      </w:r>
      <w:r w:rsidRPr="00E35BC1">
        <w:rPr>
          <w:rFonts w:ascii="Times New Roman" w:hAnsi="Times New Roman" w:cs="Times New Roman"/>
          <w:b/>
          <w:bCs/>
        </w:rPr>
        <w:t>Protocolo para julgamento de ações ambientais</w:t>
      </w:r>
      <w:r w:rsidRPr="00E35BC1">
        <w:rPr>
          <w:rFonts w:ascii="Times New Roman" w:hAnsi="Times New Roman" w:cs="Times New Roman"/>
        </w:rPr>
        <w:t xml:space="preserve">: primeiro escopo: parâmetros para uso das provas produzidas exclusivamente por </w:t>
      </w:r>
      <w:r w:rsidRPr="00E35BC1">
        <w:rPr>
          <w:rFonts w:ascii="Times New Roman" w:hAnsi="Times New Roman" w:cs="Times New Roman"/>
        </w:rPr>
        <w:lastRenderedPageBreak/>
        <w:t>sensoriamento remoto ou obtidas por satélite no acervo probatório das ações judiciais ambientais. Brasília: CNJ, 2023.</w:t>
      </w:r>
    </w:p>
    <w:p w14:paraId="3B70B861" w14:textId="77777777" w:rsidR="00962403" w:rsidRDefault="00962403" w:rsidP="003D0CAE">
      <w:pPr>
        <w:spacing w:line="360" w:lineRule="auto"/>
        <w:jc w:val="both"/>
        <w:rPr>
          <w:rFonts w:ascii="Times New Roman" w:hAnsi="Times New Roman" w:cs="Times New Roman"/>
        </w:rPr>
      </w:pPr>
      <w:r w:rsidRPr="009C4947">
        <w:rPr>
          <w:rFonts w:ascii="Times New Roman" w:hAnsi="Times New Roman" w:cs="Times New Roman"/>
        </w:rPr>
        <w:t xml:space="preserve">FELIPPE, D. de; TRENTINI, F. </w:t>
      </w:r>
      <w:r w:rsidRPr="00962403">
        <w:rPr>
          <w:rFonts w:ascii="Times New Roman" w:hAnsi="Times New Roman" w:cs="Times New Roman"/>
          <w:b/>
          <w:bCs/>
        </w:rPr>
        <w:t>O conceito de área rural consolidada no Código Florestal de 2012:</w:t>
      </w:r>
      <w:r w:rsidRPr="009C4947">
        <w:rPr>
          <w:rFonts w:ascii="Times New Roman" w:hAnsi="Times New Roman" w:cs="Times New Roman"/>
        </w:rPr>
        <w:t xml:space="preserve"> principais controvérsias. </w:t>
      </w:r>
      <w:r w:rsidRPr="00962403">
        <w:rPr>
          <w:rFonts w:ascii="Times New Roman" w:hAnsi="Times New Roman" w:cs="Times New Roman"/>
        </w:rPr>
        <w:t>Revista de Direito Agrário e Agroambiental</w:t>
      </w:r>
      <w:r w:rsidRPr="009C4947">
        <w:rPr>
          <w:rFonts w:ascii="Times New Roman" w:hAnsi="Times New Roman" w:cs="Times New Roman"/>
        </w:rPr>
        <w:t>, Salvador, v. 4, n. 1, p. 77-93, jan./jun. 2018.</w:t>
      </w:r>
    </w:p>
    <w:p w14:paraId="6E5E4125"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t xml:space="preserve">INSTITUTO INTERNACIONAL PARA SUSTENTABILIDADE (IIS). </w:t>
      </w:r>
      <w:r w:rsidRPr="00E35BC1">
        <w:rPr>
          <w:rFonts w:ascii="Times New Roman" w:hAnsi="Times New Roman" w:cs="Times New Roman"/>
          <w:b/>
          <w:bCs/>
        </w:rPr>
        <w:t>Análise Econômica de uma Pecuária Mais Sustentável</w:t>
      </w:r>
      <w:r w:rsidRPr="00E35BC1">
        <w:rPr>
          <w:rFonts w:ascii="Times New Roman" w:hAnsi="Times New Roman" w:cs="Times New Roman"/>
        </w:rPr>
        <w:t>. Rio de Janeiro: IIS, 2015.</w:t>
      </w:r>
    </w:p>
    <w:p w14:paraId="30F61577" w14:textId="77777777" w:rsidR="00962403" w:rsidRPr="00962403" w:rsidRDefault="00962403" w:rsidP="00962403">
      <w:pPr>
        <w:spacing w:line="360" w:lineRule="auto"/>
        <w:jc w:val="both"/>
        <w:rPr>
          <w:rFonts w:ascii="Times New Roman" w:hAnsi="Times New Roman" w:cs="Times New Roman"/>
        </w:rPr>
      </w:pPr>
      <w:r w:rsidRPr="00962403">
        <w:rPr>
          <w:rFonts w:ascii="Times New Roman" w:hAnsi="Times New Roman" w:cs="Times New Roman"/>
        </w:rPr>
        <w:t xml:space="preserve">MAPBIOMAS. </w:t>
      </w:r>
      <w:r w:rsidRPr="00962403">
        <w:rPr>
          <w:rFonts w:ascii="Times New Roman" w:hAnsi="Times New Roman" w:cs="Times New Roman"/>
          <w:b/>
          <w:bCs/>
        </w:rPr>
        <w:t>RAD2024: Relatório Anual do Desmatamento no Brasil 2024.</w:t>
      </w:r>
      <w:r w:rsidRPr="00962403">
        <w:rPr>
          <w:rFonts w:ascii="Times New Roman" w:hAnsi="Times New Roman" w:cs="Times New Roman"/>
        </w:rPr>
        <w:t xml:space="preserve"> São Paulo: MapBiomas, 2025. 209 p.</w:t>
      </w:r>
    </w:p>
    <w:p w14:paraId="6BA234CB"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MAPBIOMAS. </w:t>
      </w:r>
      <w:r w:rsidRPr="00F47B23">
        <w:rPr>
          <w:rFonts w:ascii="Times New Roman" w:hAnsi="Times New Roman" w:cs="Times New Roman"/>
          <w:b/>
          <w:bCs/>
        </w:rPr>
        <w:t>Relatório Anual do Desmatamento 2021</w:t>
      </w:r>
      <w:r w:rsidRPr="00F47B23">
        <w:rPr>
          <w:rFonts w:ascii="Times New Roman" w:hAnsi="Times New Roman" w:cs="Times New Roman"/>
        </w:rPr>
        <w:t>. MapBiomas Alerta. São Paulo: MapBiomas, 2022.</w:t>
      </w:r>
    </w:p>
    <w:p w14:paraId="48D04349" w14:textId="77777777" w:rsidR="00962403" w:rsidRPr="00061C3F" w:rsidRDefault="00962403" w:rsidP="003D0CAE">
      <w:pPr>
        <w:spacing w:line="360" w:lineRule="auto"/>
        <w:jc w:val="both"/>
        <w:rPr>
          <w:rFonts w:ascii="Times New Roman" w:hAnsi="Times New Roman" w:cs="Times New Roman"/>
        </w:rPr>
      </w:pPr>
      <w:r w:rsidRPr="00061C3F">
        <w:rPr>
          <w:rFonts w:ascii="Times New Roman" w:hAnsi="Times New Roman" w:cs="Times New Roman"/>
        </w:rPr>
        <w:t xml:space="preserve">PARÁ. </w:t>
      </w:r>
      <w:r w:rsidRPr="00061C3F">
        <w:rPr>
          <w:rFonts w:ascii="Times New Roman" w:hAnsi="Times New Roman" w:cs="Times New Roman"/>
          <w:b/>
          <w:bCs/>
        </w:rPr>
        <w:t>Lei Ordinária nº 7.243, de 9 de janeiro de 2009</w:t>
      </w:r>
      <w:r w:rsidRPr="00061C3F">
        <w:rPr>
          <w:rFonts w:ascii="Times New Roman" w:hAnsi="Times New Roman" w:cs="Times New Roman"/>
        </w:rPr>
        <w:t>. Dispõe sobre o Zoneamento Ecológico-Econômico da Área de Influência das Rodovias BR-163 (Cuiabá-Santarém) e BR-230 (Transamazônica) no Estado do Pará - Zona Oeste. Diário Oficial do Estado, Belém, PA, 9 jan. 2009.</w:t>
      </w:r>
    </w:p>
    <w:p w14:paraId="78B224F4"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PARÁ. </w:t>
      </w:r>
      <w:r w:rsidRPr="00F47B23">
        <w:rPr>
          <w:rFonts w:ascii="Times New Roman" w:hAnsi="Times New Roman" w:cs="Times New Roman"/>
          <w:b/>
          <w:bCs/>
        </w:rPr>
        <w:t>Lei Ordinária nº 7.398, de 16 de abril de 2010</w:t>
      </w:r>
      <w:r w:rsidRPr="00F47B23">
        <w:rPr>
          <w:rFonts w:ascii="Times New Roman" w:hAnsi="Times New Roman" w:cs="Times New Roman"/>
        </w:rPr>
        <w:t>. Dispõe sobre o Zoneamento Ecológico-Econômico da Zona Leste e Calha Norte do Estado do Pará. Diário Oficial do Estado, Belém, PA, 22 abr. 2010.</w:t>
      </w:r>
    </w:p>
    <w:p w14:paraId="654091E2" w14:textId="77777777" w:rsidR="00962403" w:rsidRPr="00F47B23" w:rsidRDefault="00962403" w:rsidP="003D0CAE">
      <w:pPr>
        <w:spacing w:line="360" w:lineRule="auto"/>
        <w:jc w:val="both"/>
        <w:rPr>
          <w:rFonts w:ascii="Times New Roman" w:hAnsi="Times New Roman" w:cs="Times New Roman"/>
        </w:rPr>
      </w:pPr>
      <w:r w:rsidRPr="00F47B23">
        <w:rPr>
          <w:rFonts w:ascii="Times New Roman" w:hAnsi="Times New Roman" w:cs="Times New Roman"/>
        </w:rPr>
        <w:t xml:space="preserve">PARÁ. Secretaria de Estado de Meio Ambiente e Sustentabilidade. </w:t>
      </w:r>
      <w:r w:rsidRPr="00F47B23">
        <w:rPr>
          <w:rFonts w:ascii="Times New Roman" w:hAnsi="Times New Roman" w:cs="Times New Roman"/>
          <w:b/>
          <w:bCs/>
        </w:rPr>
        <w:t>Instrução Normativa nº 08, de 28 de outubro de 2015</w:t>
      </w:r>
      <w:r w:rsidRPr="00F47B23">
        <w:rPr>
          <w:rFonts w:ascii="Times New Roman" w:hAnsi="Times New Roman" w:cs="Times New Roman"/>
        </w:rPr>
        <w:t>. Define procedimentos administrativos para a realização de limpeza e autorização de supressão, a serem realizadas nas áreas de vegetação secundária em estágio inicial de regeneração, localizadas fora da Reserva Legal e da Área de Preservação Permanente - APP dos imóveis rurais, no âmbito do Estado do Pará, e dá outras providências. Diário Oficial do Estado, Belém, PA, 03 nov. 2015.</w:t>
      </w:r>
    </w:p>
    <w:p w14:paraId="79298502" w14:textId="77777777" w:rsidR="00962403" w:rsidRPr="00A726DC" w:rsidRDefault="00962403" w:rsidP="003D0CAE">
      <w:pPr>
        <w:spacing w:line="360" w:lineRule="auto"/>
        <w:jc w:val="both"/>
        <w:rPr>
          <w:rFonts w:ascii="Times New Roman" w:hAnsi="Times New Roman" w:cs="Times New Roman"/>
        </w:rPr>
      </w:pPr>
      <w:r w:rsidRPr="00A726DC">
        <w:rPr>
          <w:rFonts w:ascii="Times New Roman" w:hAnsi="Times New Roman" w:cs="Times New Roman"/>
        </w:rPr>
        <w:t xml:space="preserve">PARÁ. Secretaria de Estado de Meio Ambiente e Sustentabilidade. </w:t>
      </w:r>
      <w:r w:rsidRPr="00A726DC">
        <w:rPr>
          <w:rFonts w:ascii="Times New Roman" w:hAnsi="Times New Roman" w:cs="Times New Roman"/>
          <w:b/>
          <w:bCs/>
        </w:rPr>
        <w:t>Relatório de Ações do Programa Regulariza Pará 2021</w:t>
      </w:r>
      <w:r w:rsidRPr="00A726DC">
        <w:rPr>
          <w:rFonts w:ascii="Times New Roman" w:hAnsi="Times New Roman" w:cs="Times New Roman"/>
        </w:rPr>
        <w:t>: Decreto nº 941, de 3 de agosto de 2020. Belém: SEMAS, 2021.</w:t>
      </w:r>
    </w:p>
    <w:p w14:paraId="48E08BDF" w14:textId="77777777" w:rsidR="00962403" w:rsidRPr="00E35BC1" w:rsidRDefault="00962403" w:rsidP="003D0CAE">
      <w:pPr>
        <w:spacing w:line="360" w:lineRule="auto"/>
        <w:jc w:val="both"/>
        <w:rPr>
          <w:rFonts w:ascii="Times New Roman" w:hAnsi="Times New Roman" w:cs="Times New Roman"/>
        </w:rPr>
      </w:pPr>
      <w:r w:rsidRPr="00E35BC1">
        <w:rPr>
          <w:rFonts w:ascii="Times New Roman" w:hAnsi="Times New Roman" w:cs="Times New Roman"/>
        </w:rPr>
        <w:t xml:space="preserve">PARÁ. Secretaria de Estado de Meio Ambiente e Sustentabilidade. </w:t>
      </w:r>
      <w:r w:rsidRPr="00E35BC1">
        <w:rPr>
          <w:rFonts w:ascii="Times New Roman" w:hAnsi="Times New Roman" w:cs="Times New Roman"/>
          <w:b/>
          <w:bCs/>
        </w:rPr>
        <w:t>Relatório de Gestão SEMAS 2025</w:t>
      </w:r>
      <w:r w:rsidRPr="00E35BC1">
        <w:rPr>
          <w:rFonts w:ascii="Times New Roman" w:hAnsi="Times New Roman" w:cs="Times New Roman"/>
        </w:rPr>
        <w:t>. Belém: Governo do Pará, 2025.</w:t>
      </w:r>
    </w:p>
    <w:p w14:paraId="6962C473" w14:textId="77777777" w:rsidR="00962403" w:rsidRDefault="00962403" w:rsidP="003D0CAE">
      <w:pPr>
        <w:spacing w:line="360" w:lineRule="auto"/>
        <w:jc w:val="both"/>
        <w:rPr>
          <w:rFonts w:ascii="Times New Roman" w:hAnsi="Times New Roman" w:cs="Times New Roman"/>
        </w:rPr>
      </w:pPr>
      <w:r w:rsidRPr="009C4947">
        <w:rPr>
          <w:rFonts w:ascii="Times New Roman" w:hAnsi="Times New Roman" w:cs="Times New Roman"/>
        </w:rPr>
        <w:lastRenderedPageBreak/>
        <w:t xml:space="preserve">PORTO, A. J. M.; SANTOS, L. M. dos. Cotas de reserva ambiental: uma interpretação da análise econômica do direito. </w:t>
      </w:r>
      <w:r w:rsidRPr="009C4947">
        <w:rPr>
          <w:rFonts w:ascii="Times New Roman" w:hAnsi="Times New Roman" w:cs="Times New Roman"/>
          <w:b/>
          <w:bCs/>
        </w:rPr>
        <w:t>Revista Estudos Institucionais</w:t>
      </w:r>
      <w:r w:rsidRPr="009C4947">
        <w:rPr>
          <w:rFonts w:ascii="Times New Roman" w:hAnsi="Times New Roman" w:cs="Times New Roman"/>
        </w:rPr>
        <w:t>, v. 3, n. 2, p. 923-948, 2017.</w:t>
      </w:r>
    </w:p>
    <w:p w14:paraId="0D1752D6" w14:textId="77777777" w:rsidR="00962403" w:rsidRPr="00211F6A" w:rsidRDefault="00962403" w:rsidP="00211F6A">
      <w:pPr>
        <w:spacing w:line="360" w:lineRule="auto"/>
        <w:jc w:val="both"/>
        <w:rPr>
          <w:rFonts w:ascii="Times New Roman" w:hAnsi="Times New Roman" w:cs="Times New Roman"/>
        </w:rPr>
      </w:pPr>
      <w:r w:rsidRPr="00211F6A">
        <w:rPr>
          <w:rFonts w:ascii="Times New Roman" w:hAnsi="Times New Roman" w:cs="Times New Roman"/>
        </w:rPr>
        <w:t xml:space="preserve">R CORE TEAM. </w:t>
      </w:r>
      <w:r w:rsidRPr="00211F6A">
        <w:rPr>
          <w:rFonts w:ascii="Times New Roman" w:hAnsi="Times New Roman" w:cs="Times New Roman"/>
          <w:b/>
          <w:bCs/>
        </w:rPr>
        <w:t>R</w:t>
      </w:r>
      <w:r w:rsidRPr="00211F6A">
        <w:rPr>
          <w:rFonts w:ascii="Times New Roman" w:hAnsi="Times New Roman" w:cs="Times New Roman"/>
        </w:rPr>
        <w:t xml:space="preserve">: a language and environment for statistical computing. Vienna: R Foundation for Statistical Computing, 2024. Disponível em: </w:t>
      </w:r>
      <w:hyperlink r:id="rId24" w:tgtFrame="_blank" w:history="1">
        <w:r w:rsidRPr="00211F6A">
          <w:rPr>
            <w:rStyle w:val="Hyperlink"/>
            <w:rFonts w:ascii="Times New Roman" w:hAnsi="Times New Roman" w:cs="Times New Roman"/>
          </w:rPr>
          <w:t>https://www.R-project.org/</w:t>
        </w:r>
      </w:hyperlink>
      <w:r w:rsidRPr="00211F6A">
        <w:rPr>
          <w:rFonts w:ascii="Times New Roman" w:hAnsi="Times New Roman" w:cs="Times New Roman"/>
        </w:rPr>
        <w:t>. Acesso em: 11 mar. 2026.</w:t>
      </w:r>
    </w:p>
    <w:p w14:paraId="52D1942A" w14:textId="77777777" w:rsidR="00962403" w:rsidRPr="00061C3F" w:rsidRDefault="00962403" w:rsidP="003D0CAE">
      <w:pPr>
        <w:spacing w:line="360" w:lineRule="auto"/>
        <w:jc w:val="both"/>
        <w:rPr>
          <w:rFonts w:ascii="Times New Roman" w:hAnsi="Times New Roman" w:cs="Times New Roman"/>
        </w:rPr>
      </w:pPr>
      <w:r w:rsidRPr="00061C3F">
        <w:rPr>
          <w:rFonts w:ascii="Times New Roman" w:hAnsi="Times New Roman" w:cs="Times New Roman"/>
        </w:rPr>
        <w:t xml:space="preserve">RAJÃO, R.; GIUDICE, R. D.; VAN DER HOFF, R.; CARVALHO, E. B. </w:t>
      </w:r>
      <w:r w:rsidRPr="00061C3F">
        <w:rPr>
          <w:rFonts w:ascii="Times New Roman" w:hAnsi="Times New Roman" w:cs="Times New Roman"/>
          <w:b/>
          <w:bCs/>
        </w:rPr>
        <w:t>Uma Breve História da Legislação Florestal Brasileira:</w:t>
      </w:r>
      <w:r w:rsidRPr="00061C3F">
        <w:rPr>
          <w:rFonts w:ascii="Times New Roman" w:hAnsi="Times New Roman" w:cs="Times New Roman"/>
        </w:rPr>
        <w:t xml:space="preserve"> Contém a Lei nº 12.651, de 2012, com comentários críticos acerca da aplicação de seus artigos. 1. ed. Florianópolis: Expressão, 2021.</w:t>
      </w:r>
    </w:p>
    <w:p w14:paraId="7409A4A0" w14:textId="77777777" w:rsidR="00962403" w:rsidRPr="009C4947" w:rsidRDefault="00962403" w:rsidP="003D0CAE">
      <w:pPr>
        <w:spacing w:line="360" w:lineRule="auto"/>
        <w:jc w:val="both"/>
        <w:rPr>
          <w:rFonts w:ascii="Times New Roman" w:hAnsi="Times New Roman" w:cs="Times New Roman"/>
        </w:rPr>
      </w:pPr>
      <w:r w:rsidRPr="009C4947">
        <w:rPr>
          <w:rFonts w:ascii="Times New Roman" w:hAnsi="Times New Roman" w:cs="Times New Roman"/>
        </w:rPr>
        <w:t xml:space="preserve">SANTOS, S. da C. dos. </w:t>
      </w:r>
      <w:r w:rsidRPr="009C4947">
        <w:rPr>
          <w:rFonts w:ascii="Times New Roman" w:hAnsi="Times New Roman" w:cs="Times New Roman"/>
          <w:b/>
          <w:bCs/>
        </w:rPr>
        <w:t>Análise de Reserva Legal Pará</w:t>
      </w:r>
      <w:r w:rsidRPr="009C4947">
        <w:rPr>
          <w:rFonts w:ascii="Times New Roman" w:hAnsi="Times New Roman" w:cs="Times New Roman"/>
        </w:rPr>
        <w:t xml:space="preserve">: scripts para processamento de dados do CAR e integração com Google Earth Engine. Versão 1.0. Belém: NGEO-IDEFLOR-Bio, 2026. Disponível em: </w:t>
      </w:r>
      <w:hyperlink r:id="rId25" w:tgtFrame="_blank" w:history="1">
        <w:r w:rsidRPr="009C4947">
          <w:rPr>
            <w:rStyle w:val="Hyperlink"/>
            <w:rFonts w:ascii="Times New Roman" w:hAnsi="Times New Roman" w:cs="Times New Roman"/>
          </w:rPr>
          <w:t>https://github.com/NGEO-IDEFLOR-Bio/analise-reserva-legal-para</w:t>
        </w:r>
      </w:hyperlink>
      <w:r w:rsidRPr="009C4947">
        <w:rPr>
          <w:rFonts w:ascii="Times New Roman" w:hAnsi="Times New Roman" w:cs="Times New Roman"/>
        </w:rPr>
        <w:t>. Acesso em: 11 mar. 2026.</w:t>
      </w:r>
    </w:p>
    <w:p w14:paraId="30FD7514" w14:textId="77777777" w:rsidR="00962403" w:rsidRPr="009C4947" w:rsidRDefault="00962403" w:rsidP="003D0CAE">
      <w:pPr>
        <w:spacing w:line="360" w:lineRule="auto"/>
        <w:jc w:val="both"/>
        <w:rPr>
          <w:rFonts w:ascii="Times New Roman" w:hAnsi="Times New Roman" w:cs="Times New Roman"/>
        </w:rPr>
      </w:pPr>
      <w:r w:rsidRPr="009C4947">
        <w:rPr>
          <w:rFonts w:ascii="Times New Roman" w:hAnsi="Times New Roman" w:cs="Times New Roman"/>
        </w:rPr>
        <w:t xml:space="preserve">SERAPHIM, M. C.; FREIRIA, R. C. Regularização ambiental de propriedades rurais na Amazônia Legal e reinserção de produtores na cadeia da pecuária no contexto da transformação ecológica. In: RIBEIRO, F. de M.; REI, F. (orgs.). </w:t>
      </w:r>
      <w:r w:rsidRPr="009C4947">
        <w:rPr>
          <w:rFonts w:ascii="Times New Roman" w:hAnsi="Times New Roman" w:cs="Times New Roman"/>
          <w:b/>
          <w:bCs/>
        </w:rPr>
        <w:t>Energia e Meio Ambiente</w:t>
      </w:r>
      <w:r w:rsidRPr="009C4947">
        <w:rPr>
          <w:rFonts w:ascii="Times New Roman" w:hAnsi="Times New Roman" w:cs="Times New Roman"/>
        </w:rPr>
        <w:t>. Santos: Editora Universitária Leopoldianum, 2025. p. 75-92.</w:t>
      </w:r>
    </w:p>
    <w:p w14:paraId="068149ED" w14:textId="77777777" w:rsidR="00962403" w:rsidRPr="00962403" w:rsidRDefault="00962403" w:rsidP="00962403">
      <w:pPr>
        <w:spacing w:line="360" w:lineRule="auto"/>
        <w:jc w:val="both"/>
        <w:rPr>
          <w:rFonts w:ascii="Times New Roman" w:hAnsi="Times New Roman" w:cs="Times New Roman"/>
        </w:rPr>
      </w:pPr>
      <w:r w:rsidRPr="00962403">
        <w:rPr>
          <w:rFonts w:ascii="Times New Roman" w:hAnsi="Times New Roman" w:cs="Times New Roman"/>
        </w:rPr>
        <w:t xml:space="preserve">SOUZA, D. T.; CAMPOS, S. A. C.; MARTINHO, P. R. R.; PAIM, F. A. P.; RONQUIM, C. C. </w:t>
      </w:r>
      <w:r w:rsidRPr="00962403">
        <w:rPr>
          <w:rFonts w:ascii="Times New Roman" w:hAnsi="Times New Roman" w:cs="Times New Roman"/>
          <w:b/>
          <w:bCs/>
        </w:rPr>
        <w:t>Custo de oportunidade e eficiência técnica-ambiental das áreas de reserva legal no bioma Amazônia.</w:t>
      </w:r>
      <w:r w:rsidRPr="00962403">
        <w:rPr>
          <w:rFonts w:ascii="Times New Roman" w:hAnsi="Times New Roman" w:cs="Times New Roman"/>
        </w:rPr>
        <w:t xml:space="preserve"> Revista de Economia e Sociologia Rural, Brasília, DF, v. 63, e296905, 2025.</w:t>
      </w:r>
    </w:p>
    <w:p w14:paraId="28FDAB6B" w14:textId="77777777" w:rsidR="00962403" w:rsidRDefault="00962403" w:rsidP="003D0CAE">
      <w:pPr>
        <w:spacing w:line="360" w:lineRule="auto"/>
        <w:jc w:val="both"/>
        <w:rPr>
          <w:rFonts w:ascii="Times New Roman" w:hAnsi="Times New Roman" w:cs="Times New Roman"/>
        </w:rPr>
      </w:pPr>
      <w:r w:rsidRPr="00061C3F">
        <w:rPr>
          <w:rFonts w:ascii="Times New Roman" w:hAnsi="Times New Roman" w:cs="Times New Roman"/>
        </w:rPr>
        <w:t xml:space="preserve">SPAROVEK, G.; BARRETTO, A.; KLUG, I.; PAPP, L.; LINO, J. A revisão do Código Florestal brasileiro. </w:t>
      </w:r>
      <w:r w:rsidRPr="00061C3F">
        <w:rPr>
          <w:rFonts w:ascii="Times New Roman" w:hAnsi="Times New Roman" w:cs="Times New Roman"/>
          <w:b/>
          <w:bCs/>
        </w:rPr>
        <w:t>Novos Estudos - CEBRAP</w:t>
      </w:r>
      <w:r w:rsidRPr="00061C3F">
        <w:rPr>
          <w:rFonts w:ascii="Times New Roman" w:hAnsi="Times New Roman" w:cs="Times New Roman"/>
        </w:rPr>
        <w:t>, São Paulo, n. 89, p. 111-135, mar. 2011.</w:t>
      </w:r>
    </w:p>
    <w:p w14:paraId="26A5E2B1" w14:textId="77777777" w:rsidR="00962403" w:rsidRDefault="00962403" w:rsidP="003D0CAE">
      <w:pPr>
        <w:spacing w:line="360" w:lineRule="auto"/>
        <w:jc w:val="both"/>
        <w:rPr>
          <w:rFonts w:ascii="Times New Roman" w:hAnsi="Times New Roman" w:cs="Times New Roman"/>
        </w:rPr>
      </w:pPr>
      <w:r w:rsidRPr="00962403">
        <w:rPr>
          <w:rFonts w:ascii="Times New Roman" w:hAnsi="Times New Roman" w:cs="Times New Roman"/>
        </w:rPr>
        <w:t xml:space="preserve">SPAROVEK, G.; BARRETTO, A.; KLUG, I.; PAPP, L.; LINO, J. </w:t>
      </w:r>
      <w:r w:rsidRPr="00962403">
        <w:rPr>
          <w:rFonts w:ascii="Times New Roman" w:hAnsi="Times New Roman" w:cs="Times New Roman"/>
          <w:b/>
          <w:bCs/>
        </w:rPr>
        <w:t>A revisão do Código Florestal brasileiro</w:t>
      </w:r>
      <w:r w:rsidRPr="00962403">
        <w:rPr>
          <w:rFonts w:ascii="Times New Roman" w:hAnsi="Times New Roman" w:cs="Times New Roman"/>
        </w:rPr>
        <w:t>. Novos Estudos - CEBRAP, São Paulo, n. 89, p. 111-135, mar. 2011.</w:t>
      </w:r>
    </w:p>
    <w:p w14:paraId="44F66A54" w14:textId="77777777" w:rsidR="00962403" w:rsidRDefault="00962403" w:rsidP="003D0CAE">
      <w:pPr>
        <w:spacing w:line="360" w:lineRule="auto"/>
        <w:jc w:val="both"/>
        <w:rPr>
          <w:rFonts w:ascii="Times New Roman" w:hAnsi="Times New Roman" w:cs="Times New Roman"/>
        </w:rPr>
      </w:pPr>
      <w:r w:rsidRPr="00211F6A">
        <w:rPr>
          <w:rFonts w:ascii="Times New Roman" w:hAnsi="Times New Roman" w:cs="Times New Roman"/>
        </w:rPr>
        <w:t xml:space="preserve">WICKHAM, H. et al. Welcome to the </w:t>
      </w:r>
      <w:r w:rsidRPr="00211F6A">
        <w:rPr>
          <w:rFonts w:ascii="Times New Roman" w:hAnsi="Times New Roman" w:cs="Times New Roman"/>
          <w:b/>
          <w:bCs/>
        </w:rPr>
        <w:t>tidyverse</w:t>
      </w:r>
      <w:r w:rsidRPr="00211F6A">
        <w:rPr>
          <w:rFonts w:ascii="Times New Roman" w:hAnsi="Times New Roman" w:cs="Times New Roman"/>
        </w:rPr>
        <w:t>. Journal of Open Source Software, v. 4, n. 43, p. 1686, 2019.</w:t>
      </w:r>
    </w:p>
    <w:sectPr w:rsidR="00962403" w:rsidSect="005E598B">
      <w:headerReference w:type="first" r:id="rId26"/>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52825" w14:textId="77777777" w:rsidR="001E331B" w:rsidRDefault="001E331B" w:rsidP="005E598B">
      <w:pPr>
        <w:spacing w:after="0" w:line="240" w:lineRule="auto"/>
      </w:pPr>
      <w:r>
        <w:separator/>
      </w:r>
    </w:p>
  </w:endnote>
  <w:endnote w:type="continuationSeparator" w:id="0">
    <w:p w14:paraId="4D3465F9" w14:textId="77777777" w:rsidR="001E331B" w:rsidRDefault="001E331B" w:rsidP="005E59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9ED65" w14:textId="77777777" w:rsidR="001E331B" w:rsidRDefault="001E331B" w:rsidP="005E598B">
      <w:pPr>
        <w:spacing w:after="0" w:line="240" w:lineRule="auto"/>
      </w:pPr>
      <w:r>
        <w:separator/>
      </w:r>
    </w:p>
  </w:footnote>
  <w:footnote w:type="continuationSeparator" w:id="0">
    <w:p w14:paraId="69BFAAB1" w14:textId="77777777" w:rsidR="001E331B" w:rsidRDefault="001E331B" w:rsidP="005E59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3418" w14:textId="723520B9" w:rsidR="005E598B" w:rsidRPr="005E598B" w:rsidRDefault="005E598B" w:rsidP="005E598B">
    <w:pPr>
      <w:spacing w:before="216" w:line="21" w:lineRule="exact"/>
      <w:ind w:firstLine="1"/>
      <w:rPr>
        <w:position w:val="-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FA143" w14:textId="5E5F195A" w:rsidR="005E598B" w:rsidRDefault="005E598B" w:rsidP="005E598B">
    <w:pPr>
      <w:spacing w:line="563" w:lineRule="exact"/>
      <w:ind w:firstLine="61"/>
    </w:pPr>
    <w:r>
      <w:rPr>
        <w:noProof/>
      </w:rPr>
      <w:drawing>
        <wp:anchor distT="0" distB="0" distL="114300" distR="114300" simplePos="0" relativeHeight="251662336" behindDoc="0" locked="0" layoutInCell="1" allowOverlap="1" wp14:anchorId="75F9F891" wp14:editId="3DB2B5B5">
          <wp:simplePos x="0" y="0"/>
          <wp:positionH relativeFrom="margin">
            <wp:posOffset>106045</wp:posOffset>
          </wp:positionH>
          <wp:positionV relativeFrom="paragraph">
            <wp:posOffset>-233045</wp:posOffset>
          </wp:positionV>
          <wp:extent cx="793750" cy="679450"/>
          <wp:effectExtent l="0" t="0" r="6350" b="6350"/>
          <wp:wrapNone/>
          <wp:docPr id="618505817" name="Imagem 1" descr="Uma imagem contendo 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53121" name="Imagem 1" descr="Uma imagem contendo Ícone&#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93750" cy="679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3C6F6389" wp14:editId="39B05B7E">
          <wp:simplePos x="0" y="0"/>
          <wp:positionH relativeFrom="margin">
            <wp:posOffset>5081905</wp:posOffset>
          </wp:positionH>
          <wp:positionV relativeFrom="paragraph">
            <wp:posOffset>-293370</wp:posOffset>
          </wp:positionV>
          <wp:extent cx="563880" cy="708660"/>
          <wp:effectExtent l="0" t="0" r="7620" b="0"/>
          <wp:wrapNone/>
          <wp:docPr id="1480779408"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74394" name="Imagem 2" descr="Diagrama&#10;&#10;O conteúdo gerado por IA pode estar incorreto."/>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a:xfrm>
                    <a:off x="0" y="0"/>
                    <a:ext cx="563880" cy="7086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BEDEC8" w14:textId="77777777" w:rsidR="005E598B" w:rsidRDefault="005E598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rPr>
      <w:id w:val="-1457249272"/>
      <w:docPartObj>
        <w:docPartGallery w:val="Page Numbers (Top of Page)"/>
        <w:docPartUnique/>
      </w:docPartObj>
    </w:sdtPr>
    <w:sdtContent>
      <w:p w14:paraId="0E794786" w14:textId="0E90657F" w:rsidR="000903DF" w:rsidRPr="000903DF" w:rsidRDefault="000903DF">
        <w:pPr>
          <w:pStyle w:val="Cabealho"/>
          <w:jc w:val="right"/>
          <w:rPr>
            <w:rFonts w:ascii="Times New Roman" w:hAnsi="Times New Roman" w:cs="Times New Roman"/>
            <w:b/>
            <w:bCs/>
          </w:rPr>
        </w:pPr>
        <w:r w:rsidRPr="000903DF">
          <w:rPr>
            <w:rFonts w:ascii="Times New Roman" w:hAnsi="Times New Roman" w:cs="Times New Roman"/>
            <w:b/>
            <w:bCs/>
          </w:rPr>
          <w:fldChar w:fldCharType="begin"/>
        </w:r>
        <w:r w:rsidRPr="000903DF">
          <w:rPr>
            <w:rFonts w:ascii="Times New Roman" w:hAnsi="Times New Roman" w:cs="Times New Roman"/>
            <w:b/>
            <w:bCs/>
          </w:rPr>
          <w:instrText>PAGE   \* MERGEFORMAT</w:instrText>
        </w:r>
        <w:r w:rsidRPr="000903DF">
          <w:rPr>
            <w:rFonts w:ascii="Times New Roman" w:hAnsi="Times New Roman" w:cs="Times New Roman"/>
            <w:b/>
            <w:bCs/>
          </w:rPr>
          <w:fldChar w:fldCharType="separate"/>
        </w:r>
        <w:r w:rsidRPr="000903DF">
          <w:rPr>
            <w:rFonts w:ascii="Times New Roman" w:hAnsi="Times New Roman" w:cs="Times New Roman"/>
            <w:b/>
            <w:bCs/>
          </w:rPr>
          <w:t>2</w:t>
        </w:r>
        <w:r w:rsidRPr="000903DF">
          <w:rPr>
            <w:rFonts w:ascii="Times New Roman" w:hAnsi="Times New Roman" w:cs="Times New Roman"/>
            <w:b/>
            <w:bCs/>
          </w:rPr>
          <w:fldChar w:fldCharType="end"/>
        </w:r>
      </w:p>
    </w:sdtContent>
  </w:sdt>
  <w:p w14:paraId="124497D8" w14:textId="77777777" w:rsidR="000903DF" w:rsidRDefault="000903D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A05D0"/>
    <w:multiLevelType w:val="multilevel"/>
    <w:tmpl w:val="DA441D1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646CC"/>
    <w:multiLevelType w:val="multilevel"/>
    <w:tmpl w:val="73C02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394EDB"/>
    <w:multiLevelType w:val="multilevel"/>
    <w:tmpl w:val="DA22C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881C63"/>
    <w:multiLevelType w:val="multilevel"/>
    <w:tmpl w:val="8E6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8607EC"/>
    <w:multiLevelType w:val="multilevel"/>
    <w:tmpl w:val="15D0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B153F1"/>
    <w:multiLevelType w:val="multilevel"/>
    <w:tmpl w:val="DBB435F0"/>
    <w:lvl w:ilvl="0">
      <w:start w:val="1"/>
      <w:numFmt w:val="bullet"/>
      <w:lvlText w:val="-"/>
      <w:lvlJc w:val="left"/>
      <w:pPr>
        <w:tabs>
          <w:tab w:val="num" w:pos="720"/>
        </w:tabs>
        <w:ind w:left="720" w:hanging="360"/>
      </w:pPr>
      <w:rPr>
        <w:rFonts w:ascii="Times New Roman" w:hAnsi="Times New Roman" w:hint="default"/>
        <w:b/>
        <w:i w:val="0"/>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E8440A"/>
    <w:multiLevelType w:val="multilevel"/>
    <w:tmpl w:val="ABCE7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E37"/>
    <w:multiLevelType w:val="hybridMultilevel"/>
    <w:tmpl w:val="CA3AA074"/>
    <w:lvl w:ilvl="0" w:tplc="D2B86A86">
      <w:start w:val="1"/>
      <w:numFmt w:val="bullet"/>
      <w:lvlText w:val="-"/>
      <w:lvlJc w:val="left"/>
      <w:pPr>
        <w:ind w:left="720" w:hanging="360"/>
      </w:pPr>
      <w:rPr>
        <w:rFonts w:ascii="Times New Roman" w:hAnsi="Times New Roman" w:hint="default"/>
        <w:b/>
        <w:i w:val="0"/>
        <w:sz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9CC794D"/>
    <w:multiLevelType w:val="multilevel"/>
    <w:tmpl w:val="96B8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A86A6F"/>
    <w:multiLevelType w:val="multilevel"/>
    <w:tmpl w:val="04E4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BB32C0"/>
    <w:multiLevelType w:val="hybridMultilevel"/>
    <w:tmpl w:val="7DDAA03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D88302B"/>
    <w:multiLevelType w:val="multilevel"/>
    <w:tmpl w:val="3F98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0282274">
    <w:abstractNumId w:val="4"/>
  </w:num>
  <w:num w:numId="2" w16cid:durableId="947472587">
    <w:abstractNumId w:val="1"/>
  </w:num>
  <w:num w:numId="3" w16cid:durableId="1755202286">
    <w:abstractNumId w:val="6"/>
  </w:num>
  <w:num w:numId="4" w16cid:durableId="1336424144">
    <w:abstractNumId w:val="3"/>
  </w:num>
  <w:num w:numId="5" w16cid:durableId="1045524977">
    <w:abstractNumId w:val="0"/>
  </w:num>
  <w:num w:numId="6" w16cid:durableId="1683387836">
    <w:abstractNumId w:val="8"/>
  </w:num>
  <w:num w:numId="7" w16cid:durableId="57173494">
    <w:abstractNumId w:val="5"/>
  </w:num>
  <w:num w:numId="8" w16cid:durableId="1769764453">
    <w:abstractNumId w:val="9"/>
  </w:num>
  <w:num w:numId="9" w16cid:durableId="2130733863">
    <w:abstractNumId w:val="2"/>
  </w:num>
  <w:num w:numId="10" w16cid:durableId="875704901">
    <w:abstractNumId w:val="11"/>
  </w:num>
  <w:num w:numId="11" w16cid:durableId="242183138">
    <w:abstractNumId w:val="10"/>
  </w:num>
  <w:num w:numId="12" w16cid:durableId="13415429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6DC"/>
    <w:rsid w:val="000075FB"/>
    <w:rsid w:val="00061C3F"/>
    <w:rsid w:val="000903DF"/>
    <w:rsid w:val="001523ED"/>
    <w:rsid w:val="0019372A"/>
    <w:rsid w:val="001B10D5"/>
    <w:rsid w:val="001B3A72"/>
    <w:rsid w:val="001C71DB"/>
    <w:rsid w:val="001E331B"/>
    <w:rsid w:val="001F48F5"/>
    <w:rsid w:val="00211099"/>
    <w:rsid w:val="00211F6A"/>
    <w:rsid w:val="002F7A50"/>
    <w:rsid w:val="00303E76"/>
    <w:rsid w:val="00312AA8"/>
    <w:rsid w:val="00316DC2"/>
    <w:rsid w:val="003D0CAE"/>
    <w:rsid w:val="004122D1"/>
    <w:rsid w:val="00437888"/>
    <w:rsid w:val="00447203"/>
    <w:rsid w:val="004A059C"/>
    <w:rsid w:val="004B2744"/>
    <w:rsid w:val="004B44FD"/>
    <w:rsid w:val="0053129D"/>
    <w:rsid w:val="00533769"/>
    <w:rsid w:val="00571689"/>
    <w:rsid w:val="005D4794"/>
    <w:rsid w:val="005E1985"/>
    <w:rsid w:val="005E469B"/>
    <w:rsid w:val="005E598B"/>
    <w:rsid w:val="006811A0"/>
    <w:rsid w:val="006D61FB"/>
    <w:rsid w:val="006F0076"/>
    <w:rsid w:val="00707CB9"/>
    <w:rsid w:val="00720B5F"/>
    <w:rsid w:val="007D493F"/>
    <w:rsid w:val="007F7C1C"/>
    <w:rsid w:val="00806EAF"/>
    <w:rsid w:val="00826E92"/>
    <w:rsid w:val="00867739"/>
    <w:rsid w:val="008A76A4"/>
    <w:rsid w:val="008B68B3"/>
    <w:rsid w:val="008B797B"/>
    <w:rsid w:val="008F3BB8"/>
    <w:rsid w:val="009565A6"/>
    <w:rsid w:val="00962403"/>
    <w:rsid w:val="009C4947"/>
    <w:rsid w:val="009E3361"/>
    <w:rsid w:val="00A67E14"/>
    <w:rsid w:val="00A726DC"/>
    <w:rsid w:val="00B402DF"/>
    <w:rsid w:val="00B46B6D"/>
    <w:rsid w:val="00B55AD7"/>
    <w:rsid w:val="00C16FF3"/>
    <w:rsid w:val="00C44CB5"/>
    <w:rsid w:val="00CA069D"/>
    <w:rsid w:val="00D53911"/>
    <w:rsid w:val="00D97E04"/>
    <w:rsid w:val="00DD24CC"/>
    <w:rsid w:val="00DF3583"/>
    <w:rsid w:val="00E35BC1"/>
    <w:rsid w:val="00EA2B6D"/>
    <w:rsid w:val="00EE2C45"/>
    <w:rsid w:val="00F27A28"/>
    <w:rsid w:val="00F36CC8"/>
    <w:rsid w:val="00F47B23"/>
    <w:rsid w:val="00F56739"/>
    <w:rsid w:val="00FF32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321F"/>
  <w15:chartTrackingRefBased/>
  <w15:docId w15:val="{2890FAF0-D4C9-457E-9A4B-F5DD3CCC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98B"/>
  </w:style>
  <w:style w:type="paragraph" w:styleId="Ttulo1">
    <w:name w:val="heading 1"/>
    <w:aliases w:val="Nível 1"/>
    <w:basedOn w:val="Normal"/>
    <w:next w:val="Normal"/>
    <w:link w:val="Ttulo1Char"/>
    <w:uiPriority w:val="9"/>
    <w:qFormat/>
    <w:rsid w:val="00D53911"/>
    <w:pPr>
      <w:keepNext/>
      <w:keepLines/>
      <w:spacing w:before="360" w:after="80"/>
      <w:outlineLvl w:val="0"/>
    </w:pPr>
    <w:rPr>
      <w:rFonts w:ascii="Times New Roman" w:eastAsiaTheme="majorEastAsia" w:hAnsi="Times New Roman" w:cstheme="majorBidi"/>
      <w:color w:val="000000" w:themeColor="text1"/>
      <w:szCs w:val="40"/>
    </w:rPr>
  </w:style>
  <w:style w:type="paragraph" w:styleId="Ttulo2">
    <w:name w:val="heading 2"/>
    <w:basedOn w:val="Normal"/>
    <w:next w:val="Normal"/>
    <w:link w:val="Ttulo2Char"/>
    <w:uiPriority w:val="9"/>
    <w:semiHidden/>
    <w:unhideWhenUsed/>
    <w:qFormat/>
    <w:rsid w:val="00A72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726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726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726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726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726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726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726D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Nível 1 Char"/>
    <w:basedOn w:val="Fontepargpadro"/>
    <w:link w:val="Ttulo1"/>
    <w:uiPriority w:val="9"/>
    <w:rsid w:val="00D53911"/>
    <w:rPr>
      <w:rFonts w:ascii="Times New Roman" w:eastAsiaTheme="majorEastAsia" w:hAnsi="Times New Roman" w:cstheme="majorBidi"/>
      <w:color w:val="000000" w:themeColor="text1"/>
      <w:szCs w:val="40"/>
    </w:rPr>
  </w:style>
  <w:style w:type="character" w:customStyle="1" w:styleId="Ttulo2Char">
    <w:name w:val="Título 2 Char"/>
    <w:basedOn w:val="Fontepargpadro"/>
    <w:link w:val="Ttulo2"/>
    <w:uiPriority w:val="9"/>
    <w:semiHidden/>
    <w:rsid w:val="00A726D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726D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726D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726D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726D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726D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726D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726DC"/>
    <w:rPr>
      <w:rFonts w:eastAsiaTheme="majorEastAsia" w:cstheme="majorBidi"/>
      <w:color w:val="272727" w:themeColor="text1" w:themeTint="D8"/>
    </w:rPr>
  </w:style>
  <w:style w:type="paragraph" w:styleId="Ttulo">
    <w:name w:val="Title"/>
    <w:basedOn w:val="Normal"/>
    <w:next w:val="Normal"/>
    <w:link w:val="TtuloChar"/>
    <w:uiPriority w:val="10"/>
    <w:qFormat/>
    <w:rsid w:val="00A72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726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726D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726D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726DC"/>
    <w:pPr>
      <w:spacing w:before="160"/>
      <w:jc w:val="center"/>
    </w:pPr>
    <w:rPr>
      <w:i/>
      <w:iCs/>
      <w:color w:val="404040" w:themeColor="text1" w:themeTint="BF"/>
    </w:rPr>
  </w:style>
  <w:style w:type="character" w:customStyle="1" w:styleId="CitaoChar">
    <w:name w:val="Citação Char"/>
    <w:basedOn w:val="Fontepargpadro"/>
    <w:link w:val="Citao"/>
    <w:uiPriority w:val="29"/>
    <w:rsid w:val="00A726DC"/>
    <w:rPr>
      <w:i/>
      <w:iCs/>
      <w:color w:val="404040" w:themeColor="text1" w:themeTint="BF"/>
    </w:rPr>
  </w:style>
  <w:style w:type="paragraph" w:styleId="PargrafodaLista">
    <w:name w:val="List Paragraph"/>
    <w:basedOn w:val="Normal"/>
    <w:uiPriority w:val="34"/>
    <w:qFormat/>
    <w:rsid w:val="00A726DC"/>
    <w:pPr>
      <w:ind w:left="720"/>
      <w:contextualSpacing/>
    </w:pPr>
  </w:style>
  <w:style w:type="character" w:styleId="nfaseIntensa">
    <w:name w:val="Intense Emphasis"/>
    <w:basedOn w:val="Fontepargpadro"/>
    <w:uiPriority w:val="21"/>
    <w:qFormat/>
    <w:rsid w:val="00A726DC"/>
    <w:rPr>
      <w:i/>
      <w:iCs/>
      <w:color w:val="0F4761" w:themeColor="accent1" w:themeShade="BF"/>
    </w:rPr>
  </w:style>
  <w:style w:type="paragraph" w:styleId="CitaoIntensa">
    <w:name w:val="Intense Quote"/>
    <w:basedOn w:val="Normal"/>
    <w:next w:val="Normal"/>
    <w:link w:val="CitaoIntensaChar"/>
    <w:uiPriority w:val="30"/>
    <w:qFormat/>
    <w:rsid w:val="00A72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726DC"/>
    <w:rPr>
      <w:i/>
      <w:iCs/>
      <w:color w:val="0F4761" w:themeColor="accent1" w:themeShade="BF"/>
    </w:rPr>
  </w:style>
  <w:style w:type="character" w:styleId="RefernciaIntensa">
    <w:name w:val="Intense Reference"/>
    <w:basedOn w:val="Fontepargpadro"/>
    <w:uiPriority w:val="32"/>
    <w:qFormat/>
    <w:rsid w:val="00A726DC"/>
    <w:rPr>
      <w:b/>
      <w:bCs/>
      <w:smallCaps/>
      <w:color w:val="0F4761" w:themeColor="accent1" w:themeShade="BF"/>
      <w:spacing w:val="5"/>
    </w:rPr>
  </w:style>
  <w:style w:type="character" w:styleId="Hyperlink">
    <w:name w:val="Hyperlink"/>
    <w:basedOn w:val="Fontepargpadro"/>
    <w:uiPriority w:val="99"/>
    <w:unhideWhenUsed/>
    <w:rsid w:val="00B55AD7"/>
    <w:rPr>
      <w:color w:val="467886" w:themeColor="hyperlink"/>
      <w:u w:val="single"/>
    </w:rPr>
  </w:style>
  <w:style w:type="character" w:styleId="MenoPendente">
    <w:name w:val="Unresolved Mention"/>
    <w:basedOn w:val="Fontepargpadro"/>
    <w:uiPriority w:val="99"/>
    <w:semiHidden/>
    <w:unhideWhenUsed/>
    <w:rsid w:val="00B55AD7"/>
    <w:rPr>
      <w:color w:val="605E5C"/>
      <w:shd w:val="clear" w:color="auto" w:fill="E1DFDD"/>
    </w:rPr>
  </w:style>
  <w:style w:type="character" w:styleId="TextodoEspaoReservado">
    <w:name w:val="Placeholder Text"/>
    <w:basedOn w:val="Fontepargpadro"/>
    <w:uiPriority w:val="99"/>
    <w:semiHidden/>
    <w:rsid w:val="00B402DF"/>
    <w:rPr>
      <w:color w:val="666666"/>
    </w:rPr>
  </w:style>
  <w:style w:type="paragraph" w:styleId="Legenda">
    <w:name w:val="caption"/>
    <w:basedOn w:val="Normal"/>
    <w:next w:val="Normal"/>
    <w:uiPriority w:val="35"/>
    <w:unhideWhenUsed/>
    <w:qFormat/>
    <w:rsid w:val="00C16FF3"/>
    <w:pPr>
      <w:spacing w:after="200" w:line="240" w:lineRule="auto"/>
    </w:pPr>
    <w:rPr>
      <w:i/>
      <w:iCs/>
      <w:color w:val="0E2841" w:themeColor="text2"/>
      <w:sz w:val="18"/>
      <w:szCs w:val="18"/>
    </w:rPr>
  </w:style>
  <w:style w:type="paragraph" w:styleId="Cabealho">
    <w:name w:val="header"/>
    <w:basedOn w:val="Normal"/>
    <w:link w:val="CabealhoChar"/>
    <w:uiPriority w:val="99"/>
    <w:unhideWhenUsed/>
    <w:rsid w:val="005E598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E598B"/>
  </w:style>
  <w:style w:type="paragraph" w:styleId="Rodap">
    <w:name w:val="footer"/>
    <w:basedOn w:val="Normal"/>
    <w:link w:val="RodapChar"/>
    <w:uiPriority w:val="99"/>
    <w:unhideWhenUsed/>
    <w:rsid w:val="005E598B"/>
    <w:pPr>
      <w:tabs>
        <w:tab w:val="center" w:pos="4252"/>
        <w:tab w:val="right" w:pos="8504"/>
      </w:tabs>
      <w:spacing w:after="0" w:line="240" w:lineRule="auto"/>
    </w:pPr>
  </w:style>
  <w:style w:type="character" w:customStyle="1" w:styleId="RodapChar">
    <w:name w:val="Rodapé Char"/>
    <w:basedOn w:val="Fontepargpadro"/>
    <w:link w:val="Rodap"/>
    <w:uiPriority w:val="99"/>
    <w:rsid w:val="005E598B"/>
  </w:style>
  <w:style w:type="paragraph" w:styleId="NormalWeb">
    <w:name w:val="Normal (Web)"/>
    <w:basedOn w:val="Normal"/>
    <w:uiPriority w:val="99"/>
    <w:semiHidden/>
    <w:unhideWhenUsed/>
    <w:rsid w:val="005E598B"/>
    <w:rPr>
      <w:rFonts w:ascii="Times New Roman" w:hAnsi="Times New Roman" w:cs="Times New Roman"/>
    </w:rPr>
  </w:style>
  <w:style w:type="paragraph" w:styleId="CabealhodoSumrio">
    <w:name w:val="TOC Heading"/>
    <w:basedOn w:val="Ttulo1"/>
    <w:next w:val="Normal"/>
    <w:uiPriority w:val="39"/>
    <w:unhideWhenUsed/>
    <w:qFormat/>
    <w:rsid w:val="004A059C"/>
    <w:pPr>
      <w:spacing w:before="240" w:after="0" w:line="259" w:lineRule="auto"/>
      <w:outlineLvl w:val="9"/>
    </w:pPr>
    <w:rPr>
      <w:rFonts w:asciiTheme="majorHAnsi" w:hAnsiTheme="majorHAnsi"/>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4A059C"/>
    <w:pPr>
      <w:spacing w:after="100"/>
    </w:pPr>
  </w:style>
  <w:style w:type="paragraph" w:styleId="Sumrio2">
    <w:name w:val="toc 2"/>
    <w:basedOn w:val="Normal"/>
    <w:next w:val="Normal"/>
    <w:autoRedefine/>
    <w:uiPriority w:val="39"/>
    <w:unhideWhenUsed/>
    <w:rsid w:val="004A059C"/>
    <w:pPr>
      <w:spacing w:after="100"/>
      <w:ind w:left="240"/>
    </w:pPr>
  </w:style>
  <w:style w:type="paragraph" w:styleId="Sumrio3">
    <w:name w:val="toc 3"/>
    <w:basedOn w:val="Normal"/>
    <w:next w:val="Normal"/>
    <w:autoRedefine/>
    <w:uiPriority w:val="39"/>
    <w:unhideWhenUsed/>
    <w:rsid w:val="004A059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github.com/NGEO-IDEFLOR-Bio/analise-reserva-legal-para/tree/master/output"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hyperlink" Target="https://github.com/NGEO-IDEFLOR-Bio/analise-reserva-legal-par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NGEO-IDEFLOR-Bio/analise-reserva-legal-par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R-project.or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www.planalto.gov.br/ccivil_03/leis/l8629.htm"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7.jpeg"/><Relationship Id="rId22" Type="http://schemas.openxmlformats.org/officeDocument/2006/relationships/hyperlink" Target="https://github.com/NGEO-IDEFLOR-Bio/analise-reserva-legal-para/tree/master/mapas"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DE862-F36B-4CB4-94B4-68D562DAF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2511</TotalTime>
  <Pages>35</Pages>
  <Words>10092</Words>
  <Characters>56921</Characters>
  <Application>Microsoft Office Word</Application>
  <DocSecurity>0</DocSecurity>
  <Lines>903</Lines>
  <Paragraphs>307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Santos</dc:creator>
  <cp:keywords/>
  <dc:description/>
  <cp:lastModifiedBy>Samuel Santos</cp:lastModifiedBy>
  <cp:revision>29</cp:revision>
  <cp:lastPrinted>2026-03-12T01:33:00Z</cp:lastPrinted>
  <dcterms:created xsi:type="dcterms:W3CDTF">2026-03-08T22:34:00Z</dcterms:created>
  <dcterms:modified xsi:type="dcterms:W3CDTF">2026-03-12T02:36:00Z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2026-03-08T23:29:21Z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d52c1a72-e071-48a5-8a2a-1c429f31c142</vt:lpwstr>
  </property>
  <property fmtid="{D5CDD505-2E9C-101B-9397-08002B2CF9AE}" pid="7" name="MSIP_Label_defa4170-0d19-0005-0004-bc88714345d2_ActionId">
    <vt:lpwstr>4d1205a2-7e76-441b-aab7-7da6679279a8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