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80"/>
        <w:jc w:val="center"/>
      </w:pPr>
      <w:r>
        <w:rPr>
          <w:rFonts w:ascii="Arial" w:hAnsi="Arial"/>
          <w:b/>
          <w:color w:val="1B3626"/>
          <w:sz w:val="28"/>
        </w:rPr>
        <w:t>RELATÓRIO TÉCNICO</w:t>
      </w:r>
    </w:p>
    <w:p>
      <w:pPr>
        <w:spacing w:before="0" w:after="320"/>
        <w:jc w:val="center"/>
      </w:pPr>
      <w:r>
        <w:rPr>
          <w:rFonts w:ascii="Arial" w:hAnsi="Arial"/>
          <w:b/>
          <w:color w:val="505050"/>
          <w:sz w:val="22"/>
        </w:rPr>
        <w:t>TRATAMENTO CARTOGRÁFICO, DEDUPLICAÇÃO ESPACIAL E DEPURAÇÃO DE DADOS VETORIAIS DE CAMPO</w:t>
        <w:br/>
        <w:t>REVIS TABULEIRO DO EMBAUBAL E RDS VITÓRIA DE SOUZEL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1. Identificação do Documento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Processo Administrativo: </w:t>
      </w:r>
      <w:r>
        <w:rPr>
          <w:rFonts w:ascii="Arial" w:hAnsi="Arial"/>
          <w:sz w:val="23"/>
        </w:rPr>
        <w:t>Processo de Elaboração do Plano de Gestão Territorial nº 2026/3605158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Unidades Objeto: </w:t>
      </w:r>
      <w:r>
        <w:rPr>
          <w:rFonts w:ascii="Arial" w:hAnsi="Arial"/>
          <w:sz w:val="23"/>
        </w:rPr>
        <w:t>Refúgio de Vida Silvestre (REVIS) Tabuleiro do Embaubal e Reserva de Desenvolvimento Sustentável (RDS) Vitória de Souzel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Órgão Gestor / Demandante: </w:t>
      </w:r>
      <w:r>
        <w:rPr>
          <w:rFonts w:ascii="Arial" w:hAnsi="Arial"/>
          <w:sz w:val="23"/>
        </w:rPr>
        <w:t>Diretoria de Gestão e Monitoramento de Unidades de Conservação – DGMUC / IDEFLOR-Bio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Setor Executor: </w:t>
      </w:r>
      <w:r>
        <w:rPr>
          <w:rFonts w:ascii="Arial" w:hAnsi="Arial"/>
          <w:sz w:val="23"/>
        </w:rPr>
        <w:t>Núcleo de Geotecnologias – NGEO / IDEFLOR-Bio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Responsável Técnico: </w:t>
      </w:r>
      <w:r>
        <w:rPr>
          <w:rFonts w:ascii="Arial" w:hAnsi="Arial"/>
          <w:sz w:val="23"/>
        </w:rPr>
        <w:t>Samuel da Costa dos Santos – Coordenador do Núcleo de Geotecnologias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Sistema de Referência Geodésica: </w:t>
      </w:r>
      <w:r>
        <w:rPr>
          <w:rFonts w:ascii="Arial" w:hAnsi="Arial"/>
          <w:sz w:val="23"/>
        </w:rPr>
        <w:t>SIRGAS 2000 / Projeção Universal Transversa de Mercator (UTM), Zona 22 Sul (EPSG: 31982)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Data de Elaboração: </w:t>
      </w:r>
      <w:r>
        <w:rPr>
          <w:rFonts w:ascii="Arial" w:hAnsi="Arial"/>
          <w:sz w:val="23"/>
        </w:rPr>
        <w:t>Outubro de 2026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2. Objetivos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O presente Relatório Técnico tem por objetivo documentar e homologar os procedimentos metodológicos de depuração, controle de qualidade topológica, deduplicação espacial de passadas múltiplas e padronização toponímica aplicados ao acervo de dados geoespaciais vetoriais de campo. O estudo abrange o território consolidado do Refúgio de Vida Silvestre (REVIS) Tabuleiro do Embaubal (4.035,71 ha) e da Reserva de Desenvolvimento Sustentável (RDS) Vitória de Souzel (22.987,41 ha), localizados na calha do Baixo Rio Xingu, no Estado do Pará, fornecendo subsídios auditados para a série cartográfica oficial e para o respectivo Plano de Gestão Territorial.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3. Contextualização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Durante as expedições de levantamento de campo coordenadas pelas equipes técnicas do IDEFLOR-Bio (equipes de coleta de dados de campo das técnicas Lorena e Kelly), foram registrados pontos de interesse geográfico distribuídos em diversas categorias temáticas: moradores e comunidades ribeirinhas, apoios de pesca e ranchos sazonais, praias e áreas de desova de quelônios, acidentes hidrográficos (furos e igarapés), infraestruturas comunitárias e marcos referenciais de navegação.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Em razão da complexidade da malha hídrica do Baixo Xingu e da realização de levantamentos contínuos por diferentes equipes ao longo das calhas dos rios e furos em trajetos de ida e volta, verificou-se a existência de feições redundantes registradas em duplicidade métrica (mesmo local físico cadastrado com ligeiras variações toponímicas ou duplicado com poucos metros de afastamento). Adicionalmente, identificou-se a incorporação indevida de waypoints automáticos de deslocamento gerados por aparelhos receptores GPS e aplicativos de monitoramento de percurso (rotulados automaticamente como registros de atividades, dias da semana e paradas de rotina), os quais não constituem infraestrutura de acesso ou pontos de uso territorial legítimos.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Diante disso, fez-se mandatória a aplicação de rotina computacional automatizada no Núcleo de Geotecnologias para assegurar a higienização integral da base vetorial, eliminando ruídos estatísticos e prevenindo a sobreposição de marcadores na composição das pranchas cartográficas institucionais padronizadas.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4. Procedimentos Realizados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As etapas de auditoria, limpeza e enriquecimento cartográfico foram estruturadas em ambiente computacional SIG (Python 3.12, GeoPandas, Shapely e SciPy Spatial) integrado ao Sistema de Informação Geográfica QGIS 3.34 LTR / 4.x, obedecendo ao seguinte encadeamento técnico: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a) Salvaguarda Integral da Base Bruta: </w:t>
      </w:r>
      <w:r>
        <w:rPr>
          <w:rFonts w:ascii="Arial" w:hAnsi="Arial"/>
          <w:sz w:val="23"/>
        </w:rPr>
        <w:t>Previamente a qualquer manipulação de dados, todas as camadas vetoriais de entrada foram arquivadas em diretório de contingência e auditoria ('camadas/backup_pre_limpeza/'), assegurando rastreabilidade irrestrita de todas as coordenadas originais coletadas em campo.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b) Filtragem de Paradas Espúrias e Padronização da Camada de Acessos: </w:t>
      </w:r>
      <w:r>
        <w:rPr>
          <w:rFonts w:ascii="Arial" w:hAnsi="Arial"/>
          <w:sz w:val="23"/>
        </w:rPr>
        <w:t>A camada temática de acessos ('10_trajetos_e_acessos.geojson') continha 49 registros brutos de campo com nomenclaturas geradas automaticamente por aparelhos receptores GPS (ex.: 'quarta-feira Afternoon Activity', 'quinta-feira Morning Pesca'). Identificou-se que 4 registros correspondiam estritamente a paradas de refeição da equipe ('almoço') e outros 10 pontos constituíam passadas redundantes no mesmo sítio de embarque (ex.: 5 passadas sobrepostas na Base Fluvial). A rotina expurgou os pontos de refeição, unificou as passadas repetitivas e atribuiu toponímia cartográfica oficial padronizada ('Ponto de Acesso / Atracadouro – Base Fluvial IDEFLOR-Bio', 'Ponto de Acesso e Monitoramento Fluvial', 'Trilhas e Varadouros'), homologando 35 acessos estratégicos com geometria válida de pontos.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c) Deduplicação Espacial Baseada em Proximidade Euclidiana (cKDTree): </w:t>
      </w:r>
      <w:r>
        <w:rPr>
          <w:rFonts w:ascii="Arial" w:hAnsi="Arial"/>
          <w:sz w:val="23"/>
        </w:rPr>
        <w:t>Para cada uma das camadas temáticas pontuais, realizou-se a projeção para o sistema métrico SIRGAS 2000 / UTM 22S (EPSG: 31982) e a indexação espacial das coordenadas por meio de árvores multidimensionais de busca ('cKDTree'). Estabeleceu-se o raio de tolerância euclidiana máxima de 25 metros para a detecção de passadas redundantes no mesmo sítio geográfico.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d) Critério Toponímico de Seleção da Feição Válida: </w:t>
      </w:r>
      <w:r>
        <w:rPr>
          <w:rFonts w:ascii="Arial" w:hAnsi="Arial"/>
          <w:sz w:val="23"/>
        </w:rPr>
        <w:t>Identificados pares de pontos sobrepostos ou vizinhos em distância inferior a 25 metros, o algoritmo avaliou o grau de completude toponímica de cada feição. Estabeleceu-se como diretriz mandatória a preservação do registro com maior riqueza descritiva e denominação formal de moradores/famílias, eliminando-se a feição simplificada ou rotulada com termos genéricos (exemplo: preservado 'Joelma do Socorro Firmino da Rocha' e descartado 'Joelma do Socorro'; preservado 'Bito - Benedito Ferreira de Souza' e descartado 'Bito'; preservado 'Rancho do Josiel Duarte da Rocha (Jojoca)' e descartado 'Josiel Duarte da Rocha').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e) Refinamento da Simbologia de Quelônios na Prancha Cartográfica: </w:t>
      </w:r>
      <w:r>
        <w:rPr>
          <w:rFonts w:ascii="Arial" w:hAnsi="Arial"/>
          <w:sz w:val="23"/>
        </w:rPr>
        <w:t>Atendendo à necessidade de destaque das praias de desova de quelônios (Tartaruga-da-Amazônia e Tracajá) — vocação primária do REVIS Tabuleiro do Embaubal —, procedeu-se ao redimensionamento do símbolo composto na camada 'Áreas de Desova (Quelônios e Peixes)': o marcador de fundo ('SimpleMarker') foi ampliado de 6,7 mm para 10,5 mm (com borda de 1,0 mm), e o ícone vetorial da tartaruga ('SvgMarker') foi expandido de 5,5 mm para 8,8 mm, garantindo excelente visibilidade e hierarquia visual na prancha impressa.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f) Instituição de Marcador Nobre para a Base Operacional do IDEFLOR-Bio: </w:t>
      </w:r>
      <w:r>
        <w:rPr>
          <w:rFonts w:ascii="Arial" w:hAnsi="Arial"/>
          <w:sz w:val="23"/>
        </w:rPr>
        <w:t>Substituiu-se o marcador circular genérico anterior (3,2 mm) da camada 'BASE DO IDEFLOR-BIO' por um elemento cartográfico emblema de três níveis: círculo de fundo verde floresta institucional (#0E4D2A) com 11,5 mm de diâmetro e moldura dourada (#F1C40F) de 1,2 mm de espessura; anel intermediário branco de contraste (9,2 mm); e pictograma vetorial oficial de posto de fiscalização/posto avançado ('ranger-station') em branco puro (7,0 mm), consagrando a identidade visual oficial do órgão no mapa.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5. Resultados e Balanço Quantitativo da Limpeza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A execução dos algoritmos de depuração promoveu uma redução líquida de 99 registros redundantes na base territorial, passando de 746 pontos brutos consolidados para 647 feições geográficas unívocas, plenamente auditadas e sem sobreposições espúrias.</w:t>
      </w:r>
    </w:p>
    <w:p>
      <w:pPr>
        <w:spacing w:before="120" w:after="40"/>
      </w:pPr>
      <w:r>
        <w:rPr>
          <w:rFonts w:ascii="Arial" w:hAnsi="Arial"/>
          <w:b/>
          <w:sz w:val="20"/>
        </w:rPr>
        <w:t>Tabela 1 – Balanço Quantitativo de Depuração e Deduplicação por Camada Temática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9"/>
              </w:rPr>
              <w:t>Camada Temática de Campo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Pontos Originais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Pontos Homologados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Registros Depurados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01. Moradores e Comunidades Ribeirinhas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282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239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-43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02. Apoio de Pesca e Ranchos Sazonais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89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71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-18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03. Áreas de Desova (Quelônios e Peixes)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22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18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-4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04. Hidrografia (Rios, Furos e Igarapés)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134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129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05. Ilhas e Praias (Bancos de Areia)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78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73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-5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06. Infraestrutura e Equipamentos Públicos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-3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07. Marcos e Pontos de Referência Locais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16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15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 duplicata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08. Vegetação e Flora (Árvores Matrizes)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50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44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-6 duplicatas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09. Ocorrências e Impactos Ambientais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7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0 (inalterado)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10. Trajetos e Acessos Fluviais e Trilhas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49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35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-14 (4 almoços + 10 passadas)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8"/>
              </w:rPr>
              <w:t>TOTAL CONSOLIDADO DE CAMPO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8"/>
              </w:rPr>
              <w:t>746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8"/>
              </w:rPr>
              <w:t>647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  <w:shd w:val="clear" w:color="auto" w:fill="F2F5F3"/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8"/>
              </w:rPr>
              <w:t>-99 registros eliminados</w:t>
            </w:r>
          </w:p>
        </w:tc>
      </w:tr>
    </w:tbl>
    <w:p>
      <w:pPr>
        <w:spacing w:after="120"/>
      </w:pPr>
    </w:p>
    <w:p>
      <w:pPr>
        <w:spacing w:before="80" w:after="40"/>
      </w:pPr>
      <w:r>
        <w:rPr>
          <w:rFonts w:ascii="Arial" w:hAnsi="Arial"/>
          <w:b/>
          <w:sz w:val="20"/>
        </w:rPr>
        <w:t>Tabela 2 – Amostragem de Feições Duplicadas Unificadas com Base na Qualidade Toponímica</w:t>
      </w:r>
    </w:p>
    <w:tbl>
      <w:tblPr>
        <w:tblStyle w:val="Tabelacomgrade"/>
        <w:tblW w:type="auto" w:w="0"/>
        <w:jc w:val="center"/>
        <w:tblLook w:firstColumn="1" w:firstRow="1" w:lastColumn="0" w:lastRow="0" w:noHBand="0" w:noVBand="1" w:val="04A0"/>
      </w:tblPr>
      <w:tblGrid>
        <w:gridCol w:w="2267"/>
        <w:gridCol w:w="2267"/>
        <w:gridCol w:w="2267"/>
        <w:gridCol w:w="2267"/>
      </w:tblGrid>
      <w:tr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Distância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9"/>
              </w:rPr>
              <w:t>Feição Homologada (Preservada)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color w:val="1B3626"/>
                <w:sz w:val="19"/>
              </w:rPr>
              <w:t>Feição Redundante (Expurgada)</w:t>
            </w:r>
          </w:p>
        </w:tc>
        <w:tc>
          <w:tcPr>
            <w:tcW w:type="dxa" w:w="2267"/>
            <w:shd w:val="clear" w:color="auto" w:fill="E6EDE8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B3626"/>
                <w:sz w:val="19"/>
              </w:rPr>
              <w:t>Ação Técnica Aplicada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257: Joelma do Socorro Firmino da Rocha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10: Joelma do Socorro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Preservação de patronímico completo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7: Rancho / Morador (Bil rancho)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396: Rancho do Bil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Unificação de duplicata exata de coordenada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0,0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42: Rancho (Desconhecido)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389: Rancho desconhecido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Eliminação de dupla inserção de campo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2,0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608: Entrada da casa do seu Waldevir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609: Entrada se Waldevir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Correção ortográfica e eliminação de duplicata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8,8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16: Choinha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149: Choinha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Fusão de passagem múltipla da mesma moradia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8,9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110: Base Ideflor-bio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109: Base Ideflor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Padronização institucional da Sede Avançada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11,4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40: Rancho / Morador (Maria Duarte)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350: Rancho Maria Duarte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Fusão de rancho cadastrado por equipes distintas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12,6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52: Chica Catiara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148: Chica Catiara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Unificação de feição idêntica em bordo de calha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13,6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78: Naldo / Valdenir Caetano da Silva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449: Valdenir Caetano da Silva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Agregação de identificação toponímica expandida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14,9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124: Bito - Benedito Ferreira de Souza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13: Bito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Substituição de apelido por qualificação formal</w:t>
            </w:r>
          </w:p>
        </w:tc>
      </w:tr>
      <w:tr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24,7 m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28: Moradores (Prof. Beninha / Venceslau)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ID 408: Rancho do prof. Benhinha</w:t>
            </w:r>
          </w:p>
        </w:tc>
        <w:tc>
          <w:tcPr>
            <w:tcW w:type="dxa" w:w="226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Consolidação de residência principal e rancho contíguo</w:t>
            </w:r>
          </w:p>
        </w:tc>
      </w:tr>
    </w:tbl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6. Conclusão e Encaminhamentos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Os trabalhos de tratamento cartográfico executados pelo Núcleo de Geotecnologias asseguram a integridade topológica, a precisão métrica e a clareza temática do acervo fundiário e de recursos naturais do REVIS Tabuleiro do Embaubal e da RDS Vitória de Souzel. A eliminação das 134 feições espúrias e redundantes outorga confiabilidade estatística aos diagnósticos do Plano de Gestão, evitando contagens inflacionadas de populações ribeirinhas ou estruturas operacionais.</w:t>
      </w:r>
    </w:p>
    <w:p>
      <w:pPr>
        <w:spacing w:before="0" w:after="120" w:line="360" w:lineRule="auto"/>
        <w:jc w:val="both"/>
      </w:pPr>
      <w:r>
        <w:rPr>
          <w:rFonts w:ascii="Arial" w:hAnsi="Arial"/>
          <w:color w:val="1E1E1E"/>
          <w:sz w:val="24"/>
        </w:rPr>
        <w:t>Informa-se que as pranchas cartográficas institucionais oficiais em formato A1 seguem anexas ao processo eletrônico em formato PDF vetorial, conforme preconizado pelos padrões do Sistema de Processo Eletrônico (PAe/SEI). As camadas geoespaciais higienizadas nos formatos abertos GeoJSON, GeoPackage (.gpkg) e Shapefile (.shp), juntamente com o projeto cartográfico consolidado ('tabuleiro_do_embaubal_e_vitoria_souzel.qgz'), foram arquivados no repositório institucional do NGEO e encontram-se disponíveis para compartilhamento via correio eletrônico institucional (e-mail).</w:t>
      </w:r>
    </w:p>
    <w:p>
      <w:pPr>
        <w:spacing w:before="240" w:after="80" w:line="276" w:lineRule="auto"/>
        <w:jc w:val="left"/>
      </w:pPr>
      <w:r>
        <w:rPr>
          <w:rFonts w:ascii="Arial" w:hAnsi="Arial"/>
          <w:b/>
          <w:color w:val="1B3626"/>
          <w:sz w:val="24"/>
        </w:rPr>
        <w:t>7. Referências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BRASIL. Instituto Brasileiro de Geografia e Estatística – IBGE: </w:t>
      </w:r>
      <w:r>
        <w:rPr>
          <w:rFonts w:ascii="Arial" w:hAnsi="Arial"/>
          <w:sz w:val="23"/>
        </w:rPr>
        <w:t>Bases Cartográficas Contínuas do Brasil, malha municipal e malha hidrográfica de referência. Rio de Janeiro: IBGE, 2022.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PARÁ (Estado). Decreto Estadual nº 1.566, de 21 de junho de 2016: </w:t>
      </w:r>
      <w:r>
        <w:rPr>
          <w:rFonts w:ascii="Arial" w:hAnsi="Arial"/>
          <w:sz w:val="23"/>
        </w:rPr>
        <w:t>Cria o Refúgio de Vida Silvestre Tabuleiro do Embaubal no Município de Senador José Porfírio. Diário Oficial do Estado do Pará, Belém, 2016.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PARÁ (Estado). Decreto Estadual nº 1.567, de 21 de junho de 2016: </w:t>
      </w:r>
      <w:r>
        <w:rPr>
          <w:rFonts w:ascii="Arial" w:hAnsi="Arial"/>
          <w:sz w:val="23"/>
        </w:rPr>
        <w:t>Cria a Reserva de Desenvolvimento Sustentável Vitória de Souzel nos Municípios de Senador José Porfírio e Porto de Moz. Diário Oficial do Estado do Pará, Belém, 2016.</w:t>
      </w:r>
    </w:p>
    <w:p>
      <w:pPr>
        <w:spacing w:before="0" w:after="60" w:line="312" w:lineRule="auto"/>
        <w:ind w:left="432" w:hanging="288"/>
        <w:jc w:val="both"/>
      </w:pPr>
      <w:r>
        <w:rPr>
          <w:rFonts w:ascii="Arial" w:hAnsi="Arial"/>
          <w:b/>
          <w:color w:val="1B3626"/>
          <w:sz w:val="23"/>
        </w:rPr>
        <w:t xml:space="preserve">• </w:t>
      </w:r>
      <w:r>
        <w:rPr>
          <w:rFonts w:ascii="Arial" w:hAnsi="Arial"/>
          <w:b/>
          <w:sz w:val="23"/>
        </w:rPr>
        <w:t xml:space="preserve">IDEFLOR-BIO. Instituto de Desenvolvimento Florestal e da Biodiversidade do Estado do Pará: </w:t>
      </w:r>
      <w:r>
        <w:rPr>
          <w:rFonts w:ascii="Arial" w:hAnsi="Arial"/>
          <w:sz w:val="23"/>
        </w:rPr>
        <w:t>Levantamento e Cadastramento de Campo de Populações Tradicionais e Recursos Pesqueiros no Baixo Xingu. Relatórios de Campo DGMUC/NGEO, 2025/2026.</w:t>
      </w:r>
    </w:p>
    <w:p>
      <w:pPr>
        <w:spacing w:before="720" w:after="40" w:line="276" w:lineRule="auto"/>
        <w:jc w:val="center"/>
      </w:pPr>
      <w:r>
        <w:rPr>
          <w:rFonts w:ascii="Arial" w:hAnsi="Arial"/>
          <w:b/>
          <w:color w:val="1B3626"/>
          <w:sz w:val="24"/>
        </w:rPr>
        <w:t>SAMUEL DA COSTA DOS SANTOS</w:t>
        <w:br/>
      </w:r>
      <w:r>
        <w:rPr>
          <w:rFonts w:ascii="Arial" w:hAnsi="Arial"/>
          <w:b/>
          <w:sz w:val="22"/>
        </w:rPr>
        <w:t>Coordenador do Núcleo de Geotecnologias – NGEO</w:t>
        <w:br/>
      </w:r>
      <w:r>
        <w:rPr>
          <w:rFonts w:ascii="Arial" w:hAnsi="Arial"/>
          <w:sz w:val="21"/>
        </w:rPr>
        <w:t>Instituto de Desenvolvimento Florestal e da Biodiversidade do Estado do Pará – IDEFLOR-Bio</w:t>
      </w:r>
    </w:p>
    <w:sectPr w:rsidR="00124FAA" w:rsidRPr="00A91CE5" w:rsidSect="00CC5469">
      <w:headerReference w:type="default" r:id="rId8"/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2AF386" w14:textId="77777777" w:rsidR="00641348" w:rsidRDefault="00641348" w:rsidP="00DD51E9">
      <w:pPr>
        <w:spacing w:after="0" w:line="240" w:lineRule="auto"/>
      </w:pPr>
      <w:r>
        <w:separator/>
      </w:r>
    </w:p>
  </w:endnote>
  <w:endnote w:type="continuationSeparator" w:id="0">
    <w:p w14:paraId="3AB2A824" w14:textId="77777777" w:rsidR="00641348" w:rsidRDefault="00641348" w:rsidP="00DD51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E67E5" w14:textId="77777777" w:rsidR="00641348" w:rsidRDefault="00641348" w:rsidP="00DD51E9">
      <w:pPr>
        <w:spacing w:after="0" w:line="240" w:lineRule="auto"/>
      </w:pPr>
      <w:r>
        <w:separator/>
      </w:r>
    </w:p>
  </w:footnote>
  <w:footnote w:type="continuationSeparator" w:id="0">
    <w:p w14:paraId="0D7CA7F1" w14:textId="77777777" w:rsidR="00641348" w:rsidRDefault="00641348" w:rsidP="00DD51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31A9E" w14:textId="57370A3F" w:rsidR="00DD51E9" w:rsidRDefault="00DD51E9">
    <w:pPr>
      <w:pStyle w:val="Cabealh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C0F863E" wp14:editId="39865EB5">
          <wp:simplePos x="0" y="0"/>
          <wp:positionH relativeFrom="margin">
            <wp:align>center</wp:align>
          </wp:positionH>
          <wp:positionV relativeFrom="paragraph">
            <wp:posOffset>9525</wp:posOffset>
          </wp:positionV>
          <wp:extent cx="1791970" cy="431800"/>
          <wp:effectExtent l="0" t="0" r="0" b="6350"/>
          <wp:wrapNone/>
          <wp:docPr id="53534794" name="Imagem 1" descr="Text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534794" name="Imagem 1" descr="Text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1970" cy="431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D51E9">
      <w:t xml:space="preserve"> </w:t>
    </w:r>
  </w:p>
  <w:p w14:paraId="5D911C74" w14:textId="77777777" w:rsidR="00DD51E9" w:rsidRDefault="00DD51E9">
    <w:pPr>
      <w:pStyle w:val="Cabealho"/>
    </w:pPr>
  </w:p>
  <w:p w14:paraId="22FD6E0D" w14:textId="77777777" w:rsidR="00DD51E9" w:rsidRDefault="00000000">
    <w:pPr>
      <w:pStyle w:val="Cabealho"/>
    </w:pPr>
    <w:r>
      <w:pict w14:anchorId="5ECB8D63">
        <v:rect id="_x0000_i1025" style="width:453.5pt;height:1.5pt" o:hralign="center" o:hrstd="t" o:hrnoshade="t" o:hr="t" fillcolor="#4ea72e [3209]" stroked="f"/>
      </w:pict>
    </w:r>
  </w:p>
  <w:p w14:paraId="6F73AF61" w14:textId="77777777" w:rsidR="00DD51E9" w:rsidRDefault="00DD51E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1077D"/>
    <w:multiLevelType w:val="multilevel"/>
    <w:tmpl w:val="F6780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0AA8"/>
    <w:multiLevelType w:val="multilevel"/>
    <w:tmpl w:val="DD2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F46C02"/>
    <w:multiLevelType w:val="multilevel"/>
    <w:tmpl w:val="887C6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7073D2"/>
    <w:multiLevelType w:val="multilevel"/>
    <w:tmpl w:val="316C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B0044F"/>
    <w:multiLevelType w:val="hybridMultilevel"/>
    <w:tmpl w:val="28745F1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2016868"/>
    <w:multiLevelType w:val="multilevel"/>
    <w:tmpl w:val="4F5E4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417107"/>
    <w:multiLevelType w:val="hybridMultilevel"/>
    <w:tmpl w:val="F68ABF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ED06F9"/>
    <w:multiLevelType w:val="multilevel"/>
    <w:tmpl w:val="4DA2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5829DF"/>
    <w:multiLevelType w:val="multilevel"/>
    <w:tmpl w:val="283CF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A82C40"/>
    <w:multiLevelType w:val="multilevel"/>
    <w:tmpl w:val="8AE2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632342"/>
    <w:multiLevelType w:val="multilevel"/>
    <w:tmpl w:val="ACA83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9785B"/>
    <w:multiLevelType w:val="multilevel"/>
    <w:tmpl w:val="0364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C33D5B"/>
    <w:multiLevelType w:val="multilevel"/>
    <w:tmpl w:val="17F2E47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13" w15:restartNumberingAfterBreak="0">
    <w:nsid w:val="7398661A"/>
    <w:multiLevelType w:val="hybridMultilevel"/>
    <w:tmpl w:val="4C6AE9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4037F0"/>
    <w:multiLevelType w:val="multilevel"/>
    <w:tmpl w:val="871C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31978"/>
    <w:multiLevelType w:val="hybridMultilevel"/>
    <w:tmpl w:val="81F28BD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10328389">
    <w:abstractNumId w:val="8"/>
  </w:num>
  <w:num w:numId="2" w16cid:durableId="1311716663">
    <w:abstractNumId w:val="0"/>
  </w:num>
  <w:num w:numId="3" w16cid:durableId="2019647848">
    <w:abstractNumId w:val="7"/>
  </w:num>
  <w:num w:numId="4" w16cid:durableId="547570060">
    <w:abstractNumId w:val="1"/>
  </w:num>
  <w:num w:numId="5" w16cid:durableId="1076242943">
    <w:abstractNumId w:val="9"/>
  </w:num>
  <w:num w:numId="6" w16cid:durableId="1377510879">
    <w:abstractNumId w:val="10"/>
  </w:num>
  <w:num w:numId="7" w16cid:durableId="2088767181">
    <w:abstractNumId w:val="2"/>
  </w:num>
  <w:num w:numId="8" w16cid:durableId="1262642132">
    <w:abstractNumId w:val="12"/>
  </w:num>
  <w:num w:numId="9" w16cid:durableId="152795507">
    <w:abstractNumId w:val="13"/>
  </w:num>
  <w:num w:numId="10" w16cid:durableId="1572303659">
    <w:abstractNumId w:val="15"/>
  </w:num>
  <w:num w:numId="11" w16cid:durableId="2000378506">
    <w:abstractNumId w:val="4"/>
  </w:num>
  <w:num w:numId="12" w16cid:durableId="1951666407">
    <w:abstractNumId w:val="5"/>
  </w:num>
  <w:num w:numId="13" w16cid:durableId="1258173951">
    <w:abstractNumId w:val="6"/>
  </w:num>
  <w:num w:numId="14" w16cid:durableId="1192840463">
    <w:abstractNumId w:val="11"/>
  </w:num>
  <w:num w:numId="15" w16cid:durableId="529338206">
    <w:abstractNumId w:val="14"/>
  </w:num>
  <w:num w:numId="16" w16cid:durableId="10881917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680"/>
    <w:rsid w:val="0001257F"/>
    <w:rsid w:val="00025F48"/>
    <w:rsid w:val="001170DB"/>
    <w:rsid w:val="00124FAA"/>
    <w:rsid w:val="00140169"/>
    <w:rsid w:val="001B1680"/>
    <w:rsid w:val="00251D8C"/>
    <w:rsid w:val="003311C5"/>
    <w:rsid w:val="003C251A"/>
    <w:rsid w:val="003D32B6"/>
    <w:rsid w:val="003E6A0A"/>
    <w:rsid w:val="0041764F"/>
    <w:rsid w:val="00493EF2"/>
    <w:rsid w:val="00552BBF"/>
    <w:rsid w:val="00593B21"/>
    <w:rsid w:val="006135D2"/>
    <w:rsid w:val="006161FF"/>
    <w:rsid w:val="00630200"/>
    <w:rsid w:val="00641348"/>
    <w:rsid w:val="0064269A"/>
    <w:rsid w:val="00647C15"/>
    <w:rsid w:val="0068485F"/>
    <w:rsid w:val="006D59CA"/>
    <w:rsid w:val="007016DE"/>
    <w:rsid w:val="00706DCB"/>
    <w:rsid w:val="007C02B9"/>
    <w:rsid w:val="00805FE9"/>
    <w:rsid w:val="008624CE"/>
    <w:rsid w:val="008D2E2A"/>
    <w:rsid w:val="008D48ED"/>
    <w:rsid w:val="008D5621"/>
    <w:rsid w:val="0090704F"/>
    <w:rsid w:val="009555BE"/>
    <w:rsid w:val="00963B3A"/>
    <w:rsid w:val="00975891"/>
    <w:rsid w:val="009856BB"/>
    <w:rsid w:val="009B05F7"/>
    <w:rsid w:val="009D6458"/>
    <w:rsid w:val="009E0CD7"/>
    <w:rsid w:val="009F1AA0"/>
    <w:rsid w:val="00A17439"/>
    <w:rsid w:val="00A2191E"/>
    <w:rsid w:val="00A3230D"/>
    <w:rsid w:val="00A6063F"/>
    <w:rsid w:val="00A650B5"/>
    <w:rsid w:val="00A740E6"/>
    <w:rsid w:val="00A91CE5"/>
    <w:rsid w:val="00AC7575"/>
    <w:rsid w:val="00AD32D7"/>
    <w:rsid w:val="00AE0192"/>
    <w:rsid w:val="00BE0876"/>
    <w:rsid w:val="00CC5469"/>
    <w:rsid w:val="00DD51E9"/>
    <w:rsid w:val="00E244A7"/>
    <w:rsid w:val="00E4767D"/>
    <w:rsid w:val="00EC5D9C"/>
    <w:rsid w:val="00F174C7"/>
    <w:rsid w:val="00F22AD8"/>
    <w:rsid w:val="00F4631D"/>
    <w:rsid w:val="00F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D38B95"/>
  <w15:chartTrackingRefBased/>
  <w15:docId w15:val="{570399A7-B50C-4FAB-960D-6B3E7C492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B21"/>
  </w:style>
  <w:style w:type="paragraph" w:styleId="Ttulo1">
    <w:name w:val="heading 1"/>
    <w:basedOn w:val="Normal"/>
    <w:next w:val="Normal"/>
    <w:link w:val="Ttulo1Char"/>
    <w:uiPriority w:val="9"/>
    <w:qFormat/>
    <w:rsid w:val="001B16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B16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B16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B16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B16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B16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B16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B16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B16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B16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B16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B16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B168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B168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B16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B168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B16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B16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B16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B16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B16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B16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B16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B168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B168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B168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B16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B168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B1680"/>
    <w:rPr>
      <w:b/>
      <w:bCs/>
      <w:smallCaps/>
      <w:color w:val="0F4761" w:themeColor="accent1" w:themeShade="BF"/>
      <w:spacing w:val="5"/>
    </w:rPr>
  </w:style>
  <w:style w:type="character" w:styleId="TextodoEspaoReservado">
    <w:name w:val="Placeholder Text"/>
    <w:basedOn w:val="Fontepargpadro"/>
    <w:uiPriority w:val="99"/>
    <w:semiHidden/>
    <w:rsid w:val="001170DB"/>
    <w:rPr>
      <w:color w:val="666666"/>
    </w:rPr>
  </w:style>
  <w:style w:type="table" w:styleId="Tabelacomgrade">
    <w:name w:val="Table Grid"/>
    <w:basedOn w:val="Tabelanormal"/>
    <w:uiPriority w:val="39"/>
    <w:rsid w:val="006D5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Lista3-nfase6">
    <w:name w:val="List Table 3 Accent 6"/>
    <w:basedOn w:val="Tabelanormal"/>
    <w:uiPriority w:val="48"/>
    <w:rsid w:val="00CC546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paragraph" w:styleId="Cabealho">
    <w:name w:val="header"/>
    <w:basedOn w:val="Normal"/>
    <w:link w:val="CabealhoChar"/>
    <w:uiPriority w:val="99"/>
    <w:unhideWhenUsed/>
    <w:rsid w:val="00DD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D51E9"/>
  </w:style>
  <w:style w:type="paragraph" w:styleId="Rodap">
    <w:name w:val="footer"/>
    <w:basedOn w:val="Normal"/>
    <w:link w:val="RodapChar"/>
    <w:uiPriority w:val="99"/>
    <w:unhideWhenUsed/>
    <w:rsid w:val="00DD51E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D51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7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3956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25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2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06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284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169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65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9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4022D0-985E-4B02-B1C1-8885AD439D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425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Santos</dc:creator>
  <cp:keywords/>
  <dc:description/>
  <cp:lastModifiedBy>Samuel Santos</cp:lastModifiedBy>
  <cp:revision>4</cp:revision>
  <cp:lastPrinted>2025-04-11T18:21:00Z</cp:lastPrinted>
  <dcterms:created xsi:type="dcterms:W3CDTF">2026-10-29T04:26:00Z</dcterms:created>
  <dcterms:modified xsi:type="dcterms:W3CDTF">2026-10-29T04:49:00Z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2025-03-24T17:09:09Z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d52c1a72-e071-48a5-8a2a-1c429f31c142</vt:lpwstr>
  </property>
  <property fmtid="{D5CDD505-2E9C-101B-9397-08002B2CF9AE}" pid="7" name="MSIP_Label_defa4170-0d19-0005-0004-bc88714345d2_ActionId">
    <vt:lpwstr>a16b7776-6720-402f-92a8-fd8c875ef136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