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80"/>
        <w:jc w:val="center"/>
      </w:pPr>
      <w:r>
        <w:rPr>
          <w:rFonts w:ascii="Arial" w:hAnsi="Arial"/>
          <w:b/>
          <w:color w:val="1B3626"/>
          <w:sz w:val="28"/>
        </w:rPr>
        <w:t>RELATÓRIO TÉCNICO</w:t>
      </w:r>
    </w:p>
    <w:p>
      <w:pPr>
        <w:spacing w:before="0" w:after="320"/>
        <w:jc w:val="center"/>
      </w:pPr>
      <w:r>
        <w:rPr>
          <w:rFonts w:ascii="Arial" w:hAnsi="Arial"/>
          <w:b/>
          <w:color w:val="505050"/>
          <w:sz w:val="22"/>
        </w:rPr>
        <w:t>TRATAMENTO CARTOGRÁFICO, DEDUPLICAÇÃO ESPACIAL E DEPURAÇÃO DE DADOS VETORIAIS DE CAMPO</w:t>
        <w:br/>
        <w:t>REVIS TABULEIRO DO EMBAUBAL E RDS VITÓRIA DE SOUZEL</w:t>
      </w:r>
    </w:p>
    <w:p>
      <w:pPr>
        <w:spacing w:before="240" w:after="80" w:line="276" w:lineRule="auto"/>
        <w:jc w:val="left"/>
      </w:pPr>
      <w:r>
        <w:rPr>
          <w:rFonts w:ascii="Arial" w:hAnsi="Arial"/>
          <w:b/>
          <w:color w:val="1B3626"/>
          <w:sz w:val="24"/>
        </w:rPr>
        <w:t>1. Identificação do Documento</w:t>
      </w:r>
    </w:p>
    <w:p>
      <w:pPr>
        <w:spacing w:before="0" w:after="60" w:line="312" w:lineRule="auto"/>
        <w:ind w:left="432" w:hanging="288"/>
        <w:jc w:val="both"/>
      </w:pPr>
      <w:r>
        <w:rPr>
          <w:rFonts w:ascii="Arial" w:hAnsi="Arial"/>
          <w:b/>
          <w:color w:val="1B3626"/>
          <w:sz w:val="23"/>
        </w:rPr>
        <w:t xml:space="preserve">• </w:t>
      </w:r>
      <w:r>
        <w:rPr>
          <w:rFonts w:ascii="Arial" w:hAnsi="Arial"/>
          <w:b/>
          <w:sz w:val="23"/>
        </w:rPr>
        <w:t xml:space="preserve">Processo Administrativo: </w:t>
      </w:r>
      <w:r>
        <w:rPr>
          <w:rFonts w:ascii="Arial" w:hAnsi="Arial"/>
          <w:sz w:val="23"/>
        </w:rPr>
        <w:t>Processo de Elaboração do Plano de Gestão Territorial nº 2026/3605158</w:t>
      </w:r>
    </w:p>
    <w:p>
      <w:pPr>
        <w:spacing w:before="0" w:after="60" w:line="312" w:lineRule="auto"/>
        <w:ind w:left="432" w:hanging="288"/>
        <w:jc w:val="both"/>
      </w:pPr>
      <w:r>
        <w:rPr>
          <w:rFonts w:ascii="Arial" w:hAnsi="Arial"/>
          <w:b/>
          <w:color w:val="1B3626"/>
          <w:sz w:val="23"/>
        </w:rPr>
        <w:t xml:space="preserve">• </w:t>
      </w:r>
      <w:r>
        <w:rPr>
          <w:rFonts w:ascii="Arial" w:hAnsi="Arial"/>
          <w:b/>
          <w:sz w:val="23"/>
        </w:rPr>
        <w:t xml:space="preserve">Unidades Objeto: </w:t>
      </w:r>
      <w:r>
        <w:rPr>
          <w:rFonts w:ascii="Arial" w:hAnsi="Arial"/>
          <w:sz w:val="23"/>
        </w:rPr>
        <w:t>Refúgio de Vida Silvestre (REVIS) Tabuleiro do Embaubal e Reserva de Desenvolvimento Sustentável (RDS) Vitória de Souzel</w:t>
      </w:r>
    </w:p>
    <w:p>
      <w:pPr>
        <w:spacing w:before="0" w:after="60" w:line="312" w:lineRule="auto"/>
        <w:ind w:left="432" w:hanging="288"/>
        <w:jc w:val="both"/>
      </w:pPr>
      <w:r>
        <w:rPr>
          <w:rFonts w:ascii="Arial" w:hAnsi="Arial"/>
          <w:b/>
          <w:color w:val="1B3626"/>
          <w:sz w:val="23"/>
        </w:rPr>
        <w:t xml:space="preserve">• </w:t>
      </w:r>
      <w:r>
        <w:rPr>
          <w:rFonts w:ascii="Arial" w:hAnsi="Arial"/>
          <w:b/>
          <w:sz w:val="23"/>
        </w:rPr>
        <w:t xml:space="preserve">Órgão Gestor / Demandante: </w:t>
      </w:r>
      <w:r>
        <w:rPr>
          <w:rFonts w:ascii="Arial" w:hAnsi="Arial"/>
          <w:sz w:val="23"/>
        </w:rPr>
        <w:t>Diretoria de Gestão e Monitoramento de Unidades de Conservação – DGMUC / IDEFLOR-Bio</w:t>
      </w:r>
    </w:p>
    <w:p>
      <w:pPr>
        <w:spacing w:before="0" w:after="60" w:line="312" w:lineRule="auto"/>
        <w:ind w:left="432" w:hanging="288"/>
        <w:jc w:val="both"/>
      </w:pPr>
      <w:r>
        <w:rPr>
          <w:rFonts w:ascii="Arial" w:hAnsi="Arial"/>
          <w:b/>
          <w:color w:val="1B3626"/>
          <w:sz w:val="23"/>
        </w:rPr>
        <w:t xml:space="preserve">• </w:t>
      </w:r>
      <w:r>
        <w:rPr>
          <w:rFonts w:ascii="Arial" w:hAnsi="Arial"/>
          <w:b/>
          <w:sz w:val="23"/>
        </w:rPr>
        <w:t xml:space="preserve">Setor Executor: </w:t>
      </w:r>
      <w:r>
        <w:rPr>
          <w:rFonts w:ascii="Arial" w:hAnsi="Arial"/>
          <w:sz w:val="23"/>
        </w:rPr>
        <w:t>Núcleo de Geotecnologias – NGEO / IDEFLOR-Bio</w:t>
      </w:r>
    </w:p>
    <w:p>
      <w:pPr>
        <w:spacing w:before="0" w:after="60" w:line="312" w:lineRule="auto"/>
        <w:ind w:left="432" w:hanging="288"/>
        <w:jc w:val="both"/>
      </w:pPr>
      <w:r>
        <w:rPr>
          <w:rFonts w:ascii="Arial" w:hAnsi="Arial"/>
          <w:b/>
          <w:color w:val="1B3626"/>
          <w:sz w:val="23"/>
        </w:rPr>
        <w:t xml:space="preserve">• </w:t>
      </w:r>
      <w:r>
        <w:rPr>
          <w:rFonts w:ascii="Arial" w:hAnsi="Arial"/>
          <w:b/>
          <w:sz w:val="23"/>
        </w:rPr>
        <w:t xml:space="preserve">Responsável Técnico: </w:t>
      </w:r>
      <w:r>
        <w:rPr>
          <w:rFonts w:ascii="Arial" w:hAnsi="Arial"/>
          <w:sz w:val="23"/>
        </w:rPr>
        <w:t>Samuel da Costa dos Santos – Coordenador do Núcleo de Geotecnologias</w:t>
      </w:r>
    </w:p>
    <w:p>
      <w:pPr>
        <w:spacing w:before="0" w:after="60" w:line="312" w:lineRule="auto"/>
        <w:ind w:left="432" w:hanging="288"/>
        <w:jc w:val="both"/>
      </w:pPr>
      <w:r>
        <w:rPr>
          <w:rFonts w:ascii="Arial" w:hAnsi="Arial"/>
          <w:b/>
          <w:color w:val="1B3626"/>
          <w:sz w:val="23"/>
        </w:rPr>
        <w:t xml:space="preserve">• </w:t>
      </w:r>
      <w:r>
        <w:rPr>
          <w:rFonts w:ascii="Arial" w:hAnsi="Arial"/>
          <w:b/>
          <w:sz w:val="23"/>
        </w:rPr>
        <w:t xml:space="preserve">Sistema de Referência Geodésica: </w:t>
      </w:r>
      <w:r>
        <w:rPr>
          <w:rFonts w:ascii="Arial" w:hAnsi="Arial"/>
          <w:sz w:val="23"/>
        </w:rPr>
        <w:t>SIRGAS 2000 / Projeção Universal Transversa de Mercator (UTM), Zona 22 Sul (EPSG: 31982)</w:t>
      </w:r>
    </w:p>
    <w:p>
      <w:pPr>
        <w:spacing w:before="0" w:after="60" w:line="312" w:lineRule="auto"/>
        <w:ind w:left="432" w:hanging="288"/>
        <w:jc w:val="both"/>
      </w:pPr>
      <w:r>
        <w:rPr>
          <w:rFonts w:ascii="Arial" w:hAnsi="Arial"/>
          <w:b/>
          <w:color w:val="1B3626"/>
          <w:sz w:val="23"/>
        </w:rPr>
        <w:t xml:space="preserve">• </w:t>
      </w:r>
      <w:r>
        <w:rPr>
          <w:rFonts w:ascii="Arial" w:hAnsi="Arial"/>
          <w:b/>
          <w:sz w:val="23"/>
        </w:rPr>
        <w:t xml:space="preserve">Data de Elaboração: </w:t>
      </w:r>
      <w:r>
        <w:rPr>
          <w:rFonts w:ascii="Arial" w:hAnsi="Arial"/>
          <w:sz w:val="23"/>
        </w:rPr>
        <w:t>Outubro de 2026</w:t>
      </w:r>
    </w:p>
    <w:p>
      <w:pPr>
        <w:spacing w:before="240" w:after="80" w:line="276" w:lineRule="auto"/>
        <w:jc w:val="left"/>
      </w:pPr>
      <w:r>
        <w:rPr>
          <w:rFonts w:ascii="Arial" w:hAnsi="Arial"/>
          <w:b/>
          <w:color w:val="1B3626"/>
          <w:sz w:val="24"/>
        </w:rPr>
        <w:t>2. Objetivos</w:t>
      </w:r>
    </w:p>
    <w:p>
      <w:pPr>
        <w:spacing w:before="0" w:after="120" w:line="360" w:lineRule="auto"/>
        <w:jc w:val="both"/>
      </w:pPr>
      <w:r>
        <w:rPr>
          <w:rFonts w:ascii="Arial" w:hAnsi="Arial"/>
          <w:color w:val="1E1E1E"/>
          <w:sz w:val="24"/>
        </w:rPr>
        <w:t>O presente Relatório Técnico tem por objetivo documentar e homologar os procedimentos metodológicos de depuração, controle de qualidade topológica, deduplicação espacial de passadas múltiplas e padronização toponímica aplicados ao acervo de dados geoespaciais vetoriais de campo. O estudo abrange o território consolidado do Refúgio de Vida Silvestre (REVIS) Tabuleiro do Embaubal (4.035,71 ha) e da Reserva de Desenvolvimento Sustentável (RDS) Vitória de Souzel (22.987,41 ha), localizados na calha do Baixo Rio Xingu, no Estado do Pará, fornecendo subsídios auditados para a série cartográfica oficial e para o respectivo Plano de Gestão Territorial.</w:t>
      </w:r>
    </w:p>
    <w:p>
      <w:pPr>
        <w:spacing w:before="240" w:after="80" w:line="276" w:lineRule="auto"/>
        <w:jc w:val="left"/>
      </w:pPr>
      <w:r>
        <w:rPr>
          <w:rFonts w:ascii="Arial" w:hAnsi="Arial"/>
          <w:b/>
          <w:color w:val="1B3626"/>
          <w:sz w:val="24"/>
        </w:rPr>
        <w:t>3. Contextualização</w:t>
      </w:r>
    </w:p>
    <w:p>
      <w:pPr>
        <w:spacing w:before="0" w:after="120" w:line="360" w:lineRule="auto"/>
        <w:jc w:val="both"/>
      </w:pPr>
      <w:r>
        <w:rPr>
          <w:rFonts w:ascii="Arial" w:hAnsi="Arial"/>
          <w:color w:val="1E1E1E"/>
          <w:sz w:val="24"/>
        </w:rPr>
        <w:t>Durante as expedições de levantamento de campo coordenadas pelas equipes técnicas do IDEFLOR-Bio (equipes de coleta de dados de campo das técnicas Lorena e Kelly), foram registrados pontos de interesse geográfico distribuídos em diversas categorias temáticas: moradores e comunidades ribeirinhas, apoios de pesca e ranchos sazonais, praias e áreas de desova de quelônios, acidentes hidrográficos (furos e igarapés), infraestruturas comunitárias e marcos referenciais de navegação.</w:t>
      </w:r>
    </w:p>
    <w:p>
      <w:pPr>
        <w:spacing w:before="0" w:after="120" w:line="360" w:lineRule="auto"/>
        <w:jc w:val="both"/>
      </w:pPr>
      <w:r>
        <w:rPr>
          <w:rFonts w:ascii="Arial" w:hAnsi="Arial"/>
          <w:color w:val="1E1E1E"/>
          <w:sz w:val="24"/>
        </w:rPr>
        <w:t>Em razão da complexidade da malha hídrica do Baixo Xingu e da realização de levantamentos contínuos por diferentes equipes ao longo das calhas dos rios e furos em trajetos de ida e volta, verificou-se a existência de feições redundantes registradas em duplicidade métrica (mesmo local físico cadastrado com ligeiras variações toponímicas ou duplicado com poucos metros de afastamento). Adicionalmente, identificou-se a incorporação indevida de waypoints automáticos de deslocamento gerados por aparelhos receptores GPS e aplicativos de monitoramento de percurso (rotulados automaticamente como registros de atividades, dias da semana e paradas de rotina), os quais não constituem infraestrutura de acesso ou pontos de uso territorial legítimos.</w:t>
      </w:r>
    </w:p>
    <w:p>
      <w:pPr>
        <w:spacing w:before="0" w:after="120" w:line="360" w:lineRule="auto"/>
        <w:jc w:val="both"/>
      </w:pPr>
      <w:r>
        <w:rPr>
          <w:rFonts w:ascii="Arial" w:hAnsi="Arial"/>
          <w:color w:val="1E1E1E"/>
          <w:sz w:val="24"/>
        </w:rPr>
        <w:t>Diante disso, fez-se mandatória a aplicação de rotina computacional automatizada no Núcleo de Geotecnologias para assegurar a higienização integral da base vetorial, eliminando ruídos estatísticos e prevenindo a sobreposição de marcadores na composição das pranchas cartográficas institucionais padronizadas.</w:t>
      </w:r>
    </w:p>
    <w:p>
      <w:pPr>
        <w:spacing w:before="240" w:after="80" w:line="276" w:lineRule="auto"/>
        <w:jc w:val="left"/>
      </w:pPr>
      <w:r>
        <w:rPr>
          <w:rFonts w:ascii="Arial" w:hAnsi="Arial"/>
          <w:b/>
          <w:color w:val="1B3626"/>
          <w:sz w:val="24"/>
        </w:rPr>
        <w:t>4. Procedimentos Realizados</w:t>
      </w:r>
    </w:p>
    <w:p>
      <w:pPr>
        <w:spacing w:before="0" w:after="120" w:line="360" w:lineRule="auto"/>
        <w:jc w:val="both"/>
      </w:pPr>
      <w:r>
        <w:rPr>
          <w:rFonts w:ascii="Arial" w:hAnsi="Arial"/>
          <w:color w:val="1E1E1E"/>
          <w:sz w:val="24"/>
        </w:rPr>
        <w:t>As etapas de auditoria, limpeza e enriquecimento cartográfico foram estruturadas em ambiente computacional SIG (Python 3.12, GeoPandas, Shapely e SciPy Spatial) integrado ao Sistema de Informação Geográfica QGIS 3.34 LTR / 4.x, obedecendo ao seguinte encadeamento técnico:</w:t>
      </w:r>
    </w:p>
    <w:p>
      <w:pPr>
        <w:spacing w:before="0" w:after="60" w:line="312" w:lineRule="auto"/>
        <w:ind w:left="432" w:hanging="288"/>
        <w:jc w:val="both"/>
      </w:pPr>
      <w:r>
        <w:rPr>
          <w:rFonts w:ascii="Arial" w:hAnsi="Arial"/>
          <w:b/>
          <w:color w:val="1B3626"/>
          <w:sz w:val="23"/>
        </w:rPr>
        <w:t xml:space="preserve">• </w:t>
      </w:r>
      <w:r>
        <w:rPr>
          <w:rFonts w:ascii="Arial" w:hAnsi="Arial"/>
          <w:b/>
          <w:sz w:val="23"/>
        </w:rPr>
        <w:t xml:space="preserve">a) Salvaguarda Integral da Base Bruta: </w:t>
      </w:r>
      <w:r>
        <w:rPr>
          <w:rFonts w:ascii="Arial" w:hAnsi="Arial"/>
          <w:sz w:val="23"/>
        </w:rPr>
        <w:t>Previamente a qualquer manipulação de dados, todas as camadas vetoriais de entrada foram arquivadas em diretório de contingência e auditoria ('camadas/backup_pre_limpeza/'), assegurando rastreabilidade irrestrita de todas as coordenadas originais coletadas em campo.</w:t>
      </w:r>
    </w:p>
    <w:p>
      <w:pPr>
        <w:spacing w:before="0" w:after="60" w:line="312" w:lineRule="auto"/>
        <w:ind w:left="432" w:hanging="288"/>
        <w:jc w:val="both"/>
      </w:pPr>
      <w:r>
        <w:rPr>
          <w:rFonts w:ascii="Arial" w:hAnsi="Arial"/>
          <w:b/>
          <w:color w:val="1B3626"/>
          <w:sz w:val="23"/>
        </w:rPr>
        <w:t xml:space="preserve">• </w:t>
      </w:r>
      <w:r>
        <w:rPr>
          <w:rFonts w:ascii="Arial" w:hAnsi="Arial"/>
          <w:b/>
          <w:sz w:val="23"/>
        </w:rPr>
        <w:t xml:space="preserve">b) Filtragem e Eliminação de Waypoints de Tracklog Automático: </w:t>
      </w:r>
      <w:r>
        <w:rPr>
          <w:rFonts w:ascii="Arial" w:hAnsi="Arial"/>
          <w:sz w:val="23"/>
        </w:rPr>
        <w:t>Constatou-se que a camada temática de acessos ('10_trajetos_e_acessos.geojson') era composta integralmente por 49 pontos de registro automático de receptores GPS (contendo nomenclaturas como 'quarta-feira Afternoon Activity', 'segunda-feira Almoço Atividades off-road', 'quinta-feira Morning Pesca' e 'sábado Bom dia Atividades off-road'). Tais registros decorriam do log de navegação das embarcações e não representavam rampas, portos ou trilhas reais. Por meio de rotina de análise léxica e semântica, todos os 49 registros espúrios foram expurgados da base ativa e desativados do projeto cartográfico.</w:t>
      </w:r>
    </w:p>
    <w:p>
      <w:pPr>
        <w:spacing w:before="0" w:after="60" w:line="312" w:lineRule="auto"/>
        <w:ind w:left="432" w:hanging="288"/>
        <w:jc w:val="both"/>
      </w:pPr>
      <w:r>
        <w:rPr>
          <w:rFonts w:ascii="Arial" w:hAnsi="Arial"/>
          <w:b/>
          <w:color w:val="1B3626"/>
          <w:sz w:val="23"/>
        </w:rPr>
        <w:t xml:space="preserve">• </w:t>
      </w:r>
      <w:r>
        <w:rPr>
          <w:rFonts w:ascii="Arial" w:hAnsi="Arial"/>
          <w:b/>
          <w:sz w:val="23"/>
        </w:rPr>
        <w:t xml:space="preserve">c) Deduplicação Espacial Baseada em Proximidade Euclidiana (cKDTree): </w:t>
      </w:r>
      <w:r>
        <w:rPr>
          <w:rFonts w:ascii="Arial" w:hAnsi="Arial"/>
          <w:sz w:val="23"/>
        </w:rPr>
        <w:t>Para cada uma das camadas temáticas pontuais, realizou-se a projeção para o sistema métrico SIRGAS 2000 / UTM 22S (EPSG: 31982) e a indexação espacial das coordenadas por meio de árvores multidimensionais de busca ('cKDTree'). Estabeleceu-se o raio de tolerância euclidiana máxima de 25 metros para a detecção de passadas redundantes no mesmo sítio geográfico.</w:t>
      </w:r>
    </w:p>
    <w:p>
      <w:pPr>
        <w:spacing w:before="0" w:after="60" w:line="312" w:lineRule="auto"/>
        <w:ind w:left="432" w:hanging="288"/>
        <w:jc w:val="both"/>
      </w:pPr>
      <w:r>
        <w:rPr>
          <w:rFonts w:ascii="Arial" w:hAnsi="Arial"/>
          <w:b/>
          <w:color w:val="1B3626"/>
          <w:sz w:val="23"/>
        </w:rPr>
        <w:t xml:space="preserve">• </w:t>
      </w:r>
      <w:r>
        <w:rPr>
          <w:rFonts w:ascii="Arial" w:hAnsi="Arial"/>
          <w:b/>
          <w:sz w:val="23"/>
        </w:rPr>
        <w:t xml:space="preserve">d) Critério Toponímico de Seleção da Feição Válida: </w:t>
      </w:r>
      <w:r>
        <w:rPr>
          <w:rFonts w:ascii="Arial" w:hAnsi="Arial"/>
          <w:sz w:val="23"/>
        </w:rPr>
        <w:t>Identificados pares de pontos sobrepostos ou vizinhos em distância inferior a 25 metros, o algoritmo avaliou o grau de completude toponímica de cada feição. Estabeleceu-se como diretriz mandatória a preservação do registro com maior riqueza descritiva e denominação formal de moradores/famílias, eliminando-se a feição simplificada ou rotulada com termos genéricos (exemplo: preservado 'Joelma do Socorro Firmino da Rocha' e descartado 'Joelma do Socorro'; preservado 'Bito - Benedito Ferreira de Souza' e descartado 'Bito'; preservado 'Rancho do Josiel Duarte da Rocha (Jojoca)' e descartado 'Josiel Duarte da Rocha').</w:t>
      </w:r>
    </w:p>
    <w:p>
      <w:pPr>
        <w:spacing w:before="0" w:after="60" w:line="312" w:lineRule="auto"/>
        <w:ind w:left="432" w:hanging="288"/>
        <w:jc w:val="both"/>
      </w:pPr>
      <w:r>
        <w:rPr>
          <w:rFonts w:ascii="Arial" w:hAnsi="Arial"/>
          <w:b/>
          <w:color w:val="1B3626"/>
          <w:sz w:val="23"/>
        </w:rPr>
        <w:t xml:space="preserve">• </w:t>
      </w:r>
      <w:r>
        <w:rPr>
          <w:rFonts w:ascii="Arial" w:hAnsi="Arial"/>
          <w:b/>
          <w:sz w:val="23"/>
        </w:rPr>
        <w:t xml:space="preserve">e) Refinamento da Simbologia de Quelônios na Prancha Cartográfica: </w:t>
      </w:r>
      <w:r>
        <w:rPr>
          <w:rFonts w:ascii="Arial" w:hAnsi="Arial"/>
          <w:sz w:val="23"/>
        </w:rPr>
        <w:t>Atendendo à necessidade de destaque das praias de desova de quelônios (Tartaruga-da-Amazônia e Tracajá) — vocação primária do REVIS Tabuleiro do Embaubal —, procedeu-se ao redimensionamento do símbolo composto na camada 'Áreas de Desova (Quelônios e Peixes)': o marcador de fundo ('SimpleMarker') foi ampliado de 6,7 mm para 10,5 mm (com borda de 1,0 mm), e o ícone vetorial da tartaruga ('SvgMarker') foi expandido de 5,5 mm para 8,8 mm, garantindo excelente visibilidade e hierarquia visual na prancha impressa.</w:t>
      </w:r>
    </w:p>
    <w:p>
      <w:pPr>
        <w:spacing w:before="0" w:after="60" w:line="312" w:lineRule="auto"/>
        <w:ind w:left="432" w:hanging="288"/>
        <w:jc w:val="both"/>
      </w:pPr>
      <w:r>
        <w:rPr>
          <w:rFonts w:ascii="Arial" w:hAnsi="Arial"/>
          <w:b/>
          <w:color w:val="1B3626"/>
          <w:sz w:val="23"/>
        </w:rPr>
        <w:t xml:space="preserve">• </w:t>
      </w:r>
      <w:r>
        <w:rPr>
          <w:rFonts w:ascii="Arial" w:hAnsi="Arial"/>
          <w:b/>
          <w:sz w:val="23"/>
        </w:rPr>
        <w:t xml:space="preserve">f) Instituição de Marcador Nobre para a Base Operacional do IDEFLOR-Bio: </w:t>
      </w:r>
      <w:r>
        <w:rPr>
          <w:rFonts w:ascii="Arial" w:hAnsi="Arial"/>
          <w:sz w:val="23"/>
        </w:rPr>
        <w:t>Substituiu-se o marcador circular genérico anterior (3,2 mm) da camada 'BASE DO IDEFLOR-BIO' por um elemento cartográfico emblema de três níveis: círculo de fundo verde floresta institucional (#0E4D2A) com 11,5 mm de diâmetro e moldura dourada (#F1C40F) de 1,2 mm de espessura; anel intermediário branco de contraste (9,2 mm); e pictograma vetorial oficial de posto de fiscalização/posto avançado ('ranger-station') em branco puro (7,0 mm), consagrando a identidade visual oficial do órgão no mapa.</w:t>
      </w:r>
    </w:p>
    <w:p>
      <w:pPr>
        <w:spacing w:before="240" w:after="80" w:line="276" w:lineRule="auto"/>
        <w:jc w:val="left"/>
      </w:pPr>
      <w:r>
        <w:rPr>
          <w:rFonts w:ascii="Arial" w:hAnsi="Arial"/>
          <w:b/>
          <w:color w:val="1B3626"/>
          <w:sz w:val="24"/>
        </w:rPr>
        <w:t>5. Resultados e Balanço Quantitativo da Limpeza</w:t>
      </w:r>
    </w:p>
    <w:p>
      <w:pPr>
        <w:spacing w:before="0" w:after="120" w:line="360" w:lineRule="auto"/>
        <w:jc w:val="both"/>
      </w:pPr>
      <w:r>
        <w:rPr>
          <w:rFonts w:ascii="Arial" w:hAnsi="Arial"/>
          <w:color w:val="1E1E1E"/>
          <w:sz w:val="24"/>
        </w:rPr>
        <w:t>A execução dos algoritmos de depuração promoveu uma redução líquida de 134 registros na base territorial, passando de 746 pontos brutos consolidados para 612 feições geográficas unívocas, plenamente auditadas e sem sobreposições espúrias.</w:t>
      </w:r>
    </w:p>
    <w:p>
      <w:pPr>
        <w:spacing w:before="120" w:after="40"/>
      </w:pPr>
      <w:r>
        <w:rPr>
          <w:rFonts w:ascii="Arial" w:hAnsi="Arial"/>
          <w:b/>
          <w:sz w:val="20"/>
        </w:rPr>
        <w:t>Tabela 1 – Balanço Quantitativo de Depuração e Deduplicação por Camada Temática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267"/>
        <w:gridCol w:w="2267"/>
        <w:gridCol w:w="2267"/>
        <w:gridCol w:w="2267"/>
      </w:tblGrid>
      <w:tr>
        <w:tc>
          <w:tcPr>
            <w:tcW w:type="dxa" w:w="2267"/>
            <w:shd w:val="clear" w:color="auto" w:fill="E6EDE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1B3626"/>
                <w:sz w:val="19"/>
              </w:rPr>
              <w:t>Camada Temática de Campo</w:t>
            </w:r>
          </w:p>
        </w:tc>
        <w:tc>
          <w:tcPr>
            <w:tcW w:type="dxa" w:w="2267"/>
            <w:shd w:val="clear" w:color="auto" w:fill="E6EDE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B3626"/>
                <w:sz w:val="19"/>
              </w:rPr>
              <w:t>Pontos Originais</w:t>
            </w:r>
          </w:p>
        </w:tc>
        <w:tc>
          <w:tcPr>
            <w:tcW w:type="dxa" w:w="2267"/>
            <w:shd w:val="clear" w:color="auto" w:fill="E6EDE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B3626"/>
                <w:sz w:val="19"/>
              </w:rPr>
              <w:t>Pontos Homologados</w:t>
            </w:r>
          </w:p>
        </w:tc>
        <w:tc>
          <w:tcPr>
            <w:tcW w:type="dxa" w:w="2267"/>
            <w:shd w:val="clear" w:color="auto" w:fill="E6EDE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B3626"/>
                <w:sz w:val="19"/>
              </w:rPr>
              <w:t>Registros Depurados</w:t>
            </w:r>
          </w:p>
        </w:tc>
      </w:tr>
      <w:tr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01. Moradores e Comunidades Ribeirinhas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282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239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-43 duplicatas</w:t>
            </w:r>
          </w:p>
        </w:tc>
      </w:tr>
      <w:tr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02. Apoio de Pesca e Ranchos Sazonais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89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71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-18 duplicatas</w:t>
            </w:r>
          </w:p>
        </w:tc>
      </w:tr>
      <w:tr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03. Áreas de Desova (Quelônios e Peixes)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22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18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-4 duplicatas</w:t>
            </w:r>
          </w:p>
        </w:tc>
      </w:tr>
      <w:tr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04. Hidrografia (Rios, Furos e Igarapés)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134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129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-5 duplicatas</w:t>
            </w:r>
          </w:p>
        </w:tc>
      </w:tr>
      <w:tr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05. Ilhas e Praias (Bancos de Areia)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78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73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-5 duplicatas</w:t>
            </w:r>
          </w:p>
        </w:tc>
      </w:tr>
      <w:tr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06. Infraestrutura e Equipamentos Públicos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19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16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-3 duplicatas</w:t>
            </w:r>
          </w:p>
        </w:tc>
      </w:tr>
      <w:tr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07. Marcos e Pontos de Referência Locais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16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15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-1 duplicata</w:t>
            </w:r>
          </w:p>
        </w:tc>
      </w:tr>
      <w:tr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08. Vegetação e Flora (Árvores Matrizes)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50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44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-6 duplicatas</w:t>
            </w:r>
          </w:p>
        </w:tc>
      </w:tr>
      <w:tr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09. Ocorrências e Impactos Ambientais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7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7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0 (inalterado)</w:t>
            </w:r>
          </w:p>
        </w:tc>
      </w:tr>
      <w:tr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10. Trajetos e Acessos (Waypoints GPS)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49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0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-49 tracklogs falsos</w:t>
            </w:r>
          </w:p>
        </w:tc>
      </w:tr>
      <w:tr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F2F5F3"/>
          </w:tcPr>
          <w:p>
            <w:pPr>
              <w:jc w:val="left"/>
            </w:pPr>
            <w:r>
              <w:rPr>
                <w:rFonts w:ascii="Arial" w:hAnsi="Arial"/>
                <w:b/>
                <w:color w:val="1B3626"/>
                <w:sz w:val="18"/>
              </w:rPr>
              <w:t>TOTAL CONSOLIDADO DE CAMPO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F2F5F3"/>
          </w:tcPr>
          <w:p>
            <w:pPr>
              <w:jc w:val="center"/>
            </w:pPr>
            <w:r>
              <w:rPr>
                <w:rFonts w:ascii="Arial" w:hAnsi="Arial"/>
                <w:b/>
                <w:color w:val="1B3626"/>
                <w:sz w:val="18"/>
              </w:rPr>
              <w:t>746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F2F5F3"/>
          </w:tcPr>
          <w:p>
            <w:pPr>
              <w:jc w:val="center"/>
            </w:pPr>
            <w:r>
              <w:rPr>
                <w:rFonts w:ascii="Arial" w:hAnsi="Arial"/>
                <w:b/>
                <w:color w:val="1B3626"/>
                <w:sz w:val="18"/>
              </w:rPr>
              <w:t>612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F2F5F3"/>
          </w:tcPr>
          <w:p>
            <w:pPr>
              <w:jc w:val="center"/>
            </w:pPr>
            <w:r>
              <w:rPr>
                <w:rFonts w:ascii="Arial" w:hAnsi="Arial"/>
                <w:b/>
                <w:color w:val="1B3626"/>
                <w:sz w:val="18"/>
              </w:rPr>
              <w:t>-134 registros eliminados</w:t>
            </w:r>
          </w:p>
        </w:tc>
      </w:tr>
    </w:tbl>
    <w:p>
      <w:pPr>
        <w:spacing w:after="120"/>
      </w:pPr>
    </w:p>
    <w:p>
      <w:pPr>
        <w:spacing w:before="80" w:after="40"/>
      </w:pPr>
      <w:r>
        <w:rPr>
          <w:rFonts w:ascii="Arial" w:hAnsi="Arial"/>
          <w:b/>
          <w:sz w:val="20"/>
        </w:rPr>
        <w:t>Tabela 2 – Amostragem de Feições Duplicadas Unificadas com Base na Qualidade Toponímica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267"/>
        <w:gridCol w:w="2267"/>
        <w:gridCol w:w="2267"/>
        <w:gridCol w:w="2267"/>
      </w:tblGrid>
      <w:tr>
        <w:tc>
          <w:tcPr>
            <w:tcW w:type="dxa" w:w="2267"/>
            <w:shd w:val="clear" w:color="auto" w:fill="E6EDE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B3626"/>
                <w:sz w:val="19"/>
              </w:rPr>
              <w:t>Distância</w:t>
            </w:r>
          </w:p>
        </w:tc>
        <w:tc>
          <w:tcPr>
            <w:tcW w:type="dxa" w:w="2267"/>
            <w:shd w:val="clear" w:color="auto" w:fill="E6EDE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1B3626"/>
                <w:sz w:val="19"/>
              </w:rPr>
              <w:t>Feição Homologada (Preservada)</w:t>
            </w:r>
          </w:p>
        </w:tc>
        <w:tc>
          <w:tcPr>
            <w:tcW w:type="dxa" w:w="2267"/>
            <w:shd w:val="clear" w:color="auto" w:fill="E6EDE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1B3626"/>
                <w:sz w:val="19"/>
              </w:rPr>
              <w:t>Feição Redundante (Expurgada)</w:t>
            </w:r>
          </w:p>
        </w:tc>
        <w:tc>
          <w:tcPr>
            <w:tcW w:type="dxa" w:w="2267"/>
            <w:shd w:val="clear" w:color="auto" w:fill="E6EDE8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B3626"/>
                <w:sz w:val="19"/>
              </w:rPr>
              <w:t>Ação Técnica Aplicada</w:t>
            </w:r>
          </w:p>
        </w:tc>
      </w:tr>
      <w:tr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0,0 m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7"/>
              </w:rPr>
              <w:t>ID 257: Joelma do Socorro Firmino da Rocha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7"/>
              </w:rPr>
              <w:t>ID 10: Joelma do Socorro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Preservação de patronímico completo</w:t>
            </w:r>
          </w:p>
        </w:tc>
      </w:tr>
      <w:tr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0,0 m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7"/>
              </w:rPr>
              <w:t>ID 7: Rancho / Morador (Bil rancho)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7"/>
              </w:rPr>
              <w:t>ID 396: Rancho do Bil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Unificação de duplicata exata de coordenada</w:t>
            </w:r>
          </w:p>
        </w:tc>
      </w:tr>
      <w:tr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0,0 m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7"/>
              </w:rPr>
              <w:t>ID 42: Rancho (Desconhecido)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7"/>
              </w:rPr>
              <w:t>ID 389: Rancho desconhecido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Eliminação de dupla inserção de campo</w:t>
            </w:r>
          </w:p>
        </w:tc>
      </w:tr>
      <w:tr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2,0 m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7"/>
              </w:rPr>
              <w:t>ID 608: Entrada da casa do seu Waldevir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7"/>
              </w:rPr>
              <w:t>ID 609: Entrada se Waldevir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Correção ortográfica e eliminação de duplicata</w:t>
            </w:r>
          </w:p>
        </w:tc>
      </w:tr>
      <w:tr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8,8 m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7"/>
              </w:rPr>
              <w:t>ID 16: Choinha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7"/>
              </w:rPr>
              <w:t>ID 149: Choinha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Fusão de passagem múltipla da mesma moradia</w:t>
            </w:r>
          </w:p>
        </w:tc>
      </w:tr>
      <w:tr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8,9 m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7"/>
              </w:rPr>
              <w:t>ID 110: Base Ideflor-bio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7"/>
              </w:rPr>
              <w:t>ID 109: Base Ideflor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Padronização institucional da Sede Avançada</w:t>
            </w:r>
          </w:p>
        </w:tc>
      </w:tr>
      <w:tr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11,4 m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7"/>
              </w:rPr>
              <w:t>ID 40: Rancho / Morador (Maria Duarte)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7"/>
              </w:rPr>
              <w:t>ID 350: Rancho Maria Duarte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Fusão de rancho cadastrado por equipes distintas</w:t>
            </w:r>
          </w:p>
        </w:tc>
      </w:tr>
      <w:tr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12,6 m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7"/>
              </w:rPr>
              <w:t>ID 52: Chica Catiara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7"/>
              </w:rPr>
              <w:t>ID 148: Chica Catiara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Unificação de feição idêntica em bordo de calha</w:t>
            </w:r>
          </w:p>
        </w:tc>
      </w:tr>
      <w:tr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13,6 m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7"/>
              </w:rPr>
              <w:t>ID 78: Naldo / Valdenir Caetano da Silva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7"/>
              </w:rPr>
              <w:t>ID 449: Valdenir Caetano da Silva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Agregação de identificação toponímica expandida</w:t>
            </w:r>
          </w:p>
        </w:tc>
      </w:tr>
      <w:tr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14,9 m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7"/>
              </w:rPr>
              <w:t>ID 124: Bito - Benedito Ferreira de Souza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7"/>
              </w:rPr>
              <w:t>ID 13: Bito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Substituição de apelido por qualificação formal</w:t>
            </w:r>
          </w:p>
        </w:tc>
      </w:tr>
      <w:tr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24,7 m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7"/>
              </w:rPr>
              <w:t>ID 28: Moradores (Prof. Beninha / Venceslau)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7"/>
              </w:rPr>
              <w:t>ID 408: Rancho do prof. Benhinha</w:t>
            </w:r>
          </w:p>
        </w:tc>
        <w:tc>
          <w:tcPr>
            <w:tcW w:type="dxa" w:w="226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Consolidação de residência principal e rancho contíguo</w:t>
            </w:r>
          </w:p>
        </w:tc>
      </w:tr>
    </w:tbl>
    <w:p>
      <w:pPr>
        <w:spacing w:before="240" w:after="80" w:line="276" w:lineRule="auto"/>
        <w:jc w:val="left"/>
      </w:pPr>
      <w:r>
        <w:rPr>
          <w:rFonts w:ascii="Arial" w:hAnsi="Arial"/>
          <w:b/>
          <w:color w:val="1B3626"/>
          <w:sz w:val="24"/>
        </w:rPr>
        <w:t>6. Conclusão e Encaminhamentos</w:t>
      </w:r>
    </w:p>
    <w:p>
      <w:pPr>
        <w:spacing w:before="0" w:after="120" w:line="360" w:lineRule="auto"/>
        <w:jc w:val="both"/>
      </w:pPr>
      <w:r>
        <w:rPr>
          <w:rFonts w:ascii="Arial" w:hAnsi="Arial"/>
          <w:color w:val="1E1E1E"/>
          <w:sz w:val="24"/>
        </w:rPr>
        <w:t>Os trabalhos de tratamento cartográfico executados pelo Núcleo de Geotecnologias asseguram a integridade topológica, a precisão métrica e a clareza temática do acervo fundiário e de recursos naturais do REVIS Tabuleiro do Embaubal e da RDS Vitória de Souzel. A eliminação das 134 feições espúrias e redundantes outorga confiabilidade estatística aos diagnósticos do Plano de Gestão, evitando contagens inflacionadas de populações ribeirinhas ou estruturas operacionais.</w:t>
      </w:r>
    </w:p>
    <w:p>
      <w:pPr>
        <w:spacing w:before="0" w:after="120" w:line="360" w:lineRule="auto"/>
        <w:jc w:val="both"/>
      </w:pPr>
      <w:r>
        <w:rPr>
          <w:rFonts w:ascii="Arial" w:hAnsi="Arial"/>
          <w:color w:val="1E1E1E"/>
          <w:sz w:val="24"/>
        </w:rPr>
        <w:t>Informa-se que as pranchas cartográficas institucionais oficiais em formato A1 seguem anexas ao processo eletrônico em formato PDF vetorial, conforme preconizado pelos padrões do Sistema de Processo Eletrônico (PAe/SEI). As camadas geoespaciais higienizadas nos formatos abertos GeoJSON, GeoPackage (.gpkg) e Shapefile (.shp), juntamente com o projeto cartográfico consolidado ('tabuleiro_do_embaubal_e_vitoria_souzel.qgz'), foram arquivados no repositório institucional do NGEO e encontram-se disponíveis para compartilhamento via correio eletrônico institucional (e-mail).</w:t>
      </w:r>
    </w:p>
    <w:p>
      <w:pPr>
        <w:spacing w:before="240" w:after="80" w:line="276" w:lineRule="auto"/>
        <w:jc w:val="left"/>
      </w:pPr>
      <w:r>
        <w:rPr>
          <w:rFonts w:ascii="Arial" w:hAnsi="Arial"/>
          <w:b/>
          <w:color w:val="1B3626"/>
          <w:sz w:val="24"/>
        </w:rPr>
        <w:t>7. Referências</w:t>
      </w:r>
    </w:p>
    <w:p>
      <w:pPr>
        <w:spacing w:before="0" w:after="60" w:line="312" w:lineRule="auto"/>
        <w:ind w:left="432" w:hanging="288"/>
        <w:jc w:val="both"/>
      </w:pPr>
      <w:r>
        <w:rPr>
          <w:rFonts w:ascii="Arial" w:hAnsi="Arial"/>
          <w:b/>
          <w:color w:val="1B3626"/>
          <w:sz w:val="23"/>
        </w:rPr>
        <w:t xml:space="preserve">• </w:t>
      </w:r>
      <w:r>
        <w:rPr>
          <w:rFonts w:ascii="Arial" w:hAnsi="Arial"/>
          <w:b/>
          <w:sz w:val="23"/>
        </w:rPr>
        <w:t xml:space="preserve">BRASIL. Instituto Brasileiro de Geografia e Estatística – IBGE: </w:t>
      </w:r>
      <w:r>
        <w:rPr>
          <w:rFonts w:ascii="Arial" w:hAnsi="Arial"/>
          <w:sz w:val="23"/>
        </w:rPr>
        <w:t>Bases Cartográficas Contínuas do Brasil, malha municipal e malha hidrográfica de referência. Rio de Janeiro: IBGE, 2022.</w:t>
      </w:r>
    </w:p>
    <w:p>
      <w:pPr>
        <w:spacing w:before="0" w:after="60" w:line="312" w:lineRule="auto"/>
        <w:ind w:left="432" w:hanging="288"/>
        <w:jc w:val="both"/>
      </w:pPr>
      <w:r>
        <w:rPr>
          <w:rFonts w:ascii="Arial" w:hAnsi="Arial"/>
          <w:b/>
          <w:color w:val="1B3626"/>
          <w:sz w:val="23"/>
        </w:rPr>
        <w:t xml:space="preserve">• </w:t>
      </w:r>
      <w:r>
        <w:rPr>
          <w:rFonts w:ascii="Arial" w:hAnsi="Arial"/>
          <w:b/>
          <w:sz w:val="23"/>
        </w:rPr>
        <w:t xml:space="preserve">PARÁ (Estado). Decreto Estadual nº 1.566, de 21 de junho de 2016: </w:t>
      </w:r>
      <w:r>
        <w:rPr>
          <w:rFonts w:ascii="Arial" w:hAnsi="Arial"/>
          <w:sz w:val="23"/>
        </w:rPr>
        <w:t>Cria o Refúgio de Vida Silvestre Tabuleiro do Embaubal no Município de Senador José Porfírio. Diário Oficial do Estado do Pará, Belém, 2016.</w:t>
      </w:r>
    </w:p>
    <w:p>
      <w:pPr>
        <w:spacing w:before="0" w:after="60" w:line="312" w:lineRule="auto"/>
        <w:ind w:left="432" w:hanging="288"/>
        <w:jc w:val="both"/>
      </w:pPr>
      <w:r>
        <w:rPr>
          <w:rFonts w:ascii="Arial" w:hAnsi="Arial"/>
          <w:b/>
          <w:color w:val="1B3626"/>
          <w:sz w:val="23"/>
        </w:rPr>
        <w:t xml:space="preserve">• </w:t>
      </w:r>
      <w:r>
        <w:rPr>
          <w:rFonts w:ascii="Arial" w:hAnsi="Arial"/>
          <w:b/>
          <w:sz w:val="23"/>
        </w:rPr>
        <w:t xml:space="preserve">PARÁ (Estado). Decreto Estadual nº 1.567, de 21 de junho de 2016: </w:t>
      </w:r>
      <w:r>
        <w:rPr>
          <w:rFonts w:ascii="Arial" w:hAnsi="Arial"/>
          <w:sz w:val="23"/>
        </w:rPr>
        <w:t>Cria a Reserva de Desenvolvimento Sustentável Vitória de Souzel nos Municípios de Senador José Porfírio e Porto de Moz. Diário Oficial do Estado do Pará, Belém, 2016.</w:t>
      </w:r>
    </w:p>
    <w:p>
      <w:pPr>
        <w:spacing w:before="0" w:after="60" w:line="312" w:lineRule="auto"/>
        <w:ind w:left="432" w:hanging="288"/>
        <w:jc w:val="both"/>
      </w:pPr>
      <w:r>
        <w:rPr>
          <w:rFonts w:ascii="Arial" w:hAnsi="Arial"/>
          <w:b/>
          <w:color w:val="1B3626"/>
          <w:sz w:val="23"/>
        </w:rPr>
        <w:t xml:space="preserve">• </w:t>
      </w:r>
      <w:r>
        <w:rPr>
          <w:rFonts w:ascii="Arial" w:hAnsi="Arial"/>
          <w:b/>
          <w:sz w:val="23"/>
        </w:rPr>
        <w:t xml:space="preserve">IDEFLOR-BIO. Instituto de Desenvolvimento Florestal e da Biodiversidade do Estado do Pará: </w:t>
      </w:r>
      <w:r>
        <w:rPr>
          <w:rFonts w:ascii="Arial" w:hAnsi="Arial"/>
          <w:sz w:val="23"/>
        </w:rPr>
        <w:t>Levantamento e Cadastramento de Campo de Populações Tradicionais e Recursos Pesqueiros no Baixo Xingu. Relatórios de Campo DGMUC/NGEO, 2025/2026.</w:t>
      </w:r>
    </w:p>
    <w:p>
      <w:pPr>
        <w:spacing w:before="720" w:after="40" w:line="276" w:lineRule="auto"/>
        <w:jc w:val="center"/>
      </w:pPr>
      <w:r>
        <w:rPr>
          <w:rFonts w:ascii="Arial" w:hAnsi="Arial"/>
          <w:b/>
          <w:color w:val="1B3626"/>
          <w:sz w:val="24"/>
        </w:rPr>
        <w:t>SAMUEL DA COSTA DOS SANTOS</w:t>
        <w:br/>
      </w:r>
      <w:r>
        <w:rPr>
          <w:rFonts w:ascii="Arial" w:hAnsi="Arial"/>
          <w:b/>
          <w:sz w:val="22"/>
        </w:rPr>
        <w:t>Coordenador do Núcleo de Geotecnologias – NGEO</w:t>
        <w:br/>
      </w:r>
      <w:r>
        <w:rPr>
          <w:rFonts w:ascii="Arial" w:hAnsi="Arial"/>
          <w:sz w:val="21"/>
        </w:rPr>
        <w:t>Instituto de Desenvolvimento Florestal e da Biodiversidade do Estado do Pará – IDEFLOR-Bio</w:t>
      </w:r>
    </w:p>
    <w:sectPr w:rsidR="00124FAA" w:rsidRPr="00A91CE5" w:rsidSect="00CC5469">
      <w:headerReference w:type="default" r:id="rId8"/>
      <w:pgSz w:w="11906" w:h="16838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2AF386" w14:textId="77777777" w:rsidR="00641348" w:rsidRDefault="00641348" w:rsidP="00DD51E9">
      <w:pPr>
        <w:spacing w:after="0" w:line="240" w:lineRule="auto"/>
      </w:pPr>
      <w:r>
        <w:separator/>
      </w:r>
    </w:p>
  </w:endnote>
  <w:endnote w:type="continuationSeparator" w:id="0">
    <w:p w14:paraId="3AB2A824" w14:textId="77777777" w:rsidR="00641348" w:rsidRDefault="00641348" w:rsidP="00DD51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4E67E5" w14:textId="77777777" w:rsidR="00641348" w:rsidRDefault="00641348" w:rsidP="00DD51E9">
      <w:pPr>
        <w:spacing w:after="0" w:line="240" w:lineRule="auto"/>
      </w:pPr>
      <w:r>
        <w:separator/>
      </w:r>
    </w:p>
  </w:footnote>
  <w:footnote w:type="continuationSeparator" w:id="0">
    <w:p w14:paraId="0D7CA7F1" w14:textId="77777777" w:rsidR="00641348" w:rsidRDefault="00641348" w:rsidP="00DD51E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31A9E" w14:textId="57370A3F" w:rsidR="00DD51E9" w:rsidRDefault="00DD51E9">
    <w:pPr>
      <w:pStyle w:val="Cabealho"/>
    </w:pPr>
    <w:r>
      <w:rPr>
        <w:noProof/>
      </w:rPr>
      <w:drawing>
        <wp:anchor distT="0" distB="0" distL="114300" distR="114300" simplePos="0" relativeHeight="251659264" behindDoc="0" locked="0" layoutInCell="1" allowOverlap="1" wp14:anchorId="7C0F863E" wp14:editId="39865EB5">
          <wp:simplePos x="0" y="0"/>
          <wp:positionH relativeFrom="margin">
            <wp:align>center</wp:align>
          </wp:positionH>
          <wp:positionV relativeFrom="paragraph">
            <wp:posOffset>9525</wp:posOffset>
          </wp:positionV>
          <wp:extent cx="1791970" cy="431800"/>
          <wp:effectExtent l="0" t="0" r="0" b="6350"/>
          <wp:wrapNone/>
          <wp:docPr id="53534794" name="Imagem 1" descr="Text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534794" name="Imagem 1" descr="Text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91970" cy="431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D51E9">
      <w:t xml:space="preserve"> </w:t>
    </w:r>
  </w:p>
  <w:p w14:paraId="5D911C74" w14:textId="77777777" w:rsidR="00DD51E9" w:rsidRDefault="00DD51E9">
    <w:pPr>
      <w:pStyle w:val="Cabealho"/>
    </w:pPr>
  </w:p>
  <w:p w14:paraId="22FD6E0D" w14:textId="77777777" w:rsidR="00DD51E9" w:rsidRDefault="00000000">
    <w:pPr>
      <w:pStyle w:val="Cabealho"/>
    </w:pPr>
    <w:r>
      <w:pict w14:anchorId="5ECB8D63">
        <v:rect id="_x0000_i1025" style="width:453.5pt;height:1.5pt" o:hralign="center" o:hrstd="t" o:hrnoshade="t" o:hr="t" fillcolor="#4ea72e [3209]" stroked="f"/>
      </w:pict>
    </w:r>
  </w:p>
  <w:p w14:paraId="6F73AF61" w14:textId="77777777" w:rsidR="00DD51E9" w:rsidRDefault="00DD51E9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1077D"/>
    <w:multiLevelType w:val="multilevel"/>
    <w:tmpl w:val="F6780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280AA8"/>
    <w:multiLevelType w:val="multilevel"/>
    <w:tmpl w:val="DD2A5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F46C02"/>
    <w:multiLevelType w:val="multilevel"/>
    <w:tmpl w:val="887C6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7073D2"/>
    <w:multiLevelType w:val="multilevel"/>
    <w:tmpl w:val="316C7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B0044F"/>
    <w:multiLevelType w:val="hybridMultilevel"/>
    <w:tmpl w:val="28745F1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2016868"/>
    <w:multiLevelType w:val="multilevel"/>
    <w:tmpl w:val="4F5E4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6417107"/>
    <w:multiLevelType w:val="hybridMultilevel"/>
    <w:tmpl w:val="F68ABF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7ED06F9"/>
    <w:multiLevelType w:val="multilevel"/>
    <w:tmpl w:val="4DA2D7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85829DF"/>
    <w:multiLevelType w:val="multilevel"/>
    <w:tmpl w:val="283CF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AA82C40"/>
    <w:multiLevelType w:val="multilevel"/>
    <w:tmpl w:val="8AE2A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632342"/>
    <w:multiLevelType w:val="multilevel"/>
    <w:tmpl w:val="ACA83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459785B"/>
    <w:multiLevelType w:val="multilevel"/>
    <w:tmpl w:val="03644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C33D5B"/>
    <w:multiLevelType w:val="multilevel"/>
    <w:tmpl w:val="17F2E47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b/>
      </w:rPr>
    </w:lvl>
  </w:abstractNum>
  <w:abstractNum w:abstractNumId="13" w15:restartNumberingAfterBreak="0">
    <w:nsid w:val="7398661A"/>
    <w:multiLevelType w:val="hybridMultilevel"/>
    <w:tmpl w:val="4C6AE90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A4037F0"/>
    <w:multiLevelType w:val="multilevel"/>
    <w:tmpl w:val="871CB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031978"/>
    <w:multiLevelType w:val="hybridMultilevel"/>
    <w:tmpl w:val="81F28BD8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10328389">
    <w:abstractNumId w:val="8"/>
  </w:num>
  <w:num w:numId="2" w16cid:durableId="1311716663">
    <w:abstractNumId w:val="0"/>
  </w:num>
  <w:num w:numId="3" w16cid:durableId="2019647848">
    <w:abstractNumId w:val="7"/>
  </w:num>
  <w:num w:numId="4" w16cid:durableId="547570060">
    <w:abstractNumId w:val="1"/>
  </w:num>
  <w:num w:numId="5" w16cid:durableId="1076242943">
    <w:abstractNumId w:val="9"/>
  </w:num>
  <w:num w:numId="6" w16cid:durableId="1377510879">
    <w:abstractNumId w:val="10"/>
  </w:num>
  <w:num w:numId="7" w16cid:durableId="2088767181">
    <w:abstractNumId w:val="2"/>
  </w:num>
  <w:num w:numId="8" w16cid:durableId="1262642132">
    <w:abstractNumId w:val="12"/>
  </w:num>
  <w:num w:numId="9" w16cid:durableId="152795507">
    <w:abstractNumId w:val="13"/>
  </w:num>
  <w:num w:numId="10" w16cid:durableId="1572303659">
    <w:abstractNumId w:val="15"/>
  </w:num>
  <w:num w:numId="11" w16cid:durableId="2000378506">
    <w:abstractNumId w:val="4"/>
  </w:num>
  <w:num w:numId="12" w16cid:durableId="1951666407">
    <w:abstractNumId w:val="5"/>
  </w:num>
  <w:num w:numId="13" w16cid:durableId="1258173951">
    <w:abstractNumId w:val="6"/>
  </w:num>
  <w:num w:numId="14" w16cid:durableId="1192840463">
    <w:abstractNumId w:val="11"/>
  </w:num>
  <w:num w:numId="15" w16cid:durableId="529338206">
    <w:abstractNumId w:val="14"/>
  </w:num>
  <w:num w:numId="16" w16cid:durableId="108819177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680"/>
    <w:rsid w:val="0001257F"/>
    <w:rsid w:val="00025F48"/>
    <w:rsid w:val="001170DB"/>
    <w:rsid w:val="00124FAA"/>
    <w:rsid w:val="00140169"/>
    <w:rsid w:val="001B1680"/>
    <w:rsid w:val="00251D8C"/>
    <w:rsid w:val="003311C5"/>
    <w:rsid w:val="003C251A"/>
    <w:rsid w:val="003D32B6"/>
    <w:rsid w:val="003E6A0A"/>
    <w:rsid w:val="0041764F"/>
    <w:rsid w:val="00493EF2"/>
    <w:rsid w:val="00552BBF"/>
    <w:rsid w:val="00593B21"/>
    <w:rsid w:val="006135D2"/>
    <w:rsid w:val="006161FF"/>
    <w:rsid w:val="00630200"/>
    <w:rsid w:val="00641348"/>
    <w:rsid w:val="0064269A"/>
    <w:rsid w:val="00647C15"/>
    <w:rsid w:val="0068485F"/>
    <w:rsid w:val="006D59CA"/>
    <w:rsid w:val="007016DE"/>
    <w:rsid w:val="00706DCB"/>
    <w:rsid w:val="007C02B9"/>
    <w:rsid w:val="00805FE9"/>
    <w:rsid w:val="008624CE"/>
    <w:rsid w:val="008D2E2A"/>
    <w:rsid w:val="008D48ED"/>
    <w:rsid w:val="008D5621"/>
    <w:rsid w:val="0090704F"/>
    <w:rsid w:val="009555BE"/>
    <w:rsid w:val="00963B3A"/>
    <w:rsid w:val="00975891"/>
    <w:rsid w:val="009856BB"/>
    <w:rsid w:val="009B05F7"/>
    <w:rsid w:val="009D6458"/>
    <w:rsid w:val="009E0CD7"/>
    <w:rsid w:val="009F1AA0"/>
    <w:rsid w:val="00A17439"/>
    <w:rsid w:val="00A2191E"/>
    <w:rsid w:val="00A3230D"/>
    <w:rsid w:val="00A6063F"/>
    <w:rsid w:val="00A650B5"/>
    <w:rsid w:val="00A740E6"/>
    <w:rsid w:val="00A91CE5"/>
    <w:rsid w:val="00AC7575"/>
    <w:rsid w:val="00AD32D7"/>
    <w:rsid w:val="00AE0192"/>
    <w:rsid w:val="00BE0876"/>
    <w:rsid w:val="00CC5469"/>
    <w:rsid w:val="00DD51E9"/>
    <w:rsid w:val="00E244A7"/>
    <w:rsid w:val="00E4767D"/>
    <w:rsid w:val="00EC5D9C"/>
    <w:rsid w:val="00F174C7"/>
    <w:rsid w:val="00F22AD8"/>
    <w:rsid w:val="00F4631D"/>
    <w:rsid w:val="00F65E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D38B95"/>
  <w15:chartTrackingRefBased/>
  <w15:docId w15:val="{570399A7-B50C-4FAB-960D-6B3E7C492F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3B21"/>
  </w:style>
  <w:style w:type="paragraph" w:styleId="Ttulo1">
    <w:name w:val="heading 1"/>
    <w:basedOn w:val="Normal"/>
    <w:next w:val="Normal"/>
    <w:link w:val="Ttulo1Char"/>
    <w:uiPriority w:val="9"/>
    <w:qFormat/>
    <w:rsid w:val="001B16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B16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B16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B16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B16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B16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B16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B16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B16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B16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B16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B16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B168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B168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B168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B168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B168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B168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B16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B16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B16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B16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B16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B168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B168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B168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B16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B168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B1680"/>
    <w:rPr>
      <w:b/>
      <w:bCs/>
      <w:smallCaps/>
      <w:color w:val="0F4761" w:themeColor="accent1" w:themeShade="BF"/>
      <w:spacing w:val="5"/>
    </w:rPr>
  </w:style>
  <w:style w:type="character" w:styleId="TextodoEspaoReservado">
    <w:name w:val="Placeholder Text"/>
    <w:basedOn w:val="Fontepargpadro"/>
    <w:uiPriority w:val="99"/>
    <w:semiHidden/>
    <w:rsid w:val="001170DB"/>
    <w:rPr>
      <w:color w:val="666666"/>
    </w:rPr>
  </w:style>
  <w:style w:type="table" w:styleId="Tabelacomgrade">
    <w:name w:val="Table Grid"/>
    <w:basedOn w:val="Tabelanormal"/>
    <w:uiPriority w:val="39"/>
    <w:rsid w:val="006D59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Lista3-nfase6">
    <w:name w:val="List Table 3 Accent 6"/>
    <w:basedOn w:val="Tabelanormal"/>
    <w:uiPriority w:val="48"/>
    <w:rsid w:val="00CC546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paragraph" w:styleId="Cabealho">
    <w:name w:val="header"/>
    <w:basedOn w:val="Normal"/>
    <w:link w:val="CabealhoChar"/>
    <w:uiPriority w:val="99"/>
    <w:unhideWhenUsed/>
    <w:rsid w:val="00DD51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D51E9"/>
  </w:style>
  <w:style w:type="paragraph" w:styleId="Rodap">
    <w:name w:val="footer"/>
    <w:basedOn w:val="Normal"/>
    <w:link w:val="RodapChar"/>
    <w:uiPriority w:val="99"/>
    <w:unhideWhenUsed/>
    <w:rsid w:val="00DD51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D51E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97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95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3250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32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6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2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0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65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6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2840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1691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65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49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5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9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1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4022D0-985E-4B02-B1C1-8885AD439D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425</Words>
  <Characters>2299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Santos</dc:creator>
  <cp:keywords/>
  <dc:description/>
  <cp:lastModifiedBy>Samuel Santos</cp:lastModifiedBy>
  <cp:revision>4</cp:revision>
  <cp:lastPrinted>2025-04-11T18:21:00Z</cp:lastPrinted>
  <dcterms:created xsi:type="dcterms:W3CDTF">2026-10-29T04:26:00Z</dcterms:created>
  <dcterms:modified xsi:type="dcterms:W3CDTF">2026-10-29T04:49:00Z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2025-03-24T17:09:09Z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d52c1a72-e071-48a5-8a2a-1c429f31c142</vt:lpwstr>
  </property>
  <property fmtid="{D5CDD505-2E9C-101B-9397-08002B2CF9AE}" pid="7" name="MSIP_Label_defa4170-0d19-0005-0004-bc88714345d2_ActionId">
    <vt:lpwstr>a16b7776-6720-402f-92a8-fd8c875ef136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