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76" w:lineRule="auto"/>
        <w:ind w:firstLine="0"/>
        <w:jc w:val="center"/>
      </w:pPr>
      <w:r>
        <w:rPr>
          <w:rFonts w:ascii="Arial" w:hAnsi="Arial"/>
          <w:b/>
          <w:color w:val="1B2631"/>
          <w:sz w:val="26"/>
        </w:rPr>
        <w:t>RELATÓRIO TÉCNICO</w:t>
      </w:r>
    </w:p>
    <w:p>
      <w:pPr>
        <w:spacing w:before="0" w:after="280" w:line="276" w:lineRule="auto"/>
        <w:ind w:firstLine="0"/>
        <w:jc w:val="center"/>
      </w:pPr>
      <w:r>
        <w:rPr>
          <w:rFonts w:ascii="Arial" w:hAnsi="Arial"/>
          <w:b/>
          <w:color w:val="2C3E50"/>
          <w:sz w:val="22"/>
        </w:rPr>
        <w:t>Monitoramento de Focos de Calor e Severidade Espectral – Reserva de Desenvolvimento Sustentável Vitória de Souzel</w:t>
      </w:r>
    </w:p>
    <w:p>
      <w:pPr>
        <w:keepNext/>
        <w:spacing w:before="240" w:after="80" w:line="276" w:lineRule="auto"/>
        <w:ind w:firstLine="0" w:left="0"/>
        <w:jc w:val="left"/>
      </w:pPr>
      <w:r>
        <w:rPr>
          <w:rFonts w:ascii="Arial" w:hAnsi="Arial"/>
          <w:b/>
          <w:color w:val="1B2631"/>
          <w:sz w:val="24"/>
        </w:rPr>
        <w:t>1. Identificação do Documento</w:t>
      </w:r>
    </w:p>
    <w:p>
      <w:pPr>
        <w:spacing w:before="20" w:after="50" w:line="312" w:lineRule="auto"/>
        <w:ind w:left="850" w:hanging="283"/>
        <w:jc w:val="both"/>
      </w:pPr>
      <w:r>
        <w:rPr>
          <w:rFonts w:ascii="Arial" w:hAnsi="Arial"/>
          <w:b/>
          <w:color w:val="1B2631"/>
          <w:sz w:val="22"/>
        </w:rPr>
        <w:t xml:space="preserve">• </w:t>
      </w:r>
      <w:r>
        <w:rPr>
          <w:rFonts w:ascii="Arial" w:hAnsi="Arial"/>
          <w:b/>
          <w:color w:val="1B2631"/>
          <w:sz w:val="22"/>
        </w:rPr>
        <w:t xml:space="preserve">Instrumento Técnico: </w:t>
      </w:r>
      <w:r>
        <w:rPr>
          <w:rFonts w:ascii="Arial" w:hAnsi="Arial"/>
          <w:color w:val="333333"/>
          <w:sz w:val="22"/>
        </w:rPr>
        <w:t>Relatório de Monitoramento Operacional de Focos de Queimada</w:t>
      </w:r>
    </w:p>
    <w:p>
      <w:pPr>
        <w:spacing w:before="20" w:after="50" w:line="312" w:lineRule="auto"/>
        <w:ind w:left="850" w:hanging="283"/>
        <w:jc w:val="both"/>
      </w:pPr>
      <w:r>
        <w:rPr>
          <w:rFonts w:ascii="Arial" w:hAnsi="Arial"/>
          <w:b/>
          <w:color w:val="1B2631"/>
          <w:sz w:val="22"/>
        </w:rPr>
        <w:t xml:space="preserve">• </w:t>
      </w:r>
      <w:r>
        <w:rPr>
          <w:rFonts w:ascii="Arial" w:hAnsi="Arial"/>
          <w:b/>
          <w:color w:val="1B2631"/>
          <w:sz w:val="22"/>
        </w:rPr>
        <w:t xml:space="preserve">Origem / Metodologia: </w:t>
      </w:r>
      <w:r>
        <w:rPr>
          <w:rFonts w:ascii="Arial" w:hAnsi="Arial"/>
          <w:color w:val="333333"/>
          <w:sz w:val="22"/>
        </w:rPr>
        <w:t>Pipeline Integrado de Cartografia de Queimadas em UCs (NGEO / IDEFLOR-Bio)</w:t>
      </w:r>
    </w:p>
    <w:p>
      <w:pPr>
        <w:spacing w:before="20" w:after="50" w:line="312" w:lineRule="auto"/>
        <w:ind w:left="850" w:hanging="283"/>
        <w:jc w:val="both"/>
      </w:pPr>
      <w:r>
        <w:rPr>
          <w:rFonts w:ascii="Arial" w:hAnsi="Arial"/>
          <w:b/>
          <w:color w:val="1B2631"/>
          <w:sz w:val="22"/>
        </w:rPr>
        <w:t xml:space="preserve">• </w:t>
      </w:r>
      <w:r>
        <w:rPr>
          <w:rFonts w:ascii="Arial" w:hAnsi="Arial"/>
          <w:b/>
          <w:color w:val="1B2631"/>
          <w:sz w:val="22"/>
        </w:rPr>
        <w:t xml:space="preserve">Responsabilidade Técnica: </w:t>
      </w:r>
      <w:r>
        <w:rPr>
          <w:rFonts w:ascii="Arial" w:hAnsi="Arial"/>
          <w:color w:val="333333"/>
          <w:sz w:val="22"/>
        </w:rPr>
        <w:t>Samuel da Costa dos Santos – Coordenador do Núcleo de Geotecnologias (NGEO)</w:t>
      </w:r>
    </w:p>
    <w:p>
      <w:pPr>
        <w:spacing w:before="20" w:after="50" w:line="312" w:lineRule="auto"/>
        <w:ind w:left="850" w:hanging="283"/>
        <w:jc w:val="both"/>
      </w:pPr>
      <w:r>
        <w:rPr>
          <w:rFonts w:ascii="Arial" w:hAnsi="Arial"/>
          <w:b/>
          <w:color w:val="1B2631"/>
          <w:sz w:val="22"/>
        </w:rPr>
        <w:t xml:space="preserve">• </w:t>
      </w:r>
      <w:r>
        <w:rPr>
          <w:rFonts w:ascii="Arial" w:hAnsi="Arial"/>
          <w:b/>
          <w:color w:val="1B2631"/>
          <w:sz w:val="22"/>
        </w:rPr>
        <w:t xml:space="preserve">Unidade de Conservação: </w:t>
      </w:r>
      <w:r>
        <w:rPr>
          <w:rFonts w:ascii="Arial" w:hAnsi="Arial"/>
          <w:color w:val="333333"/>
          <w:sz w:val="22"/>
        </w:rPr>
        <w:t>Reserva de Desenvolvimento Sustentável Vitória de Souzel</w:t>
      </w:r>
    </w:p>
    <w:p>
      <w:pPr>
        <w:spacing w:before="20" w:after="50" w:line="312" w:lineRule="auto"/>
        <w:ind w:left="850" w:hanging="283"/>
        <w:jc w:val="both"/>
      </w:pPr>
      <w:r>
        <w:rPr>
          <w:rFonts w:ascii="Arial" w:hAnsi="Arial"/>
          <w:b/>
          <w:color w:val="1B2631"/>
          <w:sz w:val="22"/>
        </w:rPr>
        <w:t xml:space="preserve">• </w:t>
      </w:r>
      <w:r>
        <w:rPr>
          <w:rFonts w:ascii="Arial" w:hAnsi="Arial"/>
          <w:b/>
          <w:color w:val="1B2631"/>
          <w:sz w:val="22"/>
        </w:rPr>
        <w:t xml:space="preserve">Período de Análise: </w:t>
      </w:r>
      <w:r>
        <w:rPr>
          <w:rFonts w:ascii="Arial" w:hAnsi="Arial"/>
          <w:color w:val="333333"/>
          <w:sz w:val="22"/>
        </w:rPr>
        <w:t>2026-09-30 a 2026-10-30 (Janela dinâmica dos últimos 30 dias)</w:t>
      </w:r>
    </w:p>
    <w:p>
      <w:pPr>
        <w:spacing w:before="20" w:after="50" w:line="312" w:lineRule="auto"/>
        <w:ind w:left="850" w:hanging="283"/>
        <w:jc w:val="both"/>
      </w:pPr>
      <w:r>
        <w:rPr>
          <w:rFonts w:ascii="Arial" w:hAnsi="Arial"/>
          <w:b/>
          <w:color w:val="1B2631"/>
          <w:sz w:val="22"/>
        </w:rPr>
        <w:t xml:space="preserve">• </w:t>
      </w:r>
      <w:r>
        <w:rPr>
          <w:rFonts w:ascii="Arial" w:hAnsi="Arial"/>
          <w:b/>
          <w:color w:val="1B2631"/>
          <w:sz w:val="22"/>
        </w:rPr>
        <w:t xml:space="preserve">Data de Emissão: </w:t>
      </w:r>
      <w:r>
        <w:rPr>
          <w:rFonts w:ascii="Arial" w:hAnsi="Arial"/>
          <w:color w:val="333333"/>
          <w:sz w:val="22"/>
        </w:rPr>
        <w:t>30 de outubro de 2026</w:t>
      </w:r>
    </w:p>
    <w:p>
      <w:pPr>
        <w:keepNext/>
        <w:spacing w:before="240" w:after="80" w:line="276" w:lineRule="auto"/>
        <w:ind w:firstLine="0" w:left="0"/>
        <w:jc w:val="left"/>
      </w:pPr>
      <w:r>
        <w:rPr>
          <w:rFonts w:ascii="Arial" w:hAnsi="Arial"/>
          <w:b/>
          <w:color w:val="1B2631"/>
          <w:sz w:val="24"/>
        </w:rPr>
        <w:t>2. Finalidade e Objetivos</w:t>
      </w:r>
    </w:p>
    <w:p>
      <w:pPr>
        <w:spacing w:before="0" w:after="120" w:line="360" w:lineRule="auto"/>
        <w:ind w:firstLine="850"/>
        <w:jc w:val="both"/>
      </w:pPr>
      <w:r>
        <w:rPr>
          <w:rFonts w:ascii="Arial" w:hAnsi="Arial"/>
          <w:b w:val="0"/>
          <w:i w:val="0"/>
          <w:color w:val="222222"/>
          <w:sz w:val="24"/>
        </w:rPr>
        <w:t>O presente relatório técnico tem por finalidade fornecer subsídios geoespaciais rápidos, objetivos e auditados para a tomada de decisão no âmbito da Diretoria de Gestão e Monitoramento de Unidades de Conservação (DGMUC), da Diretoria de Fiscalização Ambiental da SEMAS e de órgãos operacionais parceiros (Batalhão de Polícia Ambiental e Corpo de Bombeiros Militar do Pará).</w:t>
      </w:r>
    </w:p>
    <w:p>
      <w:pPr>
        <w:spacing w:before="0" w:after="120" w:line="360" w:lineRule="auto"/>
        <w:ind w:firstLine="850"/>
        <w:jc w:val="both"/>
      </w:pPr>
      <w:r>
        <w:rPr>
          <w:rFonts w:ascii="Arial" w:hAnsi="Arial"/>
          <w:b w:val="0"/>
          <w:i w:val="0"/>
          <w:color w:val="222222"/>
          <w:sz w:val="24"/>
        </w:rPr>
        <w:t>O diagnóstico visa a identificar a cronologia, magnitude espacial e intensidade de focos de calor detectados no interior da Unidade de Conservação, correlacionando os registros do Programa BDQueimadas/INPE com a resposta espectral de severidade do dano à vegetação por imagens orbitais Sentinel-2 Harmonized. O documento subsidia o despacho tático de brigadas de prevenção e combate a incêndios florestais e orienta rotas prioritárias de fiscalização em campo.</w:t>
      </w:r>
    </w:p>
    <w:p>
      <w:pPr>
        <w:keepNext/>
        <w:spacing w:before="240" w:after="80" w:line="276" w:lineRule="auto"/>
        <w:ind w:firstLine="0" w:left="0"/>
        <w:jc w:val="left"/>
      </w:pPr>
      <w:r>
        <w:rPr>
          <w:rFonts w:ascii="Arial" w:hAnsi="Arial"/>
          <w:b/>
          <w:color w:val="1B2631"/>
          <w:sz w:val="24"/>
        </w:rPr>
        <w:t>3. Contextualização da Área de Estudo</w:t>
      </w:r>
    </w:p>
    <w:p>
      <w:pPr>
        <w:spacing w:before="0" w:after="120" w:line="360" w:lineRule="auto"/>
        <w:ind w:firstLine="850"/>
        <w:jc w:val="both"/>
      </w:pPr>
      <w:r>
        <w:rPr>
          <w:rFonts w:ascii="Arial" w:hAnsi="Arial"/>
          <w:b w:val="0"/>
          <w:i w:val="0"/>
          <w:color w:val="222222"/>
          <w:sz w:val="24"/>
        </w:rPr>
        <w:t>A Reserva de Desenvolvimento Sustentável Vitória de Souzel integra o Sistema Estadual de Unidades de Conservação do Pará (SEUC/PA), sob gestão do IDEFLOR-Bio, criada e regulamentada por meio do Decreto Estadual nº 1.566, de 17 de junho de 2016. A unidade enquadra-se no Grupo de Uso Sustentável como Reserva de Desenvolvimento Sustentável (RDS), gerida pelo IDEFLOR-Bio com a missão precípua de compatibilizar a conservação da biodiversidade com o uso sustentável dos recursos naturais pelas populações tradicionais residentes, estruturando-se com uma área territorial calculada em aproximadamente 22.987,64 hectares, abrangendo setores territoriais do(s) município(s) de Porto de Moz, Senador José Porfírio, Vitória do Xingu, no âmbito da Região de Integração RI Xingu. No contexto fitofisionômico da Amazônia paraense, seus ecossistemas encontram-se sujeitos aos ciclos sazonais de estiagem e variações no balanço hídrico regional, condição climática que historicamente eleva o estresse da vegetação e intensifica a suscetibilidade a focos de calor e queimadas antrópicas acidentais ou irregulares em suas zonas limítrofes e corredores de acesso.</w:t>
      </w:r>
    </w:p>
    <w:p>
      <w:pPr>
        <w:keepNext/>
        <w:spacing w:before="240" w:after="80" w:line="276" w:lineRule="auto"/>
        <w:ind w:firstLine="0" w:left="0"/>
        <w:jc w:val="left"/>
      </w:pPr>
      <w:r>
        <w:rPr>
          <w:rFonts w:ascii="Arial" w:hAnsi="Arial"/>
          <w:b/>
          <w:color w:val="1B2631"/>
          <w:sz w:val="24"/>
        </w:rPr>
        <w:t>4. Procedimentos Metodológicos Realizados</w:t>
      </w:r>
    </w:p>
    <w:p>
      <w:pPr>
        <w:spacing w:before="0" w:after="120" w:line="360" w:lineRule="auto"/>
        <w:ind w:firstLine="850"/>
        <w:jc w:val="both"/>
      </w:pPr>
      <w:r>
        <w:rPr>
          <w:rFonts w:ascii="Arial" w:hAnsi="Arial"/>
          <w:b w:val="0"/>
          <w:i w:val="0"/>
          <w:color w:val="222222"/>
          <w:sz w:val="24"/>
        </w:rPr>
        <w:t>Os procedimentos analíticos e cartográficos foram conduzidos no ambiente automatizado do Núcleo de Geotecnologias (NGEO), estruturado nas seguintes etapas encadeadas:</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Ingestão de Dados Oficiais de Focos: </w:t>
      </w:r>
      <w:r>
        <w:rPr>
          <w:rFonts w:ascii="Arial" w:hAnsi="Arial"/>
          <w:color w:val="333333"/>
          <w:sz w:val="22"/>
        </w:rPr>
        <w:t>Conexão direta ao dataserver oficial do INPE (Programa BDQueimadas), recuperando os focos diários e mensais detectados por múltiplos sensores orbitais (VIIRS a bordo do NOAA-20, NOAA-21 e Suomi-NPP; além do sensor MODIS a bordo do satélite Aqua).</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Filtragem Espacial e Segregação Temporal: </w:t>
      </w:r>
      <w:r>
        <w:rPr>
          <w:rFonts w:ascii="Arial" w:hAnsi="Arial"/>
          <w:color w:val="333333"/>
          <w:sz w:val="22"/>
        </w:rPr>
        <w:t>Intersecção topológica exata dos focos com o polígono homologado da Reserva de Desenvolvimento Sustentável Vitória de Souzel (base DGMUC/IDEFLOR-Bio). Segregação temporal entre focos do dia atual / última observação recente e focos acumulados anteriores, permitindo diferenciar frentes de queima ativas de cicatrizes já estabelecidas.</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Sensoriamento Remoto Orbital e Cálculo Espectral (Sentinel-2 Harmonized): </w:t>
      </w:r>
      <w:r>
        <w:rPr>
          <w:rFonts w:ascii="Arial" w:hAnsi="Arial"/>
          <w:color w:val="333333"/>
          <w:sz w:val="22"/>
        </w:rPr>
        <w:t>Processamento em nuvem no Google Earth Engine (GEE) de imagens orbitais Sentinel-2 com aplicação de máscaras de nuvens e cirrus (SCL classes 4, 5, 6 e QA60). Geração do índice Normalized Burn Ratio (NBR = (B8 - B12) / (B8 + B12)) com preservação estrita de corpos d'água via NDWI &gt; 0, eliminando ruídos térmicos em drenagens e rios.</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Diagramação Cartográfica Institucional: </w:t>
      </w:r>
      <w:r>
        <w:rPr>
          <w:rFonts w:ascii="Arial" w:hAnsi="Arial"/>
          <w:color w:val="333333"/>
          <w:sz w:val="22"/>
        </w:rPr>
        <w:t>Geração automatizada de pranchas em formato A4 Paisagem (297 x 210 mm) em alta resolução (300 DPI) em 3 escalas integradas: Detalhe da UC com mosaico orbital, Contexto Regional da Unidade e Macroestadual no Pará, conforme o padrão oficial do NGEO.</w:t>
      </w:r>
    </w:p>
    <w:p>
      <w:pPr>
        <w:keepNext/>
        <w:spacing w:before="240" w:after="80" w:line="276" w:lineRule="auto"/>
        <w:ind w:firstLine="0" w:left="0"/>
        <w:jc w:val="left"/>
      </w:pPr>
      <w:r>
        <w:rPr>
          <w:rFonts w:ascii="Arial" w:hAnsi="Arial"/>
          <w:b/>
          <w:color w:val="1B2631"/>
          <w:sz w:val="24"/>
        </w:rPr>
        <w:t>5. Resultados e Diagnóstico Espacial</w:t>
      </w:r>
    </w:p>
    <w:p>
      <w:pPr>
        <w:spacing w:before="0" w:after="120" w:line="360" w:lineRule="auto"/>
        <w:ind w:firstLine="850"/>
        <w:jc w:val="both"/>
      </w:pPr>
      <w:r>
        <w:rPr>
          <w:rFonts w:ascii="Arial" w:hAnsi="Arial"/>
          <w:b w:val="0"/>
          <w:i w:val="0"/>
          <w:color w:val="222222"/>
          <w:sz w:val="24"/>
        </w:rPr>
        <w:t>No período avaliado (2026-09-30 a 2026-10-30), foram contabilizados 73 focos de calor incidentes no interior da Reserva de Desenvolvimento Sustentável Vitória de Souzel. Desse montante, 2 ocorrência(s) correspondem ao registro mais recente do monitoramento (20/10/2026), indicando potencial queima em andamento ou brasa residual, enquanto 71 focos referem-se ao acúmulo histórico ao longo dos dias anteriores.</w:t>
      </w:r>
    </w:p>
    <w:p>
      <w:pPr>
        <w:keepNext/>
        <w:spacing w:before="160" w:after="80" w:line="276" w:lineRule="auto"/>
        <w:ind w:firstLine="0" w:left="0"/>
        <w:jc w:val="left"/>
      </w:pPr>
      <w:r>
        <w:rPr>
          <w:rFonts w:ascii="Arial" w:hAnsi="Arial"/>
          <w:b/>
          <w:color w:val="1B2631"/>
          <w:sz w:val="23"/>
        </w:rPr>
        <w:t>5.1 Síntese Quantitativa dos Focos de Queimada</w:t>
      </w:r>
    </w:p>
    <w:tbl>
      <w:tblPr>
        <w:tblW w:type="auto" w:w="0"/>
        <w:jc w:val="center"/>
        <w:tblLayout w:type="fixed"/>
        <w:tblLook w:firstColumn="1" w:firstRow="1" w:lastColumn="0" w:lastRow="0" w:noHBand="0" w:noVBand="1" w:val="04A0"/>
      </w:tblPr>
      <w:tblGrid>
        <w:gridCol w:w="4534"/>
        <w:gridCol w:w="4534"/>
      </w:tblGrid>
      <w:tr>
        <w:tc>
          <w:tcPr>
            <w:tcW w:type="dxa" w:w="4608"/>
            <w:tcMar>
              <w:top w:w="70" w:type="dxa"/>
              <w:bottom w:w="70" w:type="dxa"/>
              <w:left w:w="100" w:type="dxa"/>
              <w:right w:w="100" w:type="dxa"/>
            </w:tcMar>
            <w:shd w:fill="EAEDED"/>
          </w:tcPr>
          <w:p>
            <w:pPr>
              <w:spacing w:line="276" w:lineRule="auto"/>
              <w:ind w:firstLine="0"/>
              <w:jc w:val="left"/>
            </w:pPr>
            <w:r>
              <w:rPr>
                <w:rFonts w:ascii="Arial" w:hAnsi="Arial"/>
                <w:b/>
                <w:sz w:val="19"/>
              </w:rPr>
              <w:t>Parâmetro de Monitoramento</w:t>
            </w:r>
          </w:p>
        </w:tc>
        <w:tc>
          <w:tcPr>
            <w:tcW w:type="dxa" w:w="4896"/>
            <w:tcMar>
              <w:top w:w="70" w:type="dxa"/>
              <w:bottom w:w="70" w:type="dxa"/>
              <w:left w:w="100" w:type="dxa"/>
              <w:right w:w="100" w:type="dxa"/>
            </w:tcMar>
            <w:shd w:fill="EAEDED"/>
          </w:tcPr>
          <w:p>
            <w:pPr>
              <w:spacing w:line="276" w:lineRule="auto"/>
              <w:ind w:firstLine="0"/>
              <w:jc w:val="left"/>
            </w:pPr>
            <w:r>
              <w:rPr>
                <w:rFonts w:ascii="Arial" w:hAnsi="Arial"/>
                <w:b/>
                <w:sz w:val="19"/>
              </w:rPr>
              <w:t>Indicador Registrado</w:t>
            </w:r>
          </w:p>
        </w:tc>
      </w:tr>
      <w:tr>
        <w:tc>
          <w:tcPr>
            <w:tcW w:type="dxa" w:w="4608"/>
            <w:tcMar>
              <w:top w:w="70" w:type="dxa"/>
              <w:bottom w:w="70" w:type="dxa"/>
              <w:left w:w="100" w:type="dxa"/>
              <w:right w:w="100" w:type="dxa"/>
            </w:tcMar>
            <w:shd w:fill="FFFFFF"/>
          </w:tcPr>
          <w:p>
            <w:pPr>
              <w:spacing w:line="276" w:lineRule="auto"/>
              <w:ind w:firstLine="0"/>
              <w:jc w:val="left"/>
            </w:pPr>
            <w:r>
              <w:rPr>
                <w:rFonts w:ascii="Arial" w:hAnsi="Arial"/>
                <w:sz w:val="19"/>
              </w:rPr>
              <w:t>Unidade de Conservação Estadual</w:t>
            </w:r>
          </w:p>
        </w:tc>
        <w:tc>
          <w:tcPr>
            <w:tcW w:type="dxa" w:w="4896"/>
            <w:tcMar>
              <w:top w:w="70" w:type="dxa"/>
              <w:bottom w:w="70" w:type="dxa"/>
              <w:left w:w="100" w:type="dxa"/>
              <w:right w:w="100" w:type="dxa"/>
            </w:tcMar>
            <w:shd w:fill="FFFFFF"/>
          </w:tcPr>
          <w:p>
            <w:pPr>
              <w:spacing w:line="276" w:lineRule="auto"/>
              <w:ind w:firstLine="0"/>
              <w:jc w:val="left"/>
            </w:pPr>
            <w:r>
              <w:rPr>
                <w:rFonts w:ascii="Arial" w:hAnsi="Arial"/>
                <w:sz w:val="19"/>
              </w:rPr>
              <w:t>Reserva de Desenvolvimento Sustentável Vitória de Souzel</w:t>
            </w:r>
          </w:p>
        </w:tc>
      </w:tr>
      <w:tr>
        <w:tc>
          <w:tcPr>
            <w:tcW w:type="dxa" w:w="4608"/>
            <w:tcMar>
              <w:top w:w="70" w:type="dxa"/>
              <w:bottom w:w="70" w:type="dxa"/>
              <w:left w:w="100" w:type="dxa"/>
              <w:right w:w="100" w:type="dxa"/>
            </w:tcMar>
            <w:shd w:fill="F8F9F9"/>
          </w:tcPr>
          <w:p>
            <w:pPr>
              <w:spacing w:line="276" w:lineRule="auto"/>
              <w:ind w:firstLine="0"/>
              <w:jc w:val="left"/>
            </w:pPr>
            <w:r>
              <w:rPr>
                <w:rFonts w:ascii="Arial" w:hAnsi="Arial"/>
                <w:sz w:val="19"/>
              </w:rPr>
              <w:t>Total de Ocorrências no Período</w:t>
            </w:r>
          </w:p>
        </w:tc>
        <w:tc>
          <w:tcPr>
            <w:tcW w:type="dxa" w:w="4896"/>
            <w:tcMar>
              <w:top w:w="70" w:type="dxa"/>
              <w:bottom w:w="70" w:type="dxa"/>
              <w:left w:w="100" w:type="dxa"/>
              <w:right w:w="100" w:type="dxa"/>
            </w:tcMar>
            <w:shd w:fill="F8F9F9"/>
          </w:tcPr>
          <w:p>
            <w:pPr>
              <w:spacing w:line="276" w:lineRule="auto"/>
              <w:ind w:firstLine="0"/>
              <w:jc w:val="left"/>
            </w:pPr>
            <w:r>
              <w:rPr>
                <w:rFonts w:ascii="Arial" w:hAnsi="Arial"/>
                <w:sz w:val="19"/>
              </w:rPr>
              <w:t>73 focos de calor</w:t>
            </w:r>
          </w:p>
        </w:tc>
      </w:tr>
      <w:tr>
        <w:tc>
          <w:tcPr>
            <w:tcW w:type="dxa" w:w="4608"/>
            <w:tcMar>
              <w:top w:w="70" w:type="dxa"/>
              <w:bottom w:w="70" w:type="dxa"/>
              <w:left w:w="100" w:type="dxa"/>
              <w:right w:w="100" w:type="dxa"/>
            </w:tcMar>
            <w:shd w:fill="FFFFFF"/>
          </w:tcPr>
          <w:p>
            <w:pPr>
              <w:spacing w:line="276" w:lineRule="auto"/>
              <w:ind w:firstLine="0"/>
              <w:jc w:val="left"/>
            </w:pPr>
            <w:r>
              <w:rPr>
                <w:rFonts w:ascii="Arial" w:hAnsi="Arial"/>
                <w:sz w:val="19"/>
              </w:rPr>
              <w:t>Focos no Dia Mais Recente (20/10/2026)</w:t>
            </w:r>
          </w:p>
        </w:tc>
        <w:tc>
          <w:tcPr>
            <w:tcW w:type="dxa" w:w="4896"/>
            <w:tcMar>
              <w:top w:w="70" w:type="dxa"/>
              <w:bottom w:w="70" w:type="dxa"/>
              <w:left w:w="100" w:type="dxa"/>
              <w:right w:w="100" w:type="dxa"/>
            </w:tcMar>
            <w:shd w:fill="FFFFFF"/>
          </w:tcPr>
          <w:p>
            <w:pPr>
              <w:spacing w:line="276" w:lineRule="auto"/>
              <w:ind w:firstLine="0"/>
              <w:jc w:val="left"/>
            </w:pPr>
            <w:r>
              <w:rPr>
                <w:rFonts w:ascii="Arial" w:hAnsi="Arial"/>
                <w:sz w:val="19"/>
              </w:rPr>
              <w:t>2 focos (Frente ativa)</w:t>
            </w:r>
          </w:p>
        </w:tc>
      </w:tr>
      <w:tr>
        <w:tc>
          <w:tcPr>
            <w:tcW w:type="dxa" w:w="4608"/>
            <w:tcMar>
              <w:top w:w="70" w:type="dxa"/>
              <w:bottom w:w="70" w:type="dxa"/>
              <w:left w:w="100" w:type="dxa"/>
              <w:right w:w="100" w:type="dxa"/>
            </w:tcMar>
            <w:shd w:fill="F8F9F9"/>
          </w:tcPr>
          <w:p>
            <w:pPr>
              <w:spacing w:line="276" w:lineRule="auto"/>
              <w:ind w:firstLine="0"/>
              <w:jc w:val="left"/>
            </w:pPr>
            <w:r>
              <w:rPr>
                <w:rFonts w:ascii="Arial" w:hAnsi="Arial"/>
                <w:sz w:val="19"/>
              </w:rPr>
              <w:t>Focos Acumulados em Dias Anteriores</w:t>
            </w:r>
          </w:p>
        </w:tc>
        <w:tc>
          <w:tcPr>
            <w:tcW w:type="dxa" w:w="4896"/>
            <w:tcMar>
              <w:top w:w="70" w:type="dxa"/>
              <w:bottom w:w="70" w:type="dxa"/>
              <w:left w:w="100" w:type="dxa"/>
              <w:right w:w="100" w:type="dxa"/>
            </w:tcMar>
            <w:shd w:fill="F8F9F9"/>
          </w:tcPr>
          <w:p>
            <w:pPr>
              <w:spacing w:line="276" w:lineRule="auto"/>
              <w:ind w:firstLine="0"/>
              <w:jc w:val="left"/>
            </w:pPr>
            <w:r>
              <w:rPr>
                <w:rFonts w:ascii="Arial" w:hAnsi="Arial"/>
                <w:sz w:val="19"/>
              </w:rPr>
              <w:t>71 focos (Cicatrizes / Histórico)</w:t>
            </w:r>
          </w:p>
        </w:tc>
      </w:tr>
    </w:tbl>
    <w:p>
      <w:pPr>
        <w:spacing w:before="60" w:after="60"/>
      </w:pPr>
    </w:p>
    <w:p>
      <w:pPr>
        <w:keepNext/>
        <w:spacing w:before="160" w:after="80" w:line="276" w:lineRule="auto"/>
        <w:ind w:firstLine="0" w:left="0"/>
        <w:jc w:val="left"/>
      </w:pPr>
      <w:r>
        <w:rPr>
          <w:rFonts w:ascii="Arial" w:hAnsi="Arial"/>
          <w:b/>
          <w:color w:val="1B2631"/>
          <w:sz w:val="23"/>
        </w:rPr>
        <w:t>5.2 Detalhamento Técnico dos Sensores Orbitais</w:t>
      </w:r>
    </w:p>
    <w:tbl>
      <w:tblPr>
        <w:tblW w:type="auto" w:w="0"/>
        <w:jc w:val="center"/>
        <w:tblLayout w:type="fixed"/>
        <w:tblLook w:firstColumn="1" w:firstRow="1" w:lastColumn="0" w:lastRow="0" w:noHBand="0" w:noVBand="1" w:val="04A0"/>
      </w:tblPr>
      <w:tblGrid>
        <w:gridCol w:w="3023"/>
        <w:gridCol w:w="3023"/>
        <w:gridCol w:w="3023"/>
      </w:tblGrid>
      <w:tr>
        <w:tc>
          <w:tcPr>
            <w:tcW w:type="dxa" w:w="3023"/>
            <w:shd w:fill="EAEDED"/>
            <w:tcMar>
              <w:top w:w="70" w:type="dxa"/>
              <w:bottom w:w="70" w:type="dxa"/>
              <w:left w:w="100" w:type="dxa"/>
              <w:right w:w="100" w:type="dxa"/>
            </w:tcMar>
          </w:tcPr>
          <w:p>
            <w:pPr>
              <w:spacing w:line="276" w:lineRule="auto"/>
              <w:ind w:firstLine="0"/>
              <w:jc w:val="center"/>
            </w:pPr>
            <w:r>
              <w:rPr>
                <w:rFonts w:ascii="Arial" w:hAnsi="Arial"/>
                <w:b/>
                <w:sz w:val="19"/>
              </w:rPr>
              <w:t>Satélite / Sensor</w:t>
            </w:r>
          </w:p>
        </w:tc>
        <w:tc>
          <w:tcPr>
            <w:tcW w:type="dxa" w:w="3023"/>
            <w:shd w:fill="EAEDED"/>
            <w:tcMar>
              <w:top w:w="70" w:type="dxa"/>
              <w:bottom w:w="70" w:type="dxa"/>
              <w:left w:w="100" w:type="dxa"/>
              <w:right w:w="100" w:type="dxa"/>
            </w:tcMar>
          </w:tcPr>
          <w:p>
            <w:pPr>
              <w:spacing w:line="276" w:lineRule="auto"/>
              <w:ind w:firstLine="0"/>
              <w:jc w:val="center"/>
            </w:pPr>
            <w:r>
              <w:rPr>
                <w:rFonts w:ascii="Arial" w:hAnsi="Arial"/>
                <w:b/>
                <w:sz w:val="19"/>
              </w:rPr>
              <w:t>Quantidade de Focos</w:t>
            </w:r>
          </w:p>
        </w:tc>
        <w:tc>
          <w:tcPr>
            <w:tcW w:type="dxa" w:w="3023"/>
            <w:shd w:fill="EAEDED"/>
            <w:tcMar>
              <w:top w:w="70" w:type="dxa"/>
              <w:bottom w:w="70" w:type="dxa"/>
              <w:left w:w="100" w:type="dxa"/>
              <w:right w:w="100" w:type="dxa"/>
            </w:tcMar>
          </w:tcPr>
          <w:p>
            <w:pPr>
              <w:spacing w:line="276" w:lineRule="auto"/>
              <w:ind w:firstLine="0"/>
              <w:jc w:val="center"/>
            </w:pPr>
            <w:r>
              <w:rPr>
                <w:rFonts w:ascii="Arial" w:hAnsi="Arial"/>
                <w:b/>
                <w:sz w:val="19"/>
              </w:rPr>
              <w:t>Participação Relativa (%)</w:t>
            </w:r>
          </w:p>
        </w:tc>
      </w:tr>
      <w:tr>
        <w:tc>
          <w:tcPr>
            <w:tcW w:type="dxa" w:w="3023"/>
            <w:shd w:fill="FFFFFF"/>
            <w:tcMar>
              <w:top w:w="60" w:type="dxa"/>
              <w:bottom w:w="60" w:type="dxa"/>
              <w:left w:w="100" w:type="dxa"/>
              <w:right w:w="100" w:type="dxa"/>
            </w:tcMar>
          </w:tcPr>
          <w:p>
            <w:pPr>
              <w:spacing w:line="276" w:lineRule="auto"/>
              <w:ind w:firstLine="0"/>
              <w:jc w:val="left"/>
            </w:pPr>
            <w:r>
              <w:rPr>
                <w:rFonts w:ascii="Arial" w:hAnsi="Arial"/>
                <w:sz w:val="18"/>
              </w:rPr>
              <w:t>NOAA-20</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35</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47.9%</w:t>
            </w:r>
          </w:p>
        </w:tc>
      </w:tr>
      <w:tr>
        <w:tc>
          <w:tcPr>
            <w:tcW w:type="dxa" w:w="3023"/>
            <w:shd w:fill="F8F9F9"/>
            <w:tcMar>
              <w:top w:w="60" w:type="dxa"/>
              <w:bottom w:w="60" w:type="dxa"/>
              <w:left w:w="100" w:type="dxa"/>
              <w:right w:w="100" w:type="dxa"/>
            </w:tcMar>
          </w:tcPr>
          <w:p>
            <w:pPr>
              <w:spacing w:line="276" w:lineRule="auto"/>
              <w:ind w:firstLine="0"/>
              <w:jc w:val="left"/>
            </w:pPr>
            <w:r>
              <w:rPr>
                <w:rFonts w:ascii="Arial" w:hAnsi="Arial"/>
                <w:sz w:val="18"/>
              </w:rPr>
              <w:t>NOAA-21</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15</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20.5%</w:t>
            </w:r>
          </w:p>
        </w:tc>
      </w:tr>
      <w:tr>
        <w:tc>
          <w:tcPr>
            <w:tcW w:type="dxa" w:w="3023"/>
            <w:shd w:fill="FFFFFF"/>
            <w:tcMar>
              <w:top w:w="60" w:type="dxa"/>
              <w:bottom w:w="60" w:type="dxa"/>
              <w:left w:w="100" w:type="dxa"/>
              <w:right w:w="100" w:type="dxa"/>
            </w:tcMar>
          </w:tcPr>
          <w:p>
            <w:pPr>
              <w:spacing w:line="276" w:lineRule="auto"/>
              <w:ind w:firstLine="0"/>
              <w:jc w:val="left"/>
            </w:pPr>
            <w:r>
              <w:rPr>
                <w:rFonts w:ascii="Arial" w:hAnsi="Arial"/>
                <w:sz w:val="18"/>
              </w:rPr>
              <w:t>NPP-375</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13</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17.8%</w:t>
            </w:r>
          </w:p>
        </w:tc>
      </w:tr>
      <w:tr>
        <w:tc>
          <w:tcPr>
            <w:tcW w:type="dxa" w:w="3023"/>
            <w:shd w:fill="F8F9F9"/>
            <w:tcMar>
              <w:top w:w="60" w:type="dxa"/>
              <w:bottom w:w="60" w:type="dxa"/>
              <w:left w:w="100" w:type="dxa"/>
              <w:right w:w="100" w:type="dxa"/>
            </w:tcMar>
          </w:tcPr>
          <w:p>
            <w:pPr>
              <w:spacing w:line="276" w:lineRule="auto"/>
              <w:ind w:firstLine="0"/>
              <w:jc w:val="left"/>
            </w:pPr>
            <w:r>
              <w:rPr>
                <w:rFonts w:ascii="Arial" w:hAnsi="Arial"/>
                <w:sz w:val="18"/>
              </w:rPr>
              <w:t>NPP-375D</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6</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8.2%</w:t>
            </w:r>
          </w:p>
        </w:tc>
      </w:tr>
      <w:tr>
        <w:tc>
          <w:tcPr>
            <w:tcW w:type="dxa" w:w="3023"/>
            <w:shd w:fill="FFFFFF"/>
            <w:tcMar>
              <w:top w:w="60" w:type="dxa"/>
              <w:bottom w:w="60" w:type="dxa"/>
              <w:left w:w="100" w:type="dxa"/>
              <w:right w:w="100" w:type="dxa"/>
            </w:tcMar>
          </w:tcPr>
          <w:p>
            <w:pPr>
              <w:spacing w:line="276" w:lineRule="auto"/>
              <w:ind w:firstLine="0"/>
              <w:jc w:val="left"/>
            </w:pPr>
            <w:r>
              <w:rPr>
                <w:rFonts w:ascii="Arial" w:hAnsi="Arial"/>
                <w:sz w:val="18"/>
              </w:rPr>
              <w:t>METOP-C</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3</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4.1%</w:t>
            </w:r>
          </w:p>
        </w:tc>
      </w:tr>
      <w:tr>
        <w:tc>
          <w:tcPr>
            <w:tcW w:type="dxa" w:w="3023"/>
            <w:shd w:fill="F8F9F9"/>
            <w:tcMar>
              <w:top w:w="60" w:type="dxa"/>
              <w:bottom w:w="60" w:type="dxa"/>
              <w:left w:w="100" w:type="dxa"/>
              <w:right w:w="100" w:type="dxa"/>
            </w:tcMar>
          </w:tcPr>
          <w:p>
            <w:pPr>
              <w:spacing w:line="276" w:lineRule="auto"/>
              <w:ind w:firstLine="0"/>
              <w:jc w:val="left"/>
            </w:pPr>
            <w:r>
              <w:rPr>
                <w:rFonts w:ascii="Arial" w:hAnsi="Arial"/>
                <w:sz w:val="18"/>
              </w:rPr>
              <w:t>AQUA_M-M</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1</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1.4%</w:t>
            </w:r>
          </w:p>
        </w:tc>
      </w:tr>
    </w:tbl>
    <w:p>
      <w:pPr>
        <w:spacing w:before="60" w:after="60"/>
      </w:pPr>
    </w:p>
    <w:p>
      <w:pPr>
        <w:keepNext/>
        <w:spacing w:before="160" w:after="80" w:line="276" w:lineRule="auto"/>
        <w:ind w:firstLine="0" w:left="0"/>
        <w:jc w:val="left"/>
      </w:pPr>
      <w:r>
        <w:rPr>
          <w:rFonts w:ascii="Arial" w:hAnsi="Arial"/>
          <w:b/>
          <w:color w:val="1B2631"/>
          <w:sz w:val="23"/>
        </w:rPr>
        <w:t>5.3 Pranchas Cartográficas Oficiais Anexas</w:t>
      </w:r>
    </w:p>
    <w:p>
      <w:pPr>
        <w:spacing w:before="0" w:after="120" w:line="360" w:lineRule="auto"/>
        <w:ind w:firstLine="850"/>
        <w:jc w:val="both"/>
      </w:pPr>
      <w:r>
        <w:rPr>
          <w:rFonts w:ascii="Arial" w:hAnsi="Arial"/>
          <w:b w:val="0"/>
          <w:i w:val="0"/>
          <w:color w:val="222222"/>
          <w:sz w:val="24"/>
        </w:rPr>
        <w:t>Como produto cartográfico de alta fidelidade técnica, foram geradas 3 (três) pranchas oficiais padronizadas em alta resolução (300 DPI) para subsidiar a análise visual dos gestores e embasar despachos administrativos:</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Prancha em Cor Natural (RGB: B4, B3, B2): </w:t>
      </w:r>
      <w:r>
        <w:rPr>
          <w:rFonts w:ascii="Arial" w:hAnsi="Arial"/>
          <w:color w:val="333333"/>
          <w:sz w:val="22"/>
        </w:rPr>
        <w:t>Apresenta a visualização real da cobertura do solo e do relevo, permitindo contextualizar a proximidade dos focos em relação à malha hidrográfica e ocupações consolidadas.</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Prancha em Falsa Cor (Realce Queimadas: B12, B8, B4): </w:t>
      </w:r>
      <w:r>
        <w:rPr>
          <w:rFonts w:ascii="Arial" w:hAnsi="Arial"/>
          <w:color w:val="333333"/>
          <w:sz w:val="22"/>
        </w:rPr>
        <w:t>Composição no espectro do infravermelho de ondas curtas (SWIR), que proporciona contraste máximo entre cicatrizes calcinadas (tonalidades avermelhadas/marrom-escuras) e o dossel vegetal vivo preservado (verde brilhante).</w:t>
      </w:r>
    </w:p>
    <w:p>
      <w:pPr>
        <w:spacing w:before="20" w:after="70" w:line="312" w:lineRule="auto"/>
        <w:ind w:left="850" w:hanging="283"/>
        <w:jc w:val="both"/>
      </w:pPr>
      <w:r>
        <w:rPr>
          <w:rFonts w:ascii="Arial" w:hAnsi="Arial"/>
          <w:b/>
          <w:color w:val="1B2631"/>
          <w:sz w:val="22"/>
        </w:rPr>
        <w:t xml:space="preserve">• </w:t>
      </w:r>
      <w:r>
        <w:rPr>
          <w:rFonts w:ascii="Arial" w:hAnsi="Arial"/>
          <w:b/>
          <w:color w:val="1B2631"/>
          <w:sz w:val="22"/>
        </w:rPr>
        <w:t xml:space="preserve">Prancha de Severidade do Fogo — NBR (Normalized Burn Ratio): </w:t>
      </w:r>
      <w:r>
        <w:rPr>
          <w:rFonts w:ascii="Arial" w:hAnsi="Arial"/>
          <w:color w:val="333333"/>
          <w:sz w:val="22"/>
        </w:rPr>
        <w:t>Mapeamento quantitativo do impacto na vegetação. A rampa cromática destaca frentes ativas e áreas de alta severidade (&lt; -0.15) em tons vermelhos e vinhos, áreas moderadas em laranja, solo/pastagem em amarelo e floresta preservada em verde escuro, mantendo corpos d'água resguardados em azul.</w:t>
      </w:r>
    </w:p>
    <w:p>
      <w:pPr>
        <w:keepNext/>
        <w:spacing w:before="240" w:after="80" w:line="276" w:lineRule="auto"/>
        <w:ind w:firstLine="0" w:left="0"/>
        <w:jc w:val="left"/>
      </w:pPr>
      <w:r>
        <w:rPr>
          <w:rFonts w:ascii="Arial" w:hAnsi="Arial"/>
          <w:b/>
          <w:color w:val="1B2631"/>
          <w:sz w:val="24"/>
        </w:rPr>
        <w:t>6. Conclusões e Recomendações para Tomada de Decisão</w:t>
      </w:r>
    </w:p>
    <w:p>
      <w:pPr>
        <w:spacing w:before="0" w:after="120" w:line="360" w:lineRule="auto"/>
        <w:ind w:firstLine="850"/>
        <w:jc w:val="both"/>
      </w:pPr>
      <w:r>
        <w:rPr>
          <w:rFonts w:ascii="Arial" w:hAnsi="Arial"/>
          <w:b w:val="0"/>
          <w:i w:val="0"/>
          <w:color w:val="222222"/>
          <w:sz w:val="24"/>
        </w:rPr>
        <w:t>A análise espacial integrada dos 73 focos de calor registrados na Reserva de Desenvolvimento Sustentável Vitória de Souzel revela um padrão de agrupamento com proximidade a limites de transição de cobertura vegetal. A presença de 2 foco(s) na data mais recente (20/10/2026) aponta para atividade de queima recente que requer verificação imediata para prevenir alastramento a maciços florestais contíguos.</w:t>
      </w:r>
    </w:p>
    <w:p>
      <w:pPr>
        <w:spacing w:before="0" w:after="120" w:line="360" w:lineRule="auto"/>
        <w:ind w:firstLine="850"/>
        <w:jc w:val="both"/>
      </w:pPr>
      <w:r>
        <w:rPr>
          <w:rFonts w:ascii="Arial" w:hAnsi="Arial"/>
          <w:b w:val="0"/>
          <w:i w:val="0"/>
          <w:color w:val="222222"/>
          <w:sz w:val="24"/>
        </w:rPr>
        <w:t>Diante do diagnóstico operacional, recomendam-se as seguintes medidas táticas prioritárias:</w:t>
      </w:r>
    </w:p>
    <w:p>
      <w:pPr>
        <w:spacing w:before="20" w:after="60" w:line="312" w:lineRule="auto"/>
        <w:ind w:left="850" w:hanging="283"/>
        <w:jc w:val="both"/>
      </w:pPr>
      <w:r>
        <w:rPr>
          <w:rFonts w:ascii="Arial" w:hAnsi="Arial"/>
          <w:b/>
          <w:color w:val="1B2631"/>
          <w:sz w:val="22"/>
        </w:rPr>
        <w:t xml:space="preserve">• </w:t>
      </w:r>
      <w:r>
        <w:rPr>
          <w:rFonts w:ascii="Arial" w:hAnsi="Arial"/>
          <w:color w:val="333333"/>
          <w:sz w:val="22"/>
        </w:rPr>
        <w:t>Despacho prioritário de brigadas florestais e equipes do Batalhão de Polícia Ambiental para averiguação dos focos recentes na unidade;</w:t>
      </w:r>
    </w:p>
    <w:p>
      <w:pPr>
        <w:spacing w:before="20" w:after="60" w:line="312" w:lineRule="auto"/>
        <w:ind w:left="850" w:hanging="283"/>
        <w:jc w:val="both"/>
      </w:pPr>
      <w:r>
        <w:rPr>
          <w:rFonts w:ascii="Arial" w:hAnsi="Arial"/>
          <w:b/>
          <w:color w:val="1B2631"/>
          <w:sz w:val="22"/>
        </w:rPr>
        <w:t xml:space="preserve">• </w:t>
      </w:r>
      <w:r>
        <w:rPr>
          <w:rFonts w:ascii="Arial" w:hAnsi="Arial"/>
          <w:color w:val="333333"/>
          <w:sz w:val="22"/>
        </w:rPr>
        <w:t>Utilização das coordenadas geográficas tabuladas no Apêndice A para traçado de rotas táticas de fiscalização fluvial e terrestre;</w:t>
      </w:r>
    </w:p>
    <w:p>
      <w:pPr>
        <w:spacing w:before="20" w:after="60" w:line="312" w:lineRule="auto"/>
        <w:ind w:left="850" w:hanging="283"/>
        <w:jc w:val="both"/>
      </w:pPr>
      <w:r>
        <w:rPr>
          <w:rFonts w:ascii="Arial" w:hAnsi="Arial"/>
          <w:b/>
          <w:color w:val="1B2631"/>
          <w:sz w:val="22"/>
        </w:rPr>
        <w:t xml:space="preserve">• </w:t>
      </w:r>
      <w:r>
        <w:rPr>
          <w:rFonts w:ascii="Arial" w:hAnsi="Arial"/>
          <w:color w:val="333333"/>
          <w:sz w:val="22"/>
        </w:rPr>
        <w:t>Articulação interinstitucional com o Corpo de Bombeiros Militar para contingência preventiva na hipótese de propagação de fogo em vegetação nativa.</w:t>
      </w:r>
    </w:p>
    <w:p>
      <w:pPr>
        <w:spacing w:before="0" w:after="120" w:line="360" w:lineRule="auto"/>
        <w:ind w:firstLine="850"/>
        <w:jc w:val="both"/>
      </w:pPr>
      <w:r>
        <w:rPr>
          <w:rFonts w:ascii="Arial" w:hAnsi="Arial"/>
          <w:b w:val="0"/>
          <w:i w:val="0"/>
          <w:color w:val="222222"/>
          <w:sz w:val="24"/>
        </w:rPr>
        <w:t>As 3 (três) pranchas cartográficas institucionais padronizadas seguem anexas ao processo em formato PDF. Informa-se, ademais, que a base vetorial georreferenciada dos focos (arquivos Shapefile e GeoPackage com atributos de FRP, satélite e coordenadas) encontra-se disponível para envio imediato via correio eletrônico institucional (ngeo@ideflorbio.pa.gov.br) para carregamento direto em equipamentos de navegação das equipes de campo.</w:t>
      </w:r>
    </w:p>
    <w:p>
      <w:pPr>
        <w:keepNext/>
        <w:spacing w:before="240" w:after="80" w:line="276" w:lineRule="auto"/>
        <w:ind w:firstLine="0" w:left="0"/>
        <w:jc w:val="left"/>
      </w:pPr>
      <w:r>
        <w:rPr>
          <w:rFonts w:ascii="Arial" w:hAnsi="Arial"/>
          <w:b/>
          <w:color w:val="1B2631"/>
          <w:sz w:val="24"/>
        </w:rPr>
        <w:t>7. Referências e Fontes de Dados</w:t>
      </w:r>
    </w:p>
    <w:p>
      <w:pPr>
        <w:spacing w:before="40" w:after="120" w:line="240" w:lineRule="auto"/>
        <w:ind w:firstLine="0" w:left="0"/>
        <w:jc w:val="left"/>
      </w:pPr>
      <w:r>
        <w:rPr>
          <w:rFonts w:ascii="Arial" w:hAnsi="Arial"/>
          <w:color w:val="333333"/>
          <w:sz w:val="19"/>
        </w:rPr>
        <w:t>BRASIL. Instituto Nacional de Pesquisas Espaciais (INPE). Programa Queimadas: BDQueimadas – Banco de Dados de Queimadas. São José dos Campos: INPE, 2026. Disponível em: &lt;https://queimadas.dgi.inpe.br/&gt;. Acesso em: 30 out. 2026.</w:t>
      </w:r>
    </w:p>
    <w:p>
      <w:pPr>
        <w:spacing w:before="40" w:after="120" w:line="240" w:lineRule="auto"/>
        <w:ind w:firstLine="0" w:left="0"/>
        <w:jc w:val="left"/>
      </w:pPr>
      <w:r>
        <w:rPr>
          <w:rFonts w:ascii="Arial" w:hAnsi="Arial"/>
          <w:color w:val="333333"/>
          <w:sz w:val="19"/>
        </w:rPr>
        <w:t>EUROPEAN SPACE AGENCY (ESA). Copernicus Sentinel-2: Multispectral Instrument (MSI) Harmonized Level-2A Surface Reflectance. Processamento digital em nuvem via Google Earth Engine. Paris: ESA, 2026.</w:t>
      </w:r>
    </w:p>
    <w:p>
      <w:pPr>
        <w:spacing w:before="40" w:after="120" w:line="240" w:lineRule="auto"/>
        <w:ind w:firstLine="0" w:left="0"/>
        <w:jc w:val="left"/>
      </w:pPr>
      <w:r>
        <w:rPr>
          <w:rFonts w:ascii="Arial" w:hAnsi="Arial"/>
          <w:color w:val="333333"/>
          <w:sz w:val="19"/>
        </w:rPr>
        <w:t>INSTITUTO BRASILEIRO DE GEOGRAFIA E ESTATÍSTICA (IBGE). Resolução nº 1, de 25 de fevereiro de 2005. Estabelece a adoção do Sistema de Referência Geocêntrico para as Américas (SIRGAS 2000 / EPSG:4674) como o novo referencial geodésico oficial brasileiro. Rio de Janeiro: IBGE, 2005.</w:t>
      </w:r>
    </w:p>
    <w:p>
      <w:pPr>
        <w:spacing w:before="40" w:after="120" w:line="240" w:lineRule="auto"/>
        <w:ind w:firstLine="0" w:left="0"/>
        <w:jc w:val="left"/>
      </w:pPr>
      <w:r>
        <w:rPr>
          <w:rFonts w:ascii="Arial" w:hAnsi="Arial"/>
          <w:color w:val="333333"/>
          <w:sz w:val="19"/>
        </w:rPr>
        <w:t>PARÁ. Instituto de Desenvolvimento Florestal e da Biodiversidade do Estado do Pará (IDEFLOR-Bio). Base Cartográfica Oficial das Unidades de Conservação Estaduais do Pará. Belém: DGMUC/NGEO, 2026.</w:t>
      </w:r>
    </w:p>
    <w:p>
      <w:pPr>
        <w:spacing w:before="280" w:after="0"/>
        <w:ind w:firstLine="0"/>
      </w:pPr>
    </w:p>
    <w:p>
      <w:pPr>
        <w:keepNext/>
        <w:spacing w:before="120" w:after="40" w:line="276" w:lineRule="auto"/>
        <w:ind w:firstLine="0"/>
        <w:jc w:val="center"/>
      </w:pPr>
      <w:r>
        <w:rPr>
          <w:rFonts w:ascii="Arial" w:hAnsi="Arial"/>
          <w:b/>
          <w:color w:val="1B2631"/>
          <w:sz w:val="22"/>
        </w:rPr>
        <w:t>SAMUEL DA COSTA DOS SANTOS</w:t>
        <w:br/>
      </w:r>
      <w:r>
        <w:rPr>
          <w:rFonts w:ascii="Arial" w:hAnsi="Arial"/>
          <w:color w:val="333333"/>
          <w:sz w:val="20"/>
        </w:rPr>
        <w:t>Coordenador do Núcleo de Geotecnologias – NGEO</w:t>
        <w:br/>
        <w:t>Instituto de Desenvolvimento Florestal e da Biodiversidade do Estado do Pará – IDEFLOR-Bio</w:t>
      </w:r>
    </w:p>
    <w:p>
      <w:r>
        <w:br w:type="page"/>
      </w:r>
    </w:p>
    <w:p>
      <w:pPr>
        <w:keepNext/>
        <w:spacing w:before="240" w:after="80" w:line="276" w:lineRule="auto"/>
        <w:ind w:firstLine="0" w:left="0"/>
        <w:jc w:val="left"/>
      </w:pPr>
      <w:r>
        <w:rPr>
          <w:rFonts w:ascii="Arial" w:hAnsi="Arial"/>
          <w:b/>
          <w:color w:val="1B2631"/>
          <w:sz w:val="24"/>
        </w:rPr>
        <w:t>APÊNDICE A – Relação Nominal e Coordenadas Geográficas dos Focos Detectados</w:t>
      </w:r>
    </w:p>
    <w:p>
      <w:pPr>
        <w:spacing w:before="0" w:after="120" w:line="360" w:lineRule="auto"/>
        <w:ind w:firstLine="850"/>
        <w:jc w:val="both"/>
      </w:pPr>
      <w:r>
        <w:rPr>
          <w:rFonts w:ascii="Arial" w:hAnsi="Arial"/>
          <w:b w:val="0"/>
          <w:i w:val="0"/>
          <w:color w:val="222222"/>
          <w:sz w:val="24"/>
        </w:rPr>
        <w:t>A tabela a seguir discrimina a totalidade dos 73 focos de calor registrados no polígono da Reserva de Desenvolvimento Sustentável Vitória de Souzel durante o período de monitoramento (2026-09-30 a 2026-10-30), fornecendo as coordenadas geodésicas (SIRGAS 2000), o satélite detector, o município de incidência e a Potência Radiativa do Fogo (FRP), constituindo subsídio direto para inserção em receptores GPS e navegação das equipes de campo:</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576"/>
            <w:shd w:fill="EAEDED"/>
            <w:tcMar>
              <w:top w:w="60" w:type="dxa"/>
              <w:bottom w:w="60" w:type="dxa"/>
              <w:left w:w="60" w:type="dxa"/>
              <w:right w:w="60" w:type="dxa"/>
            </w:tcMar>
          </w:tcPr>
          <w:p>
            <w:pPr>
              <w:spacing w:line="240" w:lineRule="auto"/>
              <w:ind w:firstLine="0"/>
              <w:jc w:val="center"/>
            </w:pPr>
            <w:r>
              <w:rPr>
                <w:rFonts w:ascii="Arial" w:hAnsi="Arial"/>
                <w:b/>
                <w:sz w:val="17"/>
              </w:rPr>
              <w:t>Nº</w:t>
            </w:r>
          </w:p>
        </w:tc>
        <w:tc>
          <w:tcPr>
            <w:tcW w:type="dxa" w:w="1872"/>
            <w:shd w:fill="EAEDED"/>
            <w:tcMar>
              <w:top w:w="60" w:type="dxa"/>
              <w:bottom w:w="60" w:type="dxa"/>
              <w:left w:w="60" w:type="dxa"/>
              <w:right w:w="60" w:type="dxa"/>
            </w:tcMar>
          </w:tcPr>
          <w:p>
            <w:pPr>
              <w:spacing w:line="240" w:lineRule="auto"/>
              <w:ind w:firstLine="0"/>
              <w:jc w:val="center"/>
            </w:pPr>
            <w:r>
              <w:rPr>
                <w:rFonts w:ascii="Arial" w:hAnsi="Arial"/>
                <w:b/>
                <w:sz w:val="17"/>
              </w:rPr>
              <w:t>Data/Hora (GMT)</w:t>
            </w:r>
          </w:p>
        </w:tc>
        <w:tc>
          <w:tcPr>
            <w:tcW w:type="dxa" w:w="1440"/>
            <w:shd w:fill="EAEDED"/>
            <w:tcMar>
              <w:top w:w="60" w:type="dxa"/>
              <w:bottom w:w="60" w:type="dxa"/>
              <w:left w:w="60" w:type="dxa"/>
              <w:right w:w="60" w:type="dxa"/>
            </w:tcMar>
          </w:tcPr>
          <w:p>
            <w:pPr>
              <w:spacing w:line="240" w:lineRule="auto"/>
              <w:ind w:firstLine="0"/>
              <w:jc w:val="center"/>
            </w:pPr>
            <w:r>
              <w:rPr>
                <w:rFonts w:ascii="Arial" w:hAnsi="Arial"/>
                <w:b/>
                <w:sz w:val="17"/>
              </w:rPr>
              <w:t>Latitude</w:t>
            </w:r>
          </w:p>
        </w:tc>
        <w:tc>
          <w:tcPr>
            <w:tcW w:type="dxa" w:w="1440"/>
            <w:shd w:fill="EAEDED"/>
            <w:tcMar>
              <w:top w:w="60" w:type="dxa"/>
              <w:bottom w:w="60" w:type="dxa"/>
              <w:left w:w="60" w:type="dxa"/>
              <w:right w:w="60" w:type="dxa"/>
            </w:tcMar>
          </w:tcPr>
          <w:p>
            <w:pPr>
              <w:spacing w:line="240" w:lineRule="auto"/>
              <w:ind w:firstLine="0"/>
              <w:jc w:val="center"/>
            </w:pPr>
            <w:r>
              <w:rPr>
                <w:rFonts w:ascii="Arial" w:hAnsi="Arial"/>
                <w:b/>
                <w:sz w:val="17"/>
              </w:rPr>
              <w:t>Longitude</w:t>
            </w:r>
          </w:p>
        </w:tc>
        <w:tc>
          <w:tcPr>
            <w:tcW w:type="dxa" w:w="1440"/>
            <w:shd w:fill="EAEDED"/>
            <w:tcMar>
              <w:top w:w="60" w:type="dxa"/>
              <w:bottom w:w="60" w:type="dxa"/>
              <w:left w:w="60" w:type="dxa"/>
              <w:right w:w="60" w:type="dxa"/>
            </w:tcMar>
          </w:tcPr>
          <w:p>
            <w:pPr>
              <w:spacing w:line="240" w:lineRule="auto"/>
              <w:ind w:firstLine="0"/>
              <w:jc w:val="center"/>
            </w:pPr>
            <w:r>
              <w:rPr>
                <w:rFonts w:ascii="Arial" w:hAnsi="Arial"/>
                <w:b/>
                <w:sz w:val="17"/>
              </w:rPr>
              <w:t>Satélite</w:t>
            </w:r>
          </w:p>
        </w:tc>
        <w:tc>
          <w:tcPr>
            <w:tcW w:type="dxa" w:w="1152"/>
            <w:shd w:fill="EAEDED"/>
            <w:tcMar>
              <w:top w:w="60" w:type="dxa"/>
              <w:bottom w:w="60" w:type="dxa"/>
              <w:left w:w="60" w:type="dxa"/>
              <w:right w:w="60" w:type="dxa"/>
            </w:tcMar>
          </w:tcPr>
          <w:p>
            <w:pPr>
              <w:spacing w:line="240" w:lineRule="auto"/>
              <w:ind w:firstLine="0"/>
              <w:jc w:val="center"/>
            </w:pPr>
            <w:r>
              <w:rPr>
                <w:rFonts w:ascii="Arial" w:hAnsi="Arial"/>
                <w:b/>
                <w:sz w:val="17"/>
              </w:rPr>
              <w:t>FRP (MW)</w:t>
            </w:r>
          </w:p>
        </w:tc>
        <w:tc>
          <w:tcPr>
            <w:tcW w:type="dxa" w:w="1584"/>
            <w:shd w:fill="EAEDED"/>
            <w:tcMar>
              <w:top w:w="60" w:type="dxa"/>
              <w:bottom w:w="60" w:type="dxa"/>
              <w:left w:w="60" w:type="dxa"/>
              <w:right w:w="60" w:type="dxa"/>
            </w:tcMar>
          </w:tcPr>
          <w:p>
            <w:pPr>
              <w:spacing w:line="240" w:lineRule="auto"/>
              <w:ind w:firstLine="0"/>
              <w:jc w:val="center"/>
            </w:pPr>
            <w:r>
              <w:rPr>
                <w:rFonts w:ascii="Arial" w:hAnsi="Arial"/>
                <w:b/>
                <w:sz w:val="17"/>
              </w:rPr>
              <w:t>Município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20/10/2026 17:37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-2.84404°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-51.96443°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12.9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20/10/2026 16:58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-2.84765°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-51.99658°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3.6</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19/10/2026 04:38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-2.84580°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-51.99790°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17/10/2026 17:11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-2.84803°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-51.96511°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13.9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17/10/2026 17:11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-2.82379°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-51.94855°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6.0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17/10/2026 17:11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-2.84829°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-51.96556°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12.7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17/10/2026 16:52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-2.84766°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-51.96652°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6.8</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15/10/2026 17:30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-2.82487°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-51.93003°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5.6</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15/10/2026 16:52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-2.82380°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-51.92954°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-2.83689°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-51.93703°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-2.83635°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-51.93350°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24.1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-2.82459°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-51.94613°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-2.83689°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-51.93704°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-2.84895°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-51.99296°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4.9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-2.83744°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-51.94057°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-2.83409°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-51.94107°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-2.83020°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-51.93805°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8.9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-2.82179°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-51.95017°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-2.82179°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-51.95016°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-2.83354°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-51.93755°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-2.83074°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-51.94158°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8.9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16:07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-2.83786°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-51.93544°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16:07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-2.82258°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-51.94949°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16:07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-2.82259°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-51.94950°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5.0</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07:12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-2.82749°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-51.94167°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AQUA_M-M</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05:46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-2.83534°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-51.94096°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1.3</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05:46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-2.82933°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-51.94003°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05:10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-2.82812°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-51.94204°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05:10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-2.83210°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-51.94265°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2.7</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04:25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-2.82733°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-51.94406°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04:25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-2.82063°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-51.95417°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4.3</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04:25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-2.83223°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-51.94489°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1.8</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01:05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-2.82230°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-51.94340°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METOP-C</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01:05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-2.82460°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-51.95290°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METOP-C</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01:05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-2.83210°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-51.94120°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METOP-C</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-2.82769°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-51.95013°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-2.84801°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-51.99604°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13.0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-2.82342°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-51.95081°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-2.82278°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-51.94680°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-2.82706°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-51.94611°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-2.82405°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-51.95481°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23.2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-2.84793°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-51.99543°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18.4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-2.84594°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-51.99648°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5.8</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-2.82232°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-51.95365°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74.2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-2.82566°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-51.95315°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74.2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-2.82286°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-51.95714°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7.2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-2.82387°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-51.95377°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55.3</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-2.81933°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-51.95441°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9.9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-2.84896°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-51.99706°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7.2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-2.82318°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-51.94921°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55.3</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05:27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-2.82029°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-51.95794°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05:27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-2.82082°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-51.95437°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-2.84624°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-51.99701°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3.2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-2.82333°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-51.95491°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-2.81972°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-51.95433°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-51.95849°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1.1</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-2.82266°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-51.95907°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04:25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-2.82223°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-51.95653°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4.1</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04:25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-2.82286°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-51.95281°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2.5</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17:43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-51.95241°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8.0</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10/10/2026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-2.82033°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-51.95209°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9.9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-2.82106°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-51.95671°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9.9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10/10/2026 05:04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-2.82014°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-51.95749°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05:04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-2.81618°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-51.96058°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10/10/2026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-2.81896°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-51.95591°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2.8</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04:44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-2.81915°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-51.95655°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2.3</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09/10/2026 17:41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-2.81649°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-51.95801°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4.6</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09/10/2026 17:41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-2.82173°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-51.95721°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4.6</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09/10/2026 17:41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-2.82121°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-51.95406°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10.0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70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08/10/2026 16:39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-2.82272°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-51.95797°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2.5</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71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08/10/2026 16:39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-2.81864°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-51.95857°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4.7</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72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07/10/2026 16:58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-2.81938°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-51.96019°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15.0</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73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06/10/2026 16:22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-2.74453°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-52.05455°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10.0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bl>
    <w:sectPr w:rsidR="00124FAA" w:rsidRPr="00A91CE5" w:rsidSect="00CC5469">
      <w:headerReference w:type="default" r:id="rId8"/>
      <w:pgSz w:w="11906" w:h="16838"/>
      <w:pgMar w:top="1699" w:right="1138" w:bottom="1138" w:left="169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AF386" w14:textId="77777777" w:rsidR="00641348" w:rsidRDefault="00641348" w:rsidP="00DD51E9">
      <w:pPr>
        <w:spacing w:after="0" w:line="240" w:lineRule="auto"/>
      </w:pPr>
      <w:r>
        <w:separator/>
      </w:r>
    </w:p>
  </w:endnote>
  <w:endnote w:type="continuationSeparator" w:id="0">
    <w:p w14:paraId="3AB2A824" w14:textId="77777777" w:rsidR="00641348" w:rsidRDefault="00641348" w:rsidP="00DD5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67E5" w14:textId="77777777" w:rsidR="00641348" w:rsidRDefault="00641348" w:rsidP="00DD51E9">
      <w:pPr>
        <w:spacing w:after="0" w:line="240" w:lineRule="auto"/>
      </w:pPr>
      <w:r>
        <w:separator/>
      </w:r>
    </w:p>
  </w:footnote>
  <w:footnote w:type="continuationSeparator" w:id="0">
    <w:p w14:paraId="0D7CA7F1" w14:textId="77777777" w:rsidR="00641348" w:rsidRDefault="00641348" w:rsidP="00DD5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1A9E" w14:textId="57370A3F" w:rsidR="00DD51E9" w:rsidRDefault="00DD51E9">
    <w:pPr>
      <w:pStyle w:val="Cabealho"/>
    </w:pPr>
    <w:r>
      <w:rPr>
        <w:noProof/>
      </w:rPr>
      <w:drawing>
        <wp:anchor distT="0" distB="0" distL="114300" distR="114300" simplePos="0" relativeHeight="251659264" behindDoc="0" locked="0" layoutInCell="1" allowOverlap="1" wp14:anchorId="7C0F863E" wp14:editId="39865EB5">
          <wp:simplePos x="0" y="0"/>
          <wp:positionH relativeFrom="margin">
            <wp:align>center</wp:align>
          </wp:positionH>
          <wp:positionV relativeFrom="paragraph">
            <wp:posOffset>9525</wp:posOffset>
          </wp:positionV>
          <wp:extent cx="1791970" cy="431800"/>
          <wp:effectExtent l="0" t="0" r="0" b="6350"/>
          <wp:wrapNone/>
          <wp:docPr id="53534794"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4794" name="Imagem 1" descr="Tex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197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51E9">
      <w:t xml:space="preserve"> </w:t>
    </w:r>
  </w:p>
  <w:p w14:paraId="5D911C74" w14:textId="77777777" w:rsidR="00DD51E9" w:rsidRDefault="00DD51E9">
    <w:pPr>
      <w:pStyle w:val="Cabealho"/>
    </w:pPr>
  </w:p>
  <w:p w14:paraId="22FD6E0D" w14:textId="77777777" w:rsidR="00DD51E9" w:rsidRDefault="00000000">
    <w:pPr>
      <w:pStyle w:val="Cabealho"/>
    </w:pPr>
    <w:r>
      <w:pict w14:anchorId="5ECB8D63">
        <v:rect id="_x0000_i1025" style="width:453.5pt;height:1.5pt" o:hralign="center" o:hrstd="t" o:hrnoshade="t" o:hr="t" fillcolor="#4ea72e [3209]" stroked="f"/>
      </w:pict>
    </w:r>
  </w:p>
  <w:p w14:paraId="6F73AF61" w14:textId="77777777" w:rsidR="00DD51E9" w:rsidRDefault="00DD51E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77D"/>
    <w:multiLevelType w:val="multilevel"/>
    <w:tmpl w:val="F67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80AA8"/>
    <w:multiLevelType w:val="multilevel"/>
    <w:tmpl w:val="DD2A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46C02"/>
    <w:multiLevelType w:val="multilevel"/>
    <w:tmpl w:val="887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73D2"/>
    <w:multiLevelType w:val="multilevel"/>
    <w:tmpl w:val="316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0044F"/>
    <w:multiLevelType w:val="hybridMultilevel"/>
    <w:tmpl w:val="28745F14"/>
    <w:lvl w:ilvl="0" w:tplc="0416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2016868"/>
    <w:multiLevelType w:val="multilevel"/>
    <w:tmpl w:val="4F5E4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17107"/>
    <w:multiLevelType w:val="hybridMultilevel"/>
    <w:tmpl w:val="F68AB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ED06F9"/>
    <w:multiLevelType w:val="multilevel"/>
    <w:tmpl w:val="4DA2D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829DF"/>
    <w:multiLevelType w:val="multilevel"/>
    <w:tmpl w:val="283CF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82C40"/>
    <w:multiLevelType w:val="multilevel"/>
    <w:tmpl w:val="8AE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32342"/>
    <w:multiLevelType w:val="multilevel"/>
    <w:tmpl w:val="ACA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785B"/>
    <w:multiLevelType w:val="multilevel"/>
    <w:tmpl w:val="03644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33D5B"/>
    <w:multiLevelType w:val="multilevel"/>
    <w:tmpl w:val="17F2E4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7398661A"/>
    <w:multiLevelType w:val="hybridMultilevel"/>
    <w:tmpl w:val="4C6AE9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4037F0"/>
    <w:multiLevelType w:val="multilevel"/>
    <w:tmpl w:val="871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31978"/>
    <w:multiLevelType w:val="hybridMultilevel"/>
    <w:tmpl w:val="81F28BD8"/>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010328389">
    <w:abstractNumId w:val="8"/>
  </w:num>
  <w:num w:numId="2" w16cid:durableId="1311716663">
    <w:abstractNumId w:val="0"/>
  </w:num>
  <w:num w:numId="3" w16cid:durableId="2019647848">
    <w:abstractNumId w:val="7"/>
  </w:num>
  <w:num w:numId="4" w16cid:durableId="547570060">
    <w:abstractNumId w:val="1"/>
  </w:num>
  <w:num w:numId="5" w16cid:durableId="1076242943">
    <w:abstractNumId w:val="9"/>
  </w:num>
  <w:num w:numId="6" w16cid:durableId="1377510879">
    <w:abstractNumId w:val="10"/>
  </w:num>
  <w:num w:numId="7" w16cid:durableId="2088767181">
    <w:abstractNumId w:val="2"/>
  </w:num>
  <w:num w:numId="8" w16cid:durableId="1262642132">
    <w:abstractNumId w:val="12"/>
  </w:num>
  <w:num w:numId="9" w16cid:durableId="152795507">
    <w:abstractNumId w:val="13"/>
  </w:num>
  <w:num w:numId="10" w16cid:durableId="1572303659">
    <w:abstractNumId w:val="15"/>
  </w:num>
  <w:num w:numId="11" w16cid:durableId="2000378506">
    <w:abstractNumId w:val="4"/>
  </w:num>
  <w:num w:numId="12" w16cid:durableId="1951666407">
    <w:abstractNumId w:val="5"/>
  </w:num>
  <w:num w:numId="13" w16cid:durableId="1258173951">
    <w:abstractNumId w:val="6"/>
  </w:num>
  <w:num w:numId="14" w16cid:durableId="1192840463">
    <w:abstractNumId w:val="11"/>
  </w:num>
  <w:num w:numId="15" w16cid:durableId="529338206">
    <w:abstractNumId w:val="14"/>
  </w:num>
  <w:num w:numId="16" w16cid:durableId="1088191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80"/>
    <w:rsid w:val="0001257F"/>
    <w:rsid w:val="00025F48"/>
    <w:rsid w:val="001170DB"/>
    <w:rsid w:val="00124FAA"/>
    <w:rsid w:val="00140169"/>
    <w:rsid w:val="001B1680"/>
    <w:rsid w:val="00251D8C"/>
    <w:rsid w:val="003311C5"/>
    <w:rsid w:val="003C251A"/>
    <w:rsid w:val="003D32B6"/>
    <w:rsid w:val="003E6A0A"/>
    <w:rsid w:val="0041764F"/>
    <w:rsid w:val="00493EF2"/>
    <w:rsid w:val="00552BBF"/>
    <w:rsid w:val="00593B21"/>
    <w:rsid w:val="006135D2"/>
    <w:rsid w:val="006161FF"/>
    <w:rsid w:val="00630200"/>
    <w:rsid w:val="00641348"/>
    <w:rsid w:val="0064269A"/>
    <w:rsid w:val="00647C15"/>
    <w:rsid w:val="0068485F"/>
    <w:rsid w:val="006D59CA"/>
    <w:rsid w:val="007016DE"/>
    <w:rsid w:val="00706DCB"/>
    <w:rsid w:val="007C02B9"/>
    <w:rsid w:val="00805FE9"/>
    <w:rsid w:val="008624CE"/>
    <w:rsid w:val="008D2E2A"/>
    <w:rsid w:val="008D48ED"/>
    <w:rsid w:val="008D5621"/>
    <w:rsid w:val="0090704F"/>
    <w:rsid w:val="009555BE"/>
    <w:rsid w:val="00963B3A"/>
    <w:rsid w:val="00975891"/>
    <w:rsid w:val="009856BB"/>
    <w:rsid w:val="009B05F7"/>
    <w:rsid w:val="009D6458"/>
    <w:rsid w:val="009E0CD7"/>
    <w:rsid w:val="009F1AA0"/>
    <w:rsid w:val="00A17439"/>
    <w:rsid w:val="00A2191E"/>
    <w:rsid w:val="00A3230D"/>
    <w:rsid w:val="00A6063F"/>
    <w:rsid w:val="00A650B5"/>
    <w:rsid w:val="00A740E6"/>
    <w:rsid w:val="00A91CE5"/>
    <w:rsid w:val="00AC7575"/>
    <w:rsid w:val="00AD32D7"/>
    <w:rsid w:val="00AE0192"/>
    <w:rsid w:val="00BE0876"/>
    <w:rsid w:val="00CC5469"/>
    <w:rsid w:val="00DD51E9"/>
    <w:rsid w:val="00E244A7"/>
    <w:rsid w:val="00E4767D"/>
    <w:rsid w:val="00EC5D9C"/>
    <w:rsid w:val="00F174C7"/>
    <w:rsid w:val="00F22AD8"/>
    <w:rsid w:val="00F4631D"/>
    <w:rsid w:val="00F65E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38B95"/>
  <w15:chartTrackingRefBased/>
  <w15:docId w15:val="{570399A7-B50C-4FAB-960D-6B3E7C49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B21"/>
  </w:style>
  <w:style w:type="paragraph" w:styleId="Ttulo1">
    <w:name w:val="heading 1"/>
    <w:basedOn w:val="Normal"/>
    <w:next w:val="Normal"/>
    <w:link w:val="Ttulo1Char"/>
    <w:uiPriority w:val="9"/>
    <w:qFormat/>
    <w:rsid w:val="001B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B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B16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B16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B16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B16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16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16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168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168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B168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B168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B168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B168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B168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168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168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1680"/>
    <w:rPr>
      <w:rFonts w:eastAsiaTheme="majorEastAsia" w:cstheme="majorBidi"/>
      <w:color w:val="272727" w:themeColor="text1" w:themeTint="D8"/>
    </w:rPr>
  </w:style>
  <w:style w:type="paragraph" w:styleId="Ttulo">
    <w:name w:val="Title"/>
    <w:basedOn w:val="Normal"/>
    <w:next w:val="Normal"/>
    <w:link w:val="TtuloChar"/>
    <w:uiPriority w:val="10"/>
    <w:qFormat/>
    <w:rsid w:val="001B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16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168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168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1680"/>
    <w:pPr>
      <w:spacing w:before="160"/>
      <w:jc w:val="center"/>
    </w:pPr>
    <w:rPr>
      <w:i/>
      <w:iCs/>
      <w:color w:val="404040" w:themeColor="text1" w:themeTint="BF"/>
    </w:rPr>
  </w:style>
  <w:style w:type="character" w:customStyle="1" w:styleId="CitaoChar">
    <w:name w:val="Citação Char"/>
    <w:basedOn w:val="Fontepargpadro"/>
    <w:link w:val="Citao"/>
    <w:uiPriority w:val="29"/>
    <w:rsid w:val="001B1680"/>
    <w:rPr>
      <w:i/>
      <w:iCs/>
      <w:color w:val="404040" w:themeColor="text1" w:themeTint="BF"/>
    </w:rPr>
  </w:style>
  <w:style w:type="paragraph" w:styleId="PargrafodaLista">
    <w:name w:val="List Paragraph"/>
    <w:basedOn w:val="Normal"/>
    <w:uiPriority w:val="34"/>
    <w:qFormat/>
    <w:rsid w:val="001B1680"/>
    <w:pPr>
      <w:ind w:left="720"/>
      <w:contextualSpacing/>
    </w:pPr>
  </w:style>
  <w:style w:type="character" w:styleId="nfaseIntensa">
    <w:name w:val="Intense Emphasis"/>
    <w:basedOn w:val="Fontepargpadro"/>
    <w:uiPriority w:val="21"/>
    <w:qFormat/>
    <w:rsid w:val="001B1680"/>
    <w:rPr>
      <w:i/>
      <w:iCs/>
      <w:color w:val="0F4761" w:themeColor="accent1" w:themeShade="BF"/>
    </w:rPr>
  </w:style>
  <w:style w:type="paragraph" w:styleId="CitaoIntensa">
    <w:name w:val="Intense Quote"/>
    <w:basedOn w:val="Normal"/>
    <w:next w:val="Normal"/>
    <w:link w:val="CitaoIntensaChar"/>
    <w:uiPriority w:val="30"/>
    <w:qFormat/>
    <w:rsid w:val="001B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B1680"/>
    <w:rPr>
      <w:i/>
      <w:iCs/>
      <w:color w:val="0F4761" w:themeColor="accent1" w:themeShade="BF"/>
    </w:rPr>
  </w:style>
  <w:style w:type="character" w:styleId="RefernciaIntensa">
    <w:name w:val="Intense Reference"/>
    <w:basedOn w:val="Fontepargpadro"/>
    <w:uiPriority w:val="32"/>
    <w:qFormat/>
    <w:rsid w:val="001B1680"/>
    <w:rPr>
      <w:b/>
      <w:bCs/>
      <w:smallCaps/>
      <w:color w:val="0F4761" w:themeColor="accent1" w:themeShade="BF"/>
      <w:spacing w:val="5"/>
    </w:rPr>
  </w:style>
  <w:style w:type="character" w:styleId="TextodoEspaoReservado">
    <w:name w:val="Placeholder Text"/>
    <w:basedOn w:val="Fontepargpadro"/>
    <w:uiPriority w:val="99"/>
    <w:semiHidden/>
    <w:rsid w:val="001170DB"/>
    <w:rPr>
      <w:color w:val="666666"/>
    </w:rPr>
  </w:style>
  <w:style w:type="table" w:styleId="Tabelacomgrade">
    <w:name w:val="Table Grid"/>
    <w:basedOn w:val="Tabelanormal"/>
    <w:uiPriority w:val="39"/>
    <w:rsid w:val="006D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3-nfase6">
    <w:name w:val="List Table 3 Accent 6"/>
    <w:basedOn w:val="Tabelanormal"/>
    <w:uiPriority w:val="48"/>
    <w:rsid w:val="00CC546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Cabealho">
    <w:name w:val="header"/>
    <w:basedOn w:val="Normal"/>
    <w:link w:val="CabealhoChar"/>
    <w:uiPriority w:val="99"/>
    <w:unhideWhenUsed/>
    <w:rsid w:val="00DD51E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D51E9"/>
  </w:style>
  <w:style w:type="paragraph" w:styleId="Rodap">
    <w:name w:val="footer"/>
    <w:basedOn w:val="Normal"/>
    <w:link w:val="RodapChar"/>
    <w:uiPriority w:val="99"/>
    <w:unhideWhenUsed/>
    <w:rsid w:val="00DD51E9"/>
    <w:pPr>
      <w:tabs>
        <w:tab w:val="center" w:pos="4252"/>
        <w:tab w:val="right" w:pos="8504"/>
      </w:tabs>
      <w:spacing w:after="0" w:line="240" w:lineRule="auto"/>
    </w:pPr>
  </w:style>
  <w:style w:type="character" w:customStyle="1" w:styleId="RodapChar">
    <w:name w:val="Rodapé Char"/>
    <w:basedOn w:val="Fontepargpadro"/>
    <w:link w:val="Rodap"/>
    <w:uiPriority w:val="99"/>
    <w:rsid w:val="00DD5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9652">
      <w:bodyDiv w:val="1"/>
      <w:marLeft w:val="0"/>
      <w:marRight w:val="0"/>
      <w:marTop w:val="0"/>
      <w:marBottom w:val="0"/>
      <w:divBdr>
        <w:top w:val="none" w:sz="0" w:space="0" w:color="auto"/>
        <w:left w:val="none" w:sz="0" w:space="0" w:color="auto"/>
        <w:bottom w:val="none" w:sz="0" w:space="0" w:color="auto"/>
        <w:right w:val="none" w:sz="0" w:space="0" w:color="auto"/>
      </w:divBdr>
      <w:divsChild>
        <w:div w:id="37639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97132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27884">
      <w:bodyDiv w:val="1"/>
      <w:marLeft w:val="0"/>
      <w:marRight w:val="0"/>
      <w:marTop w:val="0"/>
      <w:marBottom w:val="0"/>
      <w:divBdr>
        <w:top w:val="none" w:sz="0" w:space="0" w:color="auto"/>
        <w:left w:val="none" w:sz="0" w:space="0" w:color="auto"/>
        <w:bottom w:val="none" w:sz="0" w:space="0" w:color="auto"/>
        <w:right w:val="none" w:sz="0" w:space="0" w:color="auto"/>
      </w:divBdr>
    </w:div>
    <w:div w:id="104738425">
      <w:bodyDiv w:val="1"/>
      <w:marLeft w:val="0"/>
      <w:marRight w:val="0"/>
      <w:marTop w:val="0"/>
      <w:marBottom w:val="0"/>
      <w:divBdr>
        <w:top w:val="none" w:sz="0" w:space="0" w:color="auto"/>
        <w:left w:val="none" w:sz="0" w:space="0" w:color="auto"/>
        <w:bottom w:val="none" w:sz="0" w:space="0" w:color="auto"/>
        <w:right w:val="none" w:sz="0" w:space="0" w:color="auto"/>
      </w:divBdr>
    </w:div>
    <w:div w:id="149761782">
      <w:bodyDiv w:val="1"/>
      <w:marLeft w:val="0"/>
      <w:marRight w:val="0"/>
      <w:marTop w:val="0"/>
      <w:marBottom w:val="0"/>
      <w:divBdr>
        <w:top w:val="none" w:sz="0" w:space="0" w:color="auto"/>
        <w:left w:val="none" w:sz="0" w:space="0" w:color="auto"/>
        <w:bottom w:val="none" w:sz="0" w:space="0" w:color="auto"/>
        <w:right w:val="none" w:sz="0" w:space="0" w:color="auto"/>
      </w:divBdr>
    </w:div>
    <w:div w:id="162015511">
      <w:bodyDiv w:val="1"/>
      <w:marLeft w:val="0"/>
      <w:marRight w:val="0"/>
      <w:marTop w:val="0"/>
      <w:marBottom w:val="0"/>
      <w:divBdr>
        <w:top w:val="none" w:sz="0" w:space="0" w:color="auto"/>
        <w:left w:val="none" w:sz="0" w:space="0" w:color="auto"/>
        <w:bottom w:val="none" w:sz="0" w:space="0" w:color="auto"/>
        <w:right w:val="none" w:sz="0" w:space="0" w:color="auto"/>
      </w:divBdr>
    </w:div>
    <w:div w:id="165479632">
      <w:bodyDiv w:val="1"/>
      <w:marLeft w:val="0"/>
      <w:marRight w:val="0"/>
      <w:marTop w:val="0"/>
      <w:marBottom w:val="0"/>
      <w:divBdr>
        <w:top w:val="none" w:sz="0" w:space="0" w:color="auto"/>
        <w:left w:val="none" w:sz="0" w:space="0" w:color="auto"/>
        <w:bottom w:val="none" w:sz="0" w:space="0" w:color="auto"/>
        <w:right w:val="none" w:sz="0" w:space="0" w:color="auto"/>
      </w:divBdr>
    </w:div>
    <w:div w:id="404423383">
      <w:bodyDiv w:val="1"/>
      <w:marLeft w:val="0"/>
      <w:marRight w:val="0"/>
      <w:marTop w:val="0"/>
      <w:marBottom w:val="0"/>
      <w:divBdr>
        <w:top w:val="none" w:sz="0" w:space="0" w:color="auto"/>
        <w:left w:val="none" w:sz="0" w:space="0" w:color="auto"/>
        <w:bottom w:val="none" w:sz="0" w:space="0" w:color="auto"/>
        <w:right w:val="none" w:sz="0" w:space="0" w:color="auto"/>
      </w:divBdr>
    </w:div>
    <w:div w:id="1020400567">
      <w:bodyDiv w:val="1"/>
      <w:marLeft w:val="0"/>
      <w:marRight w:val="0"/>
      <w:marTop w:val="0"/>
      <w:marBottom w:val="0"/>
      <w:divBdr>
        <w:top w:val="none" w:sz="0" w:space="0" w:color="auto"/>
        <w:left w:val="none" w:sz="0" w:space="0" w:color="auto"/>
        <w:bottom w:val="none" w:sz="0" w:space="0" w:color="auto"/>
        <w:right w:val="none" w:sz="0" w:space="0" w:color="auto"/>
      </w:divBdr>
    </w:div>
    <w:div w:id="1124739848">
      <w:bodyDiv w:val="1"/>
      <w:marLeft w:val="0"/>
      <w:marRight w:val="0"/>
      <w:marTop w:val="0"/>
      <w:marBottom w:val="0"/>
      <w:divBdr>
        <w:top w:val="none" w:sz="0" w:space="0" w:color="auto"/>
        <w:left w:val="none" w:sz="0" w:space="0" w:color="auto"/>
        <w:bottom w:val="none" w:sz="0" w:space="0" w:color="auto"/>
        <w:right w:val="none" w:sz="0" w:space="0" w:color="auto"/>
      </w:divBdr>
    </w:div>
    <w:div w:id="1195656801">
      <w:bodyDiv w:val="1"/>
      <w:marLeft w:val="0"/>
      <w:marRight w:val="0"/>
      <w:marTop w:val="0"/>
      <w:marBottom w:val="0"/>
      <w:divBdr>
        <w:top w:val="none" w:sz="0" w:space="0" w:color="auto"/>
        <w:left w:val="none" w:sz="0" w:space="0" w:color="auto"/>
        <w:bottom w:val="none" w:sz="0" w:space="0" w:color="auto"/>
        <w:right w:val="none" w:sz="0" w:space="0" w:color="auto"/>
      </w:divBdr>
    </w:div>
    <w:div w:id="1392265782">
      <w:bodyDiv w:val="1"/>
      <w:marLeft w:val="0"/>
      <w:marRight w:val="0"/>
      <w:marTop w:val="0"/>
      <w:marBottom w:val="0"/>
      <w:divBdr>
        <w:top w:val="none" w:sz="0" w:space="0" w:color="auto"/>
        <w:left w:val="none" w:sz="0" w:space="0" w:color="auto"/>
        <w:bottom w:val="none" w:sz="0" w:space="0" w:color="auto"/>
        <w:right w:val="none" w:sz="0" w:space="0" w:color="auto"/>
      </w:divBdr>
    </w:div>
    <w:div w:id="1546063064">
      <w:bodyDiv w:val="1"/>
      <w:marLeft w:val="0"/>
      <w:marRight w:val="0"/>
      <w:marTop w:val="0"/>
      <w:marBottom w:val="0"/>
      <w:divBdr>
        <w:top w:val="none" w:sz="0" w:space="0" w:color="auto"/>
        <w:left w:val="none" w:sz="0" w:space="0" w:color="auto"/>
        <w:bottom w:val="none" w:sz="0" w:space="0" w:color="auto"/>
        <w:right w:val="none" w:sz="0" w:space="0" w:color="auto"/>
      </w:divBdr>
      <w:divsChild>
        <w:div w:id="16852840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416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652897">
      <w:bodyDiv w:val="1"/>
      <w:marLeft w:val="0"/>
      <w:marRight w:val="0"/>
      <w:marTop w:val="0"/>
      <w:marBottom w:val="0"/>
      <w:divBdr>
        <w:top w:val="none" w:sz="0" w:space="0" w:color="auto"/>
        <w:left w:val="none" w:sz="0" w:space="0" w:color="auto"/>
        <w:bottom w:val="none" w:sz="0" w:space="0" w:color="auto"/>
        <w:right w:val="none" w:sz="0" w:space="0" w:color="auto"/>
      </w:divBdr>
    </w:div>
    <w:div w:id="1769495579">
      <w:bodyDiv w:val="1"/>
      <w:marLeft w:val="0"/>
      <w:marRight w:val="0"/>
      <w:marTop w:val="0"/>
      <w:marBottom w:val="0"/>
      <w:divBdr>
        <w:top w:val="none" w:sz="0" w:space="0" w:color="auto"/>
        <w:left w:val="none" w:sz="0" w:space="0" w:color="auto"/>
        <w:bottom w:val="none" w:sz="0" w:space="0" w:color="auto"/>
        <w:right w:val="none" w:sz="0" w:space="0" w:color="auto"/>
      </w:divBdr>
    </w:div>
    <w:div w:id="2003657385">
      <w:bodyDiv w:val="1"/>
      <w:marLeft w:val="0"/>
      <w:marRight w:val="0"/>
      <w:marTop w:val="0"/>
      <w:marBottom w:val="0"/>
      <w:divBdr>
        <w:top w:val="none" w:sz="0" w:space="0" w:color="auto"/>
        <w:left w:val="none" w:sz="0" w:space="0" w:color="auto"/>
        <w:bottom w:val="none" w:sz="0" w:space="0" w:color="auto"/>
        <w:right w:val="none" w:sz="0" w:space="0" w:color="auto"/>
      </w:divBdr>
    </w:div>
    <w:div w:id="2066490035">
      <w:bodyDiv w:val="1"/>
      <w:marLeft w:val="0"/>
      <w:marRight w:val="0"/>
      <w:marTop w:val="0"/>
      <w:marBottom w:val="0"/>
      <w:divBdr>
        <w:top w:val="none" w:sz="0" w:space="0" w:color="auto"/>
        <w:left w:val="none" w:sz="0" w:space="0" w:color="auto"/>
        <w:bottom w:val="none" w:sz="0" w:space="0" w:color="auto"/>
        <w:right w:val="none" w:sz="0" w:space="0" w:color="auto"/>
      </w:divBdr>
    </w:div>
    <w:div w:id="214611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022D0-985E-4B02-B1C1-8885AD439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425</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Santos</dc:creator>
  <cp:keywords/>
  <dc:description/>
  <cp:lastModifiedBy>Samuel Santos</cp:lastModifiedBy>
  <cp:revision>4</cp:revision>
  <cp:lastPrinted>2025-04-11T18:21:00Z</cp:lastPrinted>
  <dcterms:created xsi:type="dcterms:W3CDTF">2026-10-29T04:26:00Z</dcterms:created>
  <dcterms:modified xsi:type="dcterms:W3CDTF">2026-10-29T04:49:00Z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2025-03-24T17:09:09Z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d52c1a72-e071-48a5-8a2a-1c429f31c142</vt:lpwstr>
  </property>
  <property fmtid="{D5CDD505-2E9C-101B-9397-08002B2CF9AE}" pid="7" name="MSIP_Label_defa4170-0d19-0005-0004-bc88714345d2_ActionId">
    <vt:lpwstr>a16b7776-6720-402f-92a8-fd8c875ef136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