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/>
          <w:b/>
          <w:color w:val="1B2631"/>
          <w:sz w:val="26"/>
        </w:rPr>
        <w:t>RELATÓRIO TÉCNICO</w:t>
      </w:r>
    </w:p>
    <w:p>
      <w:pPr>
        <w:spacing w:before="0" w:after="280"/>
        <w:jc w:val="center"/>
      </w:pPr>
      <w:r>
        <w:rPr>
          <w:rFonts w:ascii="Arial" w:hAnsi="Arial"/>
          <w:b/>
          <w:color w:val="2C3E50"/>
          <w:sz w:val="22"/>
        </w:rPr>
        <w:t>Monitoramento de Focos de Calor e Severidade Espectral – Reserva de Desenvolvimento Sustentável Vitória de Souzel</w:t>
      </w:r>
    </w:p>
    <w:p>
      <w:pPr>
        <w:keepNext/>
        <w:spacing w:before="240" w:after="80" w:line="276" w:lineRule="auto"/>
        <w:jc w:val="left"/>
      </w:pPr>
      <w:r>
        <w:rPr>
          <w:rFonts w:ascii="Arial" w:hAnsi="Arial"/>
          <w:b/>
          <w:color w:val="1B2631"/>
          <w:sz w:val="24"/>
        </w:rPr>
        <w:t>1. Identificação do Documento</w:t>
      </w:r>
    </w:p>
    <w:p>
      <w:pPr>
        <w:spacing w:before="0" w:after="50" w:line="276" w:lineRule="auto"/>
        <w:jc w:val="left"/>
      </w:pPr>
      <w:r>
        <w:rPr>
          <w:rFonts w:ascii="Arial" w:hAnsi="Arial"/>
          <w:b/>
          <w:color w:val="1B2631"/>
          <w:sz w:val="22"/>
        </w:rPr>
        <w:t xml:space="preserve">• Instrumento Técnico: </w:t>
      </w:r>
      <w:r>
        <w:rPr>
          <w:rFonts w:ascii="Arial" w:hAnsi="Arial"/>
          <w:color w:val="333333"/>
          <w:sz w:val="22"/>
        </w:rPr>
        <w:t>Relatório de Monitoramento Operacional de Focos de Queimada</w:t>
      </w:r>
    </w:p>
    <w:p>
      <w:pPr>
        <w:spacing w:before="0" w:after="50" w:line="276" w:lineRule="auto"/>
        <w:jc w:val="left"/>
      </w:pPr>
      <w:r>
        <w:rPr>
          <w:rFonts w:ascii="Arial" w:hAnsi="Arial"/>
          <w:b/>
          <w:color w:val="1B2631"/>
          <w:sz w:val="22"/>
        </w:rPr>
        <w:t xml:space="preserve">• Origem / Metodologia: </w:t>
      </w:r>
      <w:r>
        <w:rPr>
          <w:rFonts w:ascii="Arial" w:hAnsi="Arial"/>
          <w:color w:val="333333"/>
          <w:sz w:val="22"/>
        </w:rPr>
        <w:t>Pipeline Integrado de Cartografia de Queimadas em UCs (NGEO / IDEFLOR-Bio)</w:t>
      </w:r>
    </w:p>
    <w:p>
      <w:pPr>
        <w:spacing w:before="0" w:after="50" w:line="276" w:lineRule="auto"/>
        <w:jc w:val="left"/>
      </w:pPr>
      <w:r>
        <w:rPr>
          <w:rFonts w:ascii="Arial" w:hAnsi="Arial"/>
          <w:b/>
          <w:color w:val="1B2631"/>
          <w:sz w:val="22"/>
        </w:rPr>
        <w:t xml:space="preserve">• Responsabilidade Técnica: </w:t>
      </w:r>
      <w:r>
        <w:rPr>
          <w:rFonts w:ascii="Arial" w:hAnsi="Arial"/>
          <w:color w:val="333333"/>
          <w:sz w:val="22"/>
        </w:rPr>
        <w:t>Samuel da Costa dos Santos – Coordenador do Núcleo de Geotecnologias (NGEO)</w:t>
      </w:r>
    </w:p>
    <w:p>
      <w:pPr>
        <w:spacing w:before="0" w:after="50" w:line="276" w:lineRule="auto"/>
        <w:jc w:val="left"/>
      </w:pPr>
      <w:r>
        <w:rPr>
          <w:rFonts w:ascii="Arial" w:hAnsi="Arial"/>
          <w:b/>
          <w:color w:val="1B2631"/>
          <w:sz w:val="22"/>
        </w:rPr>
        <w:t xml:space="preserve">• Unidade de Conservação: </w:t>
      </w:r>
      <w:r>
        <w:rPr>
          <w:rFonts w:ascii="Arial" w:hAnsi="Arial"/>
          <w:color w:val="333333"/>
          <w:sz w:val="22"/>
        </w:rPr>
        <w:t>Reserva de Desenvolvimento Sustentável Vitória de Souzel</w:t>
      </w:r>
    </w:p>
    <w:p>
      <w:pPr>
        <w:spacing w:before="0" w:after="50" w:line="276" w:lineRule="auto"/>
        <w:jc w:val="left"/>
      </w:pPr>
      <w:r>
        <w:rPr>
          <w:rFonts w:ascii="Arial" w:hAnsi="Arial"/>
          <w:b/>
          <w:color w:val="1B2631"/>
          <w:sz w:val="22"/>
        </w:rPr>
        <w:t xml:space="preserve">• Período de Análise: </w:t>
      </w:r>
      <w:r>
        <w:rPr>
          <w:rFonts w:ascii="Arial" w:hAnsi="Arial"/>
          <w:color w:val="333333"/>
          <w:sz w:val="22"/>
        </w:rPr>
        <w:t>30/09/2026 a 30/10/2026 (Janela dinâmica dos últimos 30 dias)</w:t>
      </w:r>
    </w:p>
    <w:p>
      <w:pPr>
        <w:spacing w:before="0" w:after="50" w:line="276" w:lineRule="auto"/>
        <w:jc w:val="left"/>
      </w:pPr>
      <w:r>
        <w:rPr>
          <w:rFonts w:ascii="Arial" w:hAnsi="Arial"/>
          <w:b/>
          <w:color w:val="1B2631"/>
          <w:sz w:val="22"/>
        </w:rPr>
        <w:t xml:space="preserve">• Data de Emissão: </w:t>
      </w:r>
      <w:r>
        <w:rPr>
          <w:rFonts w:ascii="Arial" w:hAnsi="Arial"/>
          <w:color w:val="333333"/>
          <w:sz w:val="22"/>
        </w:rPr>
        <w:t>30 de outubro de 2026</w:t>
      </w:r>
    </w:p>
    <w:p>
      <w:pPr>
        <w:keepNext/>
        <w:spacing w:before="240" w:after="80" w:line="276" w:lineRule="auto"/>
        <w:jc w:val="left"/>
      </w:pPr>
      <w:r>
        <w:rPr>
          <w:rFonts w:ascii="Arial" w:hAnsi="Arial"/>
          <w:b/>
          <w:color w:val="1B2631"/>
          <w:sz w:val="24"/>
        </w:rPr>
        <w:t>2. Finalidade e Objetivos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O presente relatório técnico tem por finalidade fornecer subsídios geoespaciais rápidos, objetivos e auditados para a tomada de decisão no âmbito da Diretoria de Gestão e Monitoramento de Unidades de Conservação (DGMUC), da Diretoria de Fiscalização Ambiental da SEMAS e de órgãos operacionais parceiros (Batalhão de Polícia Ambiental e Corpo de Bombeiros Militar do Pará).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O diagnóstico visa a identificar a cronologia, magnitude espacial e intensidade de focos de calor detectados no interior da Unidade de Conservação, correlacionando os registros do Programa BDQueimadas/INPE com a resposta espectral de severidade do dano à vegetação por imagens orbitais Sentinel-2 Harmonized. O documento subsidia o despacho tático de brigadas de prevenção e combate a incêndios florestais e orienta rotas prioritárias de fiscalização em campo.</w:t>
      </w:r>
    </w:p>
    <w:p>
      <w:pPr>
        <w:keepNext/>
        <w:spacing w:before="240" w:after="80" w:line="276" w:lineRule="auto"/>
        <w:jc w:val="left"/>
      </w:pPr>
      <w:r>
        <w:rPr>
          <w:rFonts w:ascii="Arial" w:hAnsi="Arial"/>
          <w:b/>
          <w:color w:val="1B2631"/>
          <w:sz w:val="24"/>
        </w:rPr>
        <w:t>3. Contextualização da Área de Estudo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A Reserva de Desenvolvimento Sustentável Vitória de Souzel integra o Sistema Estadual de Unidades de Conservação do Pará (SEUC/PA), sendo gerida pelo IDEFLOR-Bio com a missão de compatibilizar a conservação da biodiversidade com o uso sustentável dos recursos naturais pelas populações tradicionais residentes. A unidade abrange setores de expressiva relevância hidrológica e florestal, caracterizada por ecossistemas de floresta tropical densa entrecortados por canais fluviais e ilhas, estando sujeita a pressões sazonais de estiagem e queimadas antrópicas.</w:t>
      </w:r>
    </w:p>
    <w:p>
      <w:pPr>
        <w:keepNext/>
        <w:spacing w:before="240" w:after="80" w:line="276" w:lineRule="auto"/>
        <w:jc w:val="left"/>
      </w:pPr>
      <w:r>
        <w:rPr>
          <w:rFonts w:ascii="Arial" w:hAnsi="Arial"/>
          <w:b/>
          <w:color w:val="1B2631"/>
          <w:sz w:val="24"/>
        </w:rPr>
        <w:t>4. Procedimentos Metodológicos Realizados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Os procedimentos analíticos e cartográficos foram conduzidos no ambiente automatizado do Núcleo de Geotecnologias (NGEO), estruturado nas seguintes etapas encadeadas:</w:t>
      </w:r>
    </w:p>
    <w:p>
      <w:pPr>
        <w:spacing w:before="40" w:after="80" w:line="312" w:lineRule="auto"/>
        <w:jc w:val="both"/>
      </w:pPr>
      <w:r>
        <w:rPr>
          <w:rFonts w:ascii="Arial" w:hAnsi="Arial"/>
          <w:b/>
          <w:color w:val="1B2631"/>
          <w:sz w:val="22"/>
        </w:rPr>
        <w:t xml:space="preserve">4.1 Ingestão de Dados Oficiais de Focos: </w:t>
      </w:r>
      <w:r>
        <w:rPr>
          <w:rFonts w:ascii="Arial" w:hAnsi="Arial"/>
          <w:color w:val="333333"/>
          <w:sz w:val="22"/>
        </w:rPr>
        <w:t>Conexão direta ao dataserver oficial do INPE (Programa BDQueimadas), recuperando os focos diários e mensais detectados por múltiplos sensores orbitais (VIIRS a bordo do NOAA-20, NOAA-21 e Suomi-NPP; além do sensor MODIS a bordo do satélite Aqua).</w:t>
      </w:r>
    </w:p>
    <w:p>
      <w:pPr>
        <w:spacing w:before="40" w:after="80" w:line="312" w:lineRule="auto"/>
        <w:jc w:val="both"/>
      </w:pPr>
      <w:r>
        <w:rPr>
          <w:rFonts w:ascii="Arial" w:hAnsi="Arial"/>
          <w:b/>
          <w:color w:val="1B2631"/>
          <w:sz w:val="22"/>
        </w:rPr>
        <w:t xml:space="preserve">4.2 Filtragem Espacial e Segregação Temporal: </w:t>
      </w:r>
      <w:r>
        <w:rPr>
          <w:rFonts w:ascii="Arial" w:hAnsi="Arial"/>
          <w:color w:val="333333"/>
          <w:sz w:val="22"/>
        </w:rPr>
        <w:t>Intersecção topológica exata dos focos com o polígono homologado da Reserva de Desenvolvimento Sustentável Vitória de Souzel (base DGMUC/IDEFLOR-Bio). Segregação temporal entre focos do dia atual / última observação recente e focos acumulados anteriores, permitindo diferenciar frentes de queima ativas de cicatrizes já estabelecidas.</w:t>
      </w:r>
    </w:p>
    <w:p>
      <w:pPr>
        <w:spacing w:before="40" w:after="80" w:line="312" w:lineRule="auto"/>
        <w:jc w:val="both"/>
      </w:pPr>
      <w:r>
        <w:rPr>
          <w:rFonts w:ascii="Arial" w:hAnsi="Arial"/>
          <w:b/>
          <w:color w:val="1B2631"/>
          <w:sz w:val="22"/>
        </w:rPr>
        <w:t xml:space="preserve">4.3 Sensoriamento Remoto Orbital e Cálculo Espectral (Sentinel-2 Harmonized): </w:t>
      </w:r>
      <w:r>
        <w:rPr>
          <w:rFonts w:ascii="Arial" w:hAnsi="Arial"/>
          <w:color w:val="333333"/>
          <w:sz w:val="22"/>
        </w:rPr>
        <w:t>Processamento em nuvem no Google Earth Engine (GEE) de imagens orbitais Sentinel-2 com aplicação de máscaras de nuvens e cirrus (SCL classes 4, 5, 6 e QA60). Geração do índice Normalized Burn Ratio (NBR = (B8 - B12) / (B8 + B12)) com preservação estrita de corpos d'água via NDWI &gt; 0, eliminando ruídos térmicos em drenagens e rios.</w:t>
      </w:r>
    </w:p>
    <w:p>
      <w:pPr>
        <w:spacing w:before="40" w:after="80" w:line="312" w:lineRule="auto"/>
        <w:jc w:val="both"/>
      </w:pPr>
      <w:r>
        <w:rPr>
          <w:rFonts w:ascii="Arial" w:hAnsi="Arial"/>
          <w:b/>
          <w:color w:val="1B2631"/>
          <w:sz w:val="22"/>
        </w:rPr>
        <w:t xml:space="preserve">4.4 Diagramação Cartográfica Institucional: </w:t>
      </w:r>
      <w:r>
        <w:rPr>
          <w:rFonts w:ascii="Arial" w:hAnsi="Arial"/>
          <w:color w:val="333333"/>
          <w:sz w:val="22"/>
        </w:rPr>
        <w:t>Geração automatizada de pranchas em formato A4 Paisagem (297 x 210 mm) em alta resolução (300 DPI) em 3 escalas integradas: Detalhe da UC com mosaico orbital, Contexto Regional da Unidade e Macroestadual no Pará, conforme o padrão oficial do NGEO.</w:t>
      </w:r>
    </w:p>
    <w:p>
      <w:pPr>
        <w:keepNext/>
        <w:spacing w:before="240" w:after="80" w:line="276" w:lineRule="auto"/>
        <w:jc w:val="left"/>
      </w:pPr>
      <w:r>
        <w:rPr>
          <w:rFonts w:ascii="Arial" w:hAnsi="Arial"/>
          <w:b/>
          <w:color w:val="1B2631"/>
          <w:sz w:val="24"/>
        </w:rPr>
        <w:t>5. Resultados e Diagnóstico Espacial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No período avaliado (30/09/2026 a 30/10/2026), foram contabilizados 73 focos de calor incidentes no interior da Reserva de Desenvolvimento Sustentável Vitória de Souzel. Desse montante, 2 ocorrência(s) correspondem ao registro mais recente do monitoramento (20/10/2026), indicando potencial queima em andamento ou brasa residual, enquanto 71 focos referem-se ao acúmulo histórico ao longo dos dias anteriores.</w:t>
      </w:r>
    </w:p>
    <w:p>
      <w:pPr>
        <w:keepNext/>
        <w:spacing w:before="160" w:after="80" w:line="276" w:lineRule="auto"/>
        <w:jc w:val="left"/>
      </w:pPr>
      <w:r>
        <w:rPr>
          <w:rFonts w:ascii="Arial" w:hAnsi="Arial"/>
          <w:b/>
          <w:color w:val="1B2631"/>
          <w:sz w:val="23"/>
        </w:rPr>
        <w:t>5.1 Síntese Quantitativa dos Focos de Queimada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4"/>
        <w:gridCol w:w="4534"/>
      </w:tblGrid>
      <w:tr>
        <w:tc>
          <w:tcPr>
            <w:tcW w:type="dxa" w:w="4608"/>
            <w:tcMar>
              <w:top w:w="70" w:type="dxa"/>
              <w:bottom w:w="70" w:type="dxa"/>
              <w:left w:w="100" w:type="dxa"/>
              <w:right w:w="100" w:type="dxa"/>
            </w:tcMar>
            <w:shd w:fill="EAEDED"/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Parâmetro de Monitoramento</w:t>
            </w:r>
          </w:p>
        </w:tc>
        <w:tc>
          <w:tcPr>
            <w:tcW w:type="dxa" w:w="4896"/>
            <w:tcMar>
              <w:top w:w="70" w:type="dxa"/>
              <w:bottom w:w="70" w:type="dxa"/>
              <w:left w:w="100" w:type="dxa"/>
              <w:right w:w="100" w:type="dxa"/>
            </w:tcMar>
            <w:shd w:fill="EAEDED"/>
          </w:tcPr>
          <w:p>
            <w:pPr>
              <w:jc w:val="left"/>
            </w:pPr>
            <w:r>
              <w:rPr>
                <w:rFonts w:ascii="Arial" w:hAnsi="Arial"/>
                <w:b/>
                <w:sz w:val="19"/>
              </w:rPr>
              <w:t>Indicador Registrado</w:t>
            </w:r>
          </w:p>
        </w:tc>
      </w:tr>
      <w:tr>
        <w:tc>
          <w:tcPr>
            <w:tcW w:type="dxa" w:w="46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Unidade de Conservação Estadual</w:t>
            </w:r>
          </w:p>
        </w:tc>
        <w:tc>
          <w:tcPr>
            <w:tcW w:type="dxa" w:w="489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Reserva de Desenvolvimento Sustentável Vitória de Souzel</w:t>
            </w:r>
          </w:p>
        </w:tc>
      </w:tr>
      <w:tr>
        <w:tc>
          <w:tcPr>
            <w:tcW w:type="dxa" w:w="4608"/>
            <w:tcMar>
              <w:top w:w="70" w:type="dxa"/>
              <w:bottom w:w="70" w:type="dxa"/>
              <w:left w:w="100" w:type="dxa"/>
              <w:right w:w="100" w:type="dxa"/>
            </w:tcMar>
            <w:shd w:fill="F8F9F9"/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Total de Ocorrências no Período</w:t>
            </w:r>
          </w:p>
        </w:tc>
        <w:tc>
          <w:tcPr>
            <w:tcW w:type="dxa" w:w="4896"/>
            <w:tcMar>
              <w:top w:w="70" w:type="dxa"/>
              <w:bottom w:w="70" w:type="dxa"/>
              <w:left w:w="100" w:type="dxa"/>
              <w:right w:w="100" w:type="dxa"/>
            </w:tcMar>
            <w:shd w:fill="F8F9F9"/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73 focos de calor</w:t>
            </w:r>
          </w:p>
        </w:tc>
      </w:tr>
      <w:tr>
        <w:tc>
          <w:tcPr>
            <w:tcW w:type="dxa" w:w="46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Focos no Dia Mais Recente (20/10/2026)</w:t>
            </w:r>
          </w:p>
        </w:tc>
        <w:tc>
          <w:tcPr>
            <w:tcW w:type="dxa" w:w="489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2 focos (Frente ativa)</w:t>
            </w:r>
          </w:p>
        </w:tc>
      </w:tr>
      <w:tr>
        <w:tc>
          <w:tcPr>
            <w:tcW w:type="dxa" w:w="4608"/>
            <w:tcMar>
              <w:top w:w="70" w:type="dxa"/>
              <w:bottom w:w="70" w:type="dxa"/>
              <w:left w:w="100" w:type="dxa"/>
              <w:right w:w="100" w:type="dxa"/>
            </w:tcMar>
            <w:shd w:fill="F8F9F9"/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Focos Acumulados em Dias Anteriores</w:t>
            </w:r>
          </w:p>
        </w:tc>
        <w:tc>
          <w:tcPr>
            <w:tcW w:type="dxa" w:w="4896"/>
            <w:tcMar>
              <w:top w:w="70" w:type="dxa"/>
              <w:bottom w:w="70" w:type="dxa"/>
              <w:left w:w="100" w:type="dxa"/>
              <w:right w:w="100" w:type="dxa"/>
            </w:tcMar>
            <w:shd w:fill="F8F9F9"/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71 focos (Cicatrizes / Histórico)</w:t>
            </w:r>
          </w:p>
        </w:tc>
      </w:tr>
    </w:tbl>
    <w:p>
      <w:pPr>
        <w:spacing w:before="80" w:after="80"/>
      </w:pPr>
    </w:p>
    <w:p>
      <w:pPr>
        <w:keepNext/>
        <w:spacing w:before="160" w:after="80" w:line="276" w:lineRule="auto"/>
        <w:jc w:val="left"/>
      </w:pPr>
      <w:r>
        <w:rPr>
          <w:rFonts w:ascii="Arial" w:hAnsi="Arial"/>
          <w:b/>
          <w:color w:val="1B2631"/>
          <w:sz w:val="23"/>
        </w:rPr>
        <w:t>5.2 Detalhamento Técnico dos Sensores Orbitais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c>
          <w:tcPr>
            <w:tcW w:type="dxa" w:w="3023"/>
            <w:shd w:fill="EAEDE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Satélite / Sensor</w:t>
            </w:r>
          </w:p>
        </w:tc>
        <w:tc>
          <w:tcPr>
            <w:tcW w:type="dxa" w:w="3023"/>
            <w:shd w:fill="EAEDE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Quantidade de Focos</w:t>
            </w:r>
          </w:p>
        </w:tc>
        <w:tc>
          <w:tcPr>
            <w:tcW w:type="dxa" w:w="3023"/>
            <w:shd w:fill="EAEDE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Participação Relativa (%)</w:t>
            </w:r>
          </w:p>
        </w:tc>
      </w:tr>
      <w:tr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NOAA-20</w:t>
            </w:r>
          </w:p>
        </w:tc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35</w:t>
            </w:r>
          </w:p>
        </w:tc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47.9%</w:t>
            </w:r>
          </w:p>
        </w:tc>
      </w:tr>
      <w:tr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NOAA-21</w:t>
            </w:r>
          </w:p>
        </w:tc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</w:t>
            </w:r>
          </w:p>
        </w:tc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20.5%</w:t>
            </w:r>
          </w:p>
        </w:tc>
      </w:tr>
      <w:tr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NPP-375</w:t>
            </w:r>
          </w:p>
        </w:tc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17.8%</w:t>
            </w:r>
          </w:p>
        </w:tc>
      </w:tr>
      <w:tr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NPP-375D</w:t>
            </w:r>
          </w:p>
        </w:tc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8.2%</w:t>
            </w:r>
          </w:p>
        </w:tc>
      </w:tr>
      <w:tr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METOP-C</w:t>
            </w:r>
          </w:p>
        </w:tc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023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4.1%</w:t>
            </w:r>
          </w:p>
        </w:tc>
      </w:tr>
      <w:tr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AQUA_M-M</w:t>
            </w:r>
          </w:p>
        </w:tc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023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1.4%</w:t>
            </w:r>
          </w:p>
        </w:tc>
      </w:tr>
    </w:tbl>
    <w:p>
      <w:pPr>
        <w:spacing w:before="80" w:after="80"/>
      </w:pPr>
    </w:p>
    <w:p>
      <w:pPr>
        <w:keepNext/>
        <w:spacing w:before="160" w:after="80" w:line="276" w:lineRule="auto"/>
        <w:jc w:val="left"/>
      </w:pPr>
      <w:r>
        <w:rPr>
          <w:rFonts w:ascii="Arial" w:hAnsi="Arial"/>
          <w:b/>
          <w:color w:val="1B2631"/>
          <w:sz w:val="23"/>
        </w:rPr>
        <w:t>5.3 Pranchas Cartográficas Oficiais Anexas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Como produto cartográfico de alta fidelidade técnica, foram geradas 3 (três) pranchas oficiais padronizadas em alta resolução (300 DPI) para subsidiar a análise visual dos gestores e embasar despachos administrativos:</w:t>
      </w:r>
    </w:p>
    <w:p>
      <w:pPr>
        <w:spacing w:before="40" w:after="60" w:line="312" w:lineRule="auto"/>
        <w:jc w:val="both"/>
      </w:pPr>
      <w:r>
        <w:rPr>
          <w:rFonts w:ascii="Arial" w:hAnsi="Arial"/>
          <w:b/>
          <w:color w:val="1B2631"/>
          <w:sz w:val="22"/>
        </w:rPr>
        <w:t xml:space="preserve">• Prancha em Cor Natural (RGB: B4, B3, B2): </w:t>
      </w:r>
      <w:r>
        <w:rPr>
          <w:rFonts w:ascii="Arial" w:hAnsi="Arial"/>
          <w:color w:val="333333"/>
          <w:sz w:val="22"/>
        </w:rPr>
        <w:t>Apresenta a visualização real da cobertura do solo e do relevo, permitindo contextualizar a proximidade dos focos em relação à malha hidrográfica do Rio Xingu e ocupações consolidadas.</w:t>
      </w:r>
    </w:p>
    <w:p>
      <w:pPr>
        <w:spacing w:before="40" w:after="60" w:line="312" w:lineRule="auto"/>
        <w:jc w:val="both"/>
      </w:pPr>
      <w:r>
        <w:rPr>
          <w:rFonts w:ascii="Arial" w:hAnsi="Arial"/>
          <w:b/>
          <w:color w:val="1B2631"/>
          <w:sz w:val="22"/>
        </w:rPr>
        <w:t xml:space="preserve">• Prancha em Falsa Cor (Realce Queimadas: B12, B8, B4): </w:t>
      </w:r>
      <w:r>
        <w:rPr>
          <w:rFonts w:ascii="Arial" w:hAnsi="Arial"/>
          <w:color w:val="333333"/>
          <w:sz w:val="22"/>
        </w:rPr>
        <w:t>Composição no espectro do infravermelho de ondas curtas (SWIR), que proporciona contraste máximo entre cicatrizes calcinadas (tonalidades avermelhadas/marrom-escuras) e o dossel vegetal vivo preservado (verde brilhante).</w:t>
      </w:r>
    </w:p>
    <w:p>
      <w:pPr>
        <w:spacing w:before="40" w:after="60" w:line="312" w:lineRule="auto"/>
        <w:jc w:val="both"/>
      </w:pPr>
      <w:r>
        <w:rPr>
          <w:rFonts w:ascii="Arial" w:hAnsi="Arial"/>
          <w:b/>
          <w:color w:val="1B2631"/>
          <w:sz w:val="22"/>
        </w:rPr>
        <w:t xml:space="preserve">• Prancha de Severidade do Fogo — NBR (Normalized Burn Ratio): </w:t>
      </w:r>
      <w:r>
        <w:rPr>
          <w:rFonts w:ascii="Arial" w:hAnsi="Arial"/>
          <w:color w:val="333333"/>
          <w:sz w:val="22"/>
        </w:rPr>
        <w:t>Mapeamento quantitativo do impacto na vegetação. A rampa cromática destaca frentes ativas e áreas de alta severidade (&lt; -0.15) em tons vermelhos e vinhos, áreas moderadas em laranja, solo/pastagem em amarelo e floresta preservada em verde escuro, mantendo corpos d'água resguardados em azul.</w:t>
      </w:r>
    </w:p>
    <w:p>
      <w:pPr>
        <w:keepNext/>
        <w:spacing w:before="240" w:after="80" w:line="276" w:lineRule="auto"/>
        <w:jc w:val="left"/>
      </w:pPr>
      <w:r>
        <w:rPr>
          <w:rFonts w:ascii="Arial" w:hAnsi="Arial"/>
          <w:b/>
          <w:color w:val="1B2631"/>
          <w:sz w:val="24"/>
        </w:rPr>
        <w:t>6. Conclusões e Recomendações para Tomada de Decisão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A análise espacial integrada dos 73 focos de calor registrados na Reserva de Desenvolvimento Sustentável Vitória de Souzel revela um padrão de agrupamento concentrado no setor centro-sul da unidade, com proximidade a limites de transição de cobertura vegetal. A presença de 2 focos na data mais recente (20/10/2026) aponta para atividade de queima recente que requer verificação imediata.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Diante do diagnóstico, recomendam-se as seguintes medidas operacionais prioritárias:</w:t>
      </w:r>
    </w:p>
    <w:p>
      <w:pPr>
        <w:spacing w:before="20" w:after="60" w:line="312" w:lineRule="auto"/>
        <w:jc w:val="both"/>
      </w:pPr>
      <w:r>
        <w:rPr>
          <w:rFonts w:ascii="Arial" w:hAnsi="Arial"/>
          <w:color w:val="222222"/>
          <w:sz w:val="22"/>
        </w:rPr>
        <w:t>a) Despacho prioritário de brigadas florestais e equipes do Batalhão de Polícia Ambiental para averiguação dos focos recentes no setor centro-sul da unidade;</w:t>
      </w:r>
    </w:p>
    <w:p>
      <w:pPr>
        <w:spacing w:before="20" w:after="60" w:line="312" w:lineRule="auto"/>
        <w:jc w:val="both"/>
      </w:pPr>
      <w:r>
        <w:rPr>
          <w:rFonts w:ascii="Arial" w:hAnsi="Arial"/>
          <w:color w:val="222222"/>
          <w:sz w:val="22"/>
        </w:rPr>
        <w:t>b) Utilização das coordenadas geográficas tabuladas para traçado de rotas táticas de fiscalização fluvial e terrestre;</w:t>
      </w:r>
    </w:p>
    <w:p>
      <w:pPr>
        <w:spacing w:before="20" w:after="60" w:line="312" w:lineRule="auto"/>
        <w:jc w:val="both"/>
      </w:pPr>
      <w:r>
        <w:rPr>
          <w:rFonts w:ascii="Arial" w:hAnsi="Arial"/>
          <w:color w:val="222222"/>
          <w:sz w:val="22"/>
        </w:rPr>
        <w:t>c) Articulação interinstitucional com o Corpo de Bombeiros Militar para contingência preventiva na hipótese de propagação de fogo em vegetação nativa.</w:t>
      </w:r>
    </w:p>
    <w:p>
      <w:pPr>
        <w:spacing w:before="0" w:after="120" w:line="360" w:lineRule="auto"/>
        <w:jc w:val="both"/>
      </w:pPr>
      <w:r>
        <w:rPr>
          <w:rFonts w:ascii="Arial" w:hAnsi="Arial"/>
          <w:b w:val="0"/>
          <w:i w:val="0"/>
          <w:color w:val="222222"/>
          <w:sz w:val="24"/>
        </w:rPr>
        <w:t>As 3 (três) pranchas cartográficas institucionais padronizadas seguem anexas ao processo em formato PDF. Informa-se, ademais, que a base vetorial georreferenciada dos focos (arquivos Shapefile e GeoPackage com atributos de FRP, satélite e coordenadas) encontra-se disponível para envio imediato via correio eletrônico institucional (ngeo@ideflorbio.pa.gov.br) para carregamento direto em equipamentos de navegação das equipes de campo.</w:t>
      </w:r>
    </w:p>
    <w:p>
      <w:pPr>
        <w:keepNext/>
        <w:spacing w:before="240" w:after="80" w:line="276" w:lineRule="auto"/>
        <w:jc w:val="left"/>
      </w:pPr>
      <w:r>
        <w:rPr>
          <w:rFonts w:ascii="Arial" w:hAnsi="Arial"/>
          <w:b/>
          <w:color w:val="1B2631"/>
          <w:sz w:val="24"/>
        </w:rPr>
        <w:t>7. Referências e Fontes de Dados</w:t>
      </w:r>
    </w:p>
    <w:p>
      <w:pPr>
        <w:spacing w:before="40" w:after="80" w:line="276" w:lineRule="auto"/>
        <w:jc w:val="both"/>
      </w:pPr>
      <w:r>
        <w:rPr>
          <w:rFonts w:ascii="Arial" w:hAnsi="Arial"/>
          <w:color w:val="333333"/>
          <w:sz w:val="19"/>
        </w:rPr>
        <w:t>BRASIL. Instituto Nacional de Pesquisas Espaciais (INPE). Programa Queimadas: BDQueimadas – Banco de Dados de Queimadas. Disponível em: &lt;https://queimadas.dgi.inpe.br/&gt;. Acesso em: 30 out. 2026.</w:t>
      </w:r>
    </w:p>
    <w:p>
      <w:pPr>
        <w:spacing w:before="40" w:after="80" w:line="276" w:lineRule="auto"/>
        <w:jc w:val="both"/>
      </w:pPr>
      <w:r>
        <w:rPr>
          <w:rFonts w:ascii="Arial" w:hAnsi="Arial"/>
          <w:color w:val="333333"/>
          <w:sz w:val="19"/>
        </w:rPr>
        <w:t>EUROPEAN SPACE AGENCY (ESA). Copernicus Sentinel-2: Multispectral Instrument (MSI) Harmonized Level-2A Surface Reflectance. Processado via Google Earth Engine. 2026.</w:t>
      </w:r>
    </w:p>
    <w:p>
      <w:pPr>
        <w:spacing w:before="40" w:after="80" w:line="276" w:lineRule="auto"/>
        <w:jc w:val="both"/>
      </w:pPr>
      <w:r>
        <w:rPr>
          <w:rFonts w:ascii="Arial" w:hAnsi="Arial"/>
          <w:color w:val="333333"/>
          <w:sz w:val="19"/>
        </w:rPr>
        <w:t>INSTITUTO BRASILEIRO DE GEOGRAFIA E ESTATÍSTICA (IBGE). Sistema Geodésico Brasileiro: Especificações e Normas para Levantamentos Geodésicos – SIRGAS 2000 (EPSG:4674). Rio de Janeiro: IBGE, 2005.</w:t>
      </w:r>
    </w:p>
    <w:p>
      <w:pPr>
        <w:spacing w:before="40" w:after="80" w:line="276" w:lineRule="auto"/>
        <w:jc w:val="both"/>
      </w:pPr>
      <w:r>
        <w:rPr>
          <w:rFonts w:ascii="Arial" w:hAnsi="Arial"/>
          <w:color w:val="333333"/>
          <w:sz w:val="19"/>
        </w:rPr>
        <w:t>PARÁ. Instituto de Desenvolvimento Florestal e da Biodiversidade do Estado do Pará (IDEFLOR-Bio). Base Cartográfica Oficial das Unidades de Conservação Estaduais do Pará (DGMUC/NGEO). Belém: IDEFLOR-Bio, 2026.</w:t>
      </w:r>
    </w:p>
    <w:p>
      <w:pPr>
        <w:spacing w:before="320" w:after="0"/>
      </w:pPr>
    </w:p>
    <w:p>
      <w:pPr>
        <w:keepNext/>
        <w:spacing w:before="120" w:after="40" w:line="276" w:lineRule="auto"/>
        <w:jc w:val="center"/>
      </w:pPr>
      <w:r>
        <w:rPr>
          <w:rFonts w:ascii="Arial" w:hAnsi="Arial"/>
          <w:b/>
          <w:color w:val="1B2631"/>
          <w:sz w:val="22"/>
        </w:rPr>
        <w:t>SAMUEL DA COSTA DOS SANTOS</w:t>
        <w:br/>
      </w:r>
      <w:r>
        <w:rPr>
          <w:rFonts w:ascii="Arial" w:hAnsi="Arial"/>
          <w:color w:val="333333"/>
          <w:sz w:val="20"/>
        </w:rPr>
        <w:t>Coordenador do Núcleo de Geotecnologias – NGEO</w:t>
        <w:br/>
        <w:t>Instituto de Desenvolvimento Florestal e da Biodiversidade do Estado do Pará – IDEFLOR-Bio</w:t>
      </w:r>
    </w:p>
    <w:sectPr w:rsidR="00124FAA" w:rsidRPr="00A91CE5" w:rsidSect="00CC5469">
      <w:headerReference w:type="default" r:id="rId8"/>
      <w:pgSz w:w="11906" w:h="16838"/>
      <w:pgMar w:top="1699" w:right="1138" w:bottom="1138" w:left="169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AF386" w14:textId="77777777" w:rsidR="00641348" w:rsidRDefault="00641348" w:rsidP="00DD51E9">
      <w:pPr>
        <w:spacing w:after="0" w:line="240" w:lineRule="auto"/>
      </w:pPr>
      <w:r>
        <w:separator/>
      </w:r>
    </w:p>
  </w:endnote>
  <w:endnote w:type="continuationSeparator" w:id="0">
    <w:p w14:paraId="3AB2A824" w14:textId="77777777" w:rsidR="00641348" w:rsidRDefault="00641348" w:rsidP="00DD5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E67E5" w14:textId="77777777" w:rsidR="00641348" w:rsidRDefault="00641348" w:rsidP="00DD51E9">
      <w:pPr>
        <w:spacing w:after="0" w:line="240" w:lineRule="auto"/>
      </w:pPr>
      <w:r>
        <w:separator/>
      </w:r>
    </w:p>
  </w:footnote>
  <w:footnote w:type="continuationSeparator" w:id="0">
    <w:p w14:paraId="0D7CA7F1" w14:textId="77777777" w:rsidR="00641348" w:rsidRDefault="00641348" w:rsidP="00DD51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31A9E" w14:textId="57370A3F" w:rsidR="00DD51E9" w:rsidRDefault="00DD51E9">
    <w:pPr>
      <w:pStyle w:val="Cabealh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C0F863E" wp14:editId="39865EB5">
          <wp:simplePos x="0" y="0"/>
          <wp:positionH relativeFrom="margin">
            <wp:align>center</wp:align>
          </wp:positionH>
          <wp:positionV relativeFrom="paragraph">
            <wp:posOffset>9525</wp:posOffset>
          </wp:positionV>
          <wp:extent cx="1791970" cy="431800"/>
          <wp:effectExtent l="0" t="0" r="0" b="6350"/>
          <wp:wrapNone/>
          <wp:docPr id="53534794" name="Imagem 1" descr="Text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534794" name="Imagem 1" descr="Text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197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D51E9">
      <w:t xml:space="preserve"> </w:t>
    </w:r>
  </w:p>
  <w:p w14:paraId="5D911C74" w14:textId="77777777" w:rsidR="00DD51E9" w:rsidRDefault="00DD51E9">
    <w:pPr>
      <w:pStyle w:val="Cabealho"/>
    </w:pPr>
  </w:p>
  <w:p w14:paraId="22FD6E0D" w14:textId="77777777" w:rsidR="00DD51E9" w:rsidRDefault="00000000">
    <w:pPr>
      <w:pStyle w:val="Cabealho"/>
    </w:pPr>
    <w:r>
      <w:pict w14:anchorId="5ECB8D63">
        <v:rect id="_x0000_i1025" style="width:453.5pt;height:1.5pt" o:hralign="center" o:hrstd="t" o:hrnoshade="t" o:hr="t" fillcolor="#4ea72e [3209]" stroked="f"/>
      </w:pict>
    </w:r>
  </w:p>
  <w:p w14:paraId="6F73AF61" w14:textId="77777777" w:rsidR="00DD51E9" w:rsidRDefault="00DD51E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1077D"/>
    <w:multiLevelType w:val="multilevel"/>
    <w:tmpl w:val="F678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80AA8"/>
    <w:multiLevelType w:val="multilevel"/>
    <w:tmpl w:val="DD2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46C02"/>
    <w:multiLevelType w:val="multilevel"/>
    <w:tmpl w:val="887C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073D2"/>
    <w:multiLevelType w:val="multilevel"/>
    <w:tmpl w:val="316C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0044F"/>
    <w:multiLevelType w:val="hybridMultilevel"/>
    <w:tmpl w:val="28745F1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016868"/>
    <w:multiLevelType w:val="multilevel"/>
    <w:tmpl w:val="4F5E4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417107"/>
    <w:multiLevelType w:val="hybridMultilevel"/>
    <w:tmpl w:val="F68ABF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D06F9"/>
    <w:multiLevelType w:val="multilevel"/>
    <w:tmpl w:val="4DA2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5829DF"/>
    <w:multiLevelType w:val="multilevel"/>
    <w:tmpl w:val="283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A82C40"/>
    <w:multiLevelType w:val="multilevel"/>
    <w:tmpl w:val="8AE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632342"/>
    <w:multiLevelType w:val="multilevel"/>
    <w:tmpl w:val="ACA8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59785B"/>
    <w:multiLevelType w:val="multilevel"/>
    <w:tmpl w:val="0364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33D5B"/>
    <w:multiLevelType w:val="multilevel"/>
    <w:tmpl w:val="17F2E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3" w15:restartNumberingAfterBreak="0">
    <w:nsid w:val="7398661A"/>
    <w:multiLevelType w:val="hybridMultilevel"/>
    <w:tmpl w:val="4C6AE9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4037F0"/>
    <w:multiLevelType w:val="multilevel"/>
    <w:tmpl w:val="871C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31978"/>
    <w:multiLevelType w:val="hybridMultilevel"/>
    <w:tmpl w:val="81F28BD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0328389">
    <w:abstractNumId w:val="8"/>
  </w:num>
  <w:num w:numId="2" w16cid:durableId="1311716663">
    <w:abstractNumId w:val="0"/>
  </w:num>
  <w:num w:numId="3" w16cid:durableId="2019647848">
    <w:abstractNumId w:val="7"/>
  </w:num>
  <w:num w:numId="4" w16cid:durableId="547570060">
    <w:abstractNumId w:val="1"/>
  </w:num>
  <w:num w:numId="5" w16cid:durableId="1076242943">
    <w:abstractNumId w:val="9"/>
  </w:num>
  <w:num w:numId="6" w16cid:durableId="1377510879">
    <w:abstractNumId w:val="10"/>
  </w:num>
  <w:num w:numId="7" w16cid:durableId="2088767181">
    <w:abstractNumId w:val="2"/>
  </w:num>
  <w:num w:numId="8" w16cid:durableId="1262642132">
    <w:abstractNumId w:val="12"/>
  </w:num>
  <w:num w:numId="9" w16cid:durableId="152795507">
    <w:abstractNumId w:val="13"/>
  </w:num>
  <w:num w:numId="10" w16cid:durableId="1572303659">
    <w:abstractNumId w:val="15"/>
  </w:num>
  <w:num w:numId="11" w16cid:durableId="2000378506">
    <w:abstractNumId w:val="4"/>
  </w:num>
  <w:num w:numId="12" w16cid:durableId="1951666407">
    <w:abstractNumId w:val="5"/>
  </w:num>
  <w:num w:numId="13" w16cid:durableId="1258173951">
    <w:abstractNumId w:val="6"/>
  </w:num>
  <w:num w:numId="14" w16cid:durableId="1192840463">
    <w:abstractNumId w:val="11"/>
  </w:num>
  <w:num w:numId="15" w16cid:durableId="529338206">
    <w:abstractNumId w:val="14"/>
  </w:num>
  <w:num w:numId="16" w16cid:durableId="10881917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80"/>
    <w:rsid w:val="0001257F"/>
    <w:rsid w:val="00025F48"/>
    <w:rsid w:val="001170DB"/>
    <w:rsid w:val="00124FAA"/>
    <w:rsid w:val="00140169"/>
    <w:rsid w:val="001B1680"/>
    <w:rsid w:val="00251D8C"/>
    <w:rsid w:val="003311C5"/>
    <w:rsid w:val="003C251A"/>
    <w:rsid w:val="003D32B6"/>
    <w:rsid w:val="003E6A0A"/>
    <w:rsid w:val="0041764F"/>
    <w:rsid w:val="00493EF2"/>
    <w:rsid w:val="00552BBF"/>
    <w:rsid w:val="00593B21"/>
    <w:rsid w:val="006135D2"/>
    <w:rsid w:val="006161FF"/>
    <w:rsid w:val="00630200"/>
    <w:rsid w:val="00641348"/>
    <w:rsid w:val="0064269A"/>
    <w:rsid w:val="00647C15"/>
    <w:rsid w:val="0068485F"/>
    <w:rsid w:val="006D59CA"/>
    <w:rsid w:val="007016DE"/>
    <w:rsid w:val="00706DCB"/>
    <w:rsid w:val="007C02B9"/>
    <w:rsid w:val="00805FE9"/>
    <w:rsid w:val="008624CE"/>
    <w:rsid w:val="008D2E2A"/>
    <w:rsid w:val="008D48ED"/>
    <w:rsid w:val="008D5621"/>
    <w:rsid w:val="0090704F"/>
    <w:rsid w:val="009555BE"/>
    <w:rsid w:val="00963B3A"/>
    <w:rsid w:val="00975891"/>
    <w:rsid w:val="009856BB"/>
    <w:rsid w:val="009B05F7"/>
    <w:rsid w:val="009D6458"/>
    <w:rsid w:val="009E0CD7"/>
    <w:rsid w:val="009F1AA0"/>
    <w:rsid w:val="00A17439"/>
    <w:rsid w:val="00A2191E"/>
    <w:rsid w:val="00A3230D"/>
    <w:rsid w:val="00A6063F"/>
    <w:rsid w:val="00A650B5"/>
    <w:rsid w:val="00A740E6"/>
    <w:rsid w:val="00A91CE5"/>
    <w:rsid w:val="00AC7575"/>
    <w:rsid w:val="00AD32D7"/>
    <w:rsid w:val="00AE0192"/>
    <w:rsid w:val="00BE0876"/>
    <w:rsid w:val="00CC5469"/>
    <w:rsid w:val="00DD51E9"/>
    <w:rsid w:val="00E244A7"/>
    <w:rsid w:val="00E4767D"/>
    <w:rsid w:val="00EC5D9C"/>
    <w:rsid w:val="00F174C7"/>
    <w:rsid w:val="00F22AD8"/>
    <w:rsid w:val="00F4631D"/>
    <w:rsid w:val="00F65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38B95"/>
  <w15:chartTrackingRefBased/>
  <w15:docId w15:val="{570399A7-B50C-4FAB-960D-6B3E7C49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B21"/>
  </w:style>
  <w:style w:type="paragraph" w:styleId="Ttulo1">
    <w:name w:val="heading 1"/>
    <w:basedOn w:val="Normal"/>
    <w:next w:val="Normal"/>
    <w:link w:val="Ttulo1Char"/>
    <w:uiPriority w:val="9"/>
    <w:qFormat/>
    <w:rsid w:val="001B1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1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16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1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16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B1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1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1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1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16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16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16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16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16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B1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16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1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1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B1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B1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B1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B1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B1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B16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B16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B16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B16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B16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B1680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1170DB"/>
    <w:rPr>
      <w:color w:val="666666"/>
    </w:rPr>
  </w:style>
  <w:style w:type="table" w:styleId="Tabelacomgrade">
    <w:name w:val="Table Grid"/>
    <w:basedOn w:val="Tabelanormal"/>
    <w:uiPriority w:val="39"/>
    <w:rsid w:val="006D5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3-nfase6">
    <w:name w:val="List Table 3 Accent 6"/>
    <w:basedOn w:val="Tabelanormal"/>
    <w:uiPriority w:val="48"/>
    <w:rsid w:val="00CC546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D51E9"/>
  </w:style>
  <w:style w:type="paragraph" w:styleId="Rodap">
    <w:name w:val="footer"/>
    <w:basedOn w:val="Normal"/>
    <w:link w:val="Rodap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D51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9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25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4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169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022D0-985E-4B02-B1C1-8885AD439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425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Santos</dc:creator>
  <cp:keywords/>
  <dc:description/>
  <cp:lastModifiedBy>Samuel Santos</cp:lastModifiedBy>
  <cp:revision>4</cp:revision>
  <cp:lastPrinted>2025-04-11T18:21:00Z</cp:lastPrinted>
  <dcterms:created xsi:type="dcterms:W3CDTF">2026-10-29T04:26:00Z</dcterms:created>
  <dcterms:modified xsi:type="dcterms:W3CDTF">2026-10-29T04:49:00Z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2025-03-24T17:09:09Z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d52c1a72-e071-48a5-8a2a-1c429f31c142</vt:lpwstr>
  </property>
  <property fmtid="{D5CDD505-2E9C-101B-9397-08002B2CF9AE}" pid="7" name="MSIP_Label_defa4170-0d19-0005-0004-bc88714345d2_ActionId">
    <vt:lpwstr>a16b7776-6720-402f-92a8-fd8c875ef136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