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76" w:lineRule="auto"/>
        <w:jc w:val="left"/>
      </w:pPr>
      <w:r>
        <w:rPr>
          <w:rFonts w:ascii="Times New Roman" w:hAnsi="Times New Roman"/>
          <w:b/>
          <w:sz w:val="28"/>
        </w:rPr>
        <w:t>RELATÓRIO TÉCNICO</w:t>
      </w:r>
    </w:p>
    <w:p>
      <w:pPr>
        <w:spacing w:after="240" w:line="276" w:lineRule="auto"/>
        <w:jc w:val="left"/>
      </w:pPr>
      <w:r>
        <w:rPr>
          <w:rFonts w:ascii="Times New Roman" w:hAnsi="Times New Roman"/>
          <w:b/>
          <w:sz w:val="22"/>
        </w:rPr>
        <w:t>Relatório Técnico de Diagnóstico Geoespacial de Desmatamento e Mapeamento de Áreas para Unidades Demonstrativas de Restauração Florestal no Parque Estadual Charapucu</w:t>
      </w:r>
    </w:p>
    <w:p>
      <w:pPr>
        <w:spacing w:after="80" w:line="276" w:lineRule="auto"/>
        <w:jc w:val="left"/>
      </w:pPr>
      <w:r>
        <w:rPr>
          <w:rFonts w:ascii="Times New Roman" w:hAnsi="Times New Roman"/>
          <w:b/>
          <w:sz w:val="22"/>
        </w:rPr>
        <w:t>1. Identificação do Documento</w:t>
      </w:r>
    </w:p>
    <w:p>
      <w:pPr>
        <w:spacing w:after="40" w:line="276" w:lineRule="auto"/>
        <w:jc w:val="left"/>
      </w:pPr>
      <w:r>
        <w:rPr>
          <w:rFonts w:ascii="Times New Roman" w:hAnsi="Times New Roman"/>
          <w:b w:val="0"/>
          <w:sz w:val="22"/>
        </w:rPr>
        <w:t>Nº do Protocolo: Processo nº 2026/3611213 (Memorando nº 04/ASSTEC e Despacho DGMUC)</w:t>
      </w:r>
    </w:p>
    <w:p>
      <w:pPr>
        <w:spacing w:after="40" w:line="276" w:lineRule="auto"/>
        <w:jc w:val="left"/>
      </w:pPr>
      <w:r>
        <w:rPr>
          <w:rFonts w:ascii="Times New Roman" w:hAnsi="Times New Roman"/>
          <w:b w:val="0"/>
          <w:sz w:val="22"/>
        </w:rPr>
        <w:t>Elaboração: Samuel da Costa dos Santos – Coordenador do Núcleo de Geotecnologias (NGEO/IDEFLOR-Bio)</w:t>
      </w:r>
    </w:p>
    <w:p>
      <w:pPr>
        <w:spacing w:after="40" w:line="276" w:lineRule="auto"/>
        <w:jc w:val="left"/>
      </w:pPr>
      <w:r>
        <w:rPr>
          <w:rFonts w:ascii="Times New Roman" w:hAnsi="Times New Roman"/>
          <w:b w:val="0"/>
          <w:sz w:val="22"/>
        </w:rPr>
        <w:t>Demandante: Diretoria de Gestão e Monitoramento de Unidades de Conservação (DGMUC) / ASSTEC</w:t>
      </w:r>
    </w:p>
    <w:p>
      <w:pPr>
        <w:spacing w:after="200" w:line="276" w:lineRule="auto"/>
        <w:jc w:val="left"/>
      </w:pPr>
      <w:r>
        <w:rPr>
          <w:rFonts w:ascii="Times New Roman" w:hAnsi="Times New Roman"/>
          <w:b w:val="0"/>
          <w:sz w:val="22"/>
        </w:rPr>
        <w:t>Data: 29 de Outubro de 2026</w:t>
      </w:r>
    </w:p>
    <w:p>
      <w:pPr>
        <w:spacing w:after="80" w:line="276" w:lineRule="auto"/>
        <w:jc w:val="left"/>
      </w:pPr>
      <w:r>
        <w:rPr>
          <w:rFonts w:ascii="Times New Roman" w:hAnsi="Times New Roman"/>
          <w:b/>
          <w:sz w:val="22"/>
        </w:rPr>
        <w:t>2. Objetivos</w:t>
      </w:r>
    </w:p>
    <w:p>
      <w:pPr>
        <w:spacing w:after="200" w:line="276" w:lineRule="auto"/>
        <w:jc w:val="left"/>
      </w:pPr>
      <w:r>
        <w:rPr>
          <w:rFonts w:ascii="Times New Roman" w:hAnsi="Times New Roman"/>
          <w:b w:val="0"/>
          <w:sz w:val="22"/>
        </w:rPr>
        <w:t>O presente relatório técnico tem por finalidade apresentar o levantamento geoespacial e a prancha cartográfica oficial elaborados pelo Núcleo de Geotecnologias (NGEO) para atendimento aos autos do Processo nº 2026/3611213. O objetivo central é a identificação, qualificação e delimitação espacial de polígonos representativos de supressão antrópica e desmatamento no interior do Parque Estadual Charapucu, atendendo à demanda de seleção de áreas que totalizem, no mínimo, 130 hectares distribuídos no menor número possível de polígonos contíguos, com vistas a subsidiar a implantação de Unidades Demonstrativas de Restauração Florestal em consonância com o Plano de Recuperação da Vegetação Nativa do Estado do Pará (PRVN-PA).</w:t>
      </w:r>
    </w:p>
    <w:p>
      <w:pPr>
        <w:spacing w:after="80" w:line="276" w:lineRule="auto"/>
        <w:jc w:val="left"/>
      </w:pPr>
      <w:r>
        <w:rPr>
          <w:rFonts w:ascii="Times New Roman" w:hAnsi="Times New Roman"/>
          <w:b/>
          <w:sz w:val="22"/>
        </w:rPr>
        <w:t>3. Contextualização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2"/>
        </w:rPr>
        <w:t>Por intermédio do Memorando nº 04/ASSTEC (Doc. Sequencial 01), subscrito pelo assessor Dilson Lopes, e corroborado pelo Despacho exarado pelo Diretor Ellivelton de Carvalho da Cunha (Doc. Sequencial 02), a Diretoria de Gestão e Monitoramento de Unidades de Conservação (DGMUC) encaminhou solicitação de apoio técnico ao NGEO com foco na identificação de áreas para projetos de recuperação florestal no Parque Estadual Charapucu.</w:t>
      </w:r>
    </w:p>
    <w:p>
      <w:pPr>
        <w:spacing w:after="200" w:line="276" w:lineRule="auto"/>
        <w:jc w:val="left"/>
      </w:pPr>
      <w:r>
        <w:rPr>
          <w:rFonts w:ascii="Times New Roman" w:hAnsi="Times New Roman"/>
          <w:b w:val="0"/>
          <w:sz w:val="22"/>
        </w:rPr>
        <w:t>O Parque Estadual Charapucu, instituído pelo Decreto Estadual nº 2.592, de 09 de novembro de 2010, localiza-se no Município de Afuá (Arquipélago do Marajó) e abrange ecossistemas singulares de florestas de várzea estuarina. Dada a influência das marés e a altíssima velocidade de regeneração vegetal da região, a contextualização exigiu uma abordagem metodológica que distinguisse feições sedimentares temporárias de alterações antrópicas consolidadas, amparando-se nas diretrizes ecológicas e de elegibilidade do PRVN-PA.</w:t>
      </w:r>
    </w:p>
    <w:p>
      <w:pPr>
        <w:spacing w:after="80" w:line="276" w:lineRule="auto"/>
        <w:jc w:val="left"/>
      </w:pPr>
      <w:r>
        <w:rPr>
          <w:rFonts w:ascii="Times New Roman" w:hAnsi="Times New Roman"/>
          <w:b/>
          <w:sz w:val="22"/>
        </w:rPr>
        <w:t>4. Procedimentos Realizados</w:t>
      </w:r>
    </w:p>
    <w:p>
      <w:pPr>
        <w:spacing w:after="80" w:line="276" w:lineRule="auto"/>
        <w:jc w:val="left"/>
      </w:pPr>
      <w:r>
        <w:rPr>
          <w:rFonts w:ascii="Times New Roman" w:hAnsi="Times New Roman"/>
          <w:b w:val="0"/>
          <w:sz w:val="22"/>
        </w:rPr>
        <w:t>A análise geoespacial foi desenvolvida em ambiente de Sistema de Informações Geográficas (SIG) sob o Sistema Geodésico SIRGAS 2000 em coordenadas planas UTM Fuso 22N (EPSG:31988), garantindo rigor e precisão métrica planimétrica para o cômputo de áreas e distâncias. Foram adotados os seguintes procedimentos:</w:t>
      </w:r>
    </w:p>
    <w:p>
      <w:pPr>
        <w:spacing w:after="40" w:line="276" w:lineRule="auto"/>
        <w:jc w:val="left"/>
      </w:pPr>
      <w:r>
        <w:rPr>
          <w:rFonts w:ascii="Times New Roman" w:hAnsi="Times New Roman"/>
          <w:b w:val="0"/>
          <w:sz w:val="22"/>
        </w:rPr>
        <w:t>a) Importação e auditoria do limite oficial da Unidade de Conservação homologado na base corporativa do IDEFLOR-Bio (Decreto nº 2.592/2010);</w:t>
      </w:r>
    </w:p>
    <w:p>
      <w:pPr>
        <w:spacing w:after="40" w:line="276" w:lineRule="auto"/>
        <w:jc w:val="left"/>
      </w:pPr>
      <w:r>
        <w:rPr>
          <w:rFonts w:ascii="Times New Roman" w:hAnsi="Times New Roman"/>
          <w:b w:val="0"/>
          <w:sz w:val="22"/>
        </w:rPr>
        <w:t>b) Consulta e extração da série histórica oficial do Sistema de Detecção do Desmatamento em Tempo Real (DETER / TerraBrasilis / INPE), filtrando alertas da classe oficial de corte raso (DESMATAMENTO_CR);</w:t>
      </w:r>
    </w:p>
    <w:p>
      <w:pPr>
        <w:spacing w:after="40" w:line="276" w:lineRule="auto"/>
        <w:jc w:val="left"/>
      </w:pPr>
      <w:r>
        <w:rPr>
          <w:rFonts w:ascii="Times New Roman" w:hAnsi="Times New Roman"/>
          <w:b w:val="0"/>
          <w:sz w:val="22"/>
        </w:rPr>
        <w:t>c) Eliminação topológica de canais de maré, igarapés e falsos positivos espectrais gerados por sedimentos em orlas estuarinas;</w:t>
      </w:r>
    </w:p>
    <w:p>
      <w:pPr>
        <w:spacing w:after="40" w:line="276" w:lineRule="auto"/>
        <w:jc w:val="left"/>
      </w:pPr>
      <w:r>
        <w:rPr>
          <w:rFonts w:ascii="Times New Roman" w:hAnsi="Times New Roman"/>
          <w:b w:val="0"/>
          <w:sz w:val="22"/>
        </w:rPr>
        <w:t>d) Integração de ortomosaico de satélite de alta resolução espacial Sentinel-2 Cloudless EOX (10 m) para avaliação do dossel e do estágio sucessional secundário da vegetação;</w:t>
      </w:r>
    </w:p>
    <w:p>
      <w:pPr>
        <w:spacing w:after="200" w:line="276" w:lineRule="auto"/>
        <w:jc w:val="left"/>
      </w:pPr>
      <w:r>
        <w:rPr>
          <w:rFonts w:ascii="Times New Roman" w:hAnsi="Times New Roman"/>
          <w:b w:val="0"/>
          <w:sz w:val="22"/>
        </w:rPr>
        <w:t>e) Geração de prancha cartográfica em padrão QGIS (A4 Paisagem, 300 DPI e PDF vetorial) contendo hierarquia de três mapas (regional estadual, contexto na UC e zoom de detalhe da ocorrência).</w:t>
      </w:r>
    </w:p>
    <w:p>
      <w:pPr>
        <w:spacing w:after="80" w:line="276" w:lineRule="auto"/>
        <w:jc w:val="left"/>
      </w:pPr>
      <w:r>
        <w:rPr>
          <w:rFonts w:ascii="Times New Roman" w:hAnsi="Times New Roman"/>
          <w:b/>
          <w:sz w:val="22"/>
        </w:rPr>
        <w:t>5. Resultados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2"/>
        </w:rPr>
        <w:t>A auditoria geoespacial identificou que a supressão antrópica oficial por corte raso no interior do PES Charapucu concentra-se no Setor Centro-Leste da ilha (bacia de drenagem da Baía de Vieira Grande), decorrente do evento oficial detectado em 20/07/2019. A área é formada por dois polígonos contíguos que totalizam 183,76 hectares, atendendo plenamente ao critério do menor número de polígonos contíguos e superando a meta contratual mínima de 130 hectares em 141,35% (+53,76 ha de superávit físico).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Identificador NGEO</w:t>
            </w:r>
          </w:p>
        </w:tc>
        <w:tc>
          <w:tcPr>
            <w:tcW w:type="dxa" w:w="1568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Código Oficial INPE</w:t>
            </w:r>
          </w:p>
        </w:tc>
        <w:tc>
          <w:tcPr>
            <w:tcW w:type="dxa" w:w="1568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Data do Alerta</w:t>
            </w:r>
          </w:p>
        </w:tc>
        <w:tc>
          <w:tcPr>
            <w:tcW w:type="dxa" w:w="1568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Área Auditada (ha)</w:t>
            </w:r>
          </w:p>
        </w:tc>
        <w:tc>
          <w:tcPr>
            <w:tcW w:type="dxa" w:w="1568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Acesso Fluvial</w:t>
            </w:r>
          </w:p>
        </w:tc>
        <w:tc>
          <w:tcPr>
            <w:tcW w:type="dxa" w:w="1568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Diagnóstico da Cobertura Atual</w:t>
            </w:r>
          </w:p>
        </w:tc>
      </w:tr>
      <w:tr>
        <w:tc>
          <w:tcPr>
            <w:tcW w:type="dxa" w:w="1568"/>
          </w:tcPr>
          <w:p>
            <w:pPr>
              <w:spacing w:after="40"/>
            </w:pPr>
            <w:r>
              <w:rPr>
                <w:rFonts w:ascii="Times New Roman" w:hAnsi="Times New Roman"/>
                <w:sz w:val="18"/>
              </w:rPr>
              <w:t>GLEBA-DETER-01</w:t>
            </w:r>
          </w:p>
        </w:tc>
        <w:tc>
          <w:tcPr>
            <w:tcW w:type="dxa" w:w="1568"/>
          </w:tcPr>
          <w:p>
            <w:pPr>
              <w:spacing w:after="40"/>
            </w:pPr>
            <w:r>
              <w:rPr>
                <w:rFonts w:ascii="Times New Roman" w:hAnsi="Times New Roman"/>
                <w:sz w:val="18"/>
              </w:rPr>
              <w:t>52664_hist</w:t>
            </w:r>
          </w:p>
        </w:tc>
        <w:tc>
          <w:tcPr>
            <w:tcW w:type="dxa" w:w="1568"/>
          </w:tcPr>
          <w:p>
            <w:pPr>
              <w:spacing w:after="40"/>
            </w:pPr>
            <w:r>
              <w:rPr>
                <w:rFonts w:ascii="Times New Roman" w:hAnsi="Times New Roman"/>
                <w:sz w:val="18"/>
              </w:rPr>
              <w:t>20/07/2019</w:t>
            </w:r>
          </w:p>
        </w:tc>
        <w:tc>
          <w:tcPr>
            <w:tcW w:type="dxa" w:w="1568"/>
          </w:tcPr>
          <w:p>
            <w:pPr>
              <w:spacing w:after="40"/>
            </w:pPr>
            <w:r>
              <w:rPr>
                <w:rFonts w:ascii="Times New Roman" w:hAnsi="Times New Roman"/>
                <w:sz w:val="18"/>
              </w:rPr>
              <w:t>173,28 ha</w:t>
            </w:r>
          </w:p>
        </w:tc>
        <w:tc>
          <w:tcPr>
            <w:tcW w:type="dxa" w:w="1568"/>
          </w:tcPr>
          <w:p>
            <w:pPr>
              <w:spacing w:after="40"/>
            </w:pPr>
            <w:r>
              <w:rPr>
                <w:rFonts w:ascii="Times New Roman" w:hAnsi="Times New Roman"/>
                <w:sz w:val="18"/>
              </w:rPr>
              <w:t>Baía de Vieira Grande (2,3 km)</w:t>
            </w:r>
          </w:p>
        </w:tc>
        <w:tc>
          <w:tcPr>
            <w:tcW w:type="dxa" w:w="1568"/>
          </w:tcPr>
          <w:p>
            <w:pPr>
              <w:spacing w:after="40"/>
            </w:pPr>
            <w:r>
              <w:rPr>
                <w:rFonts w:ascii="Times New Roman" w:hAnsi="Times New Roman"/>
                <w:sz w:val="18"/>
              </w:rPr>
              <w:t>Corte Raso / Regeneração Secundária</w:t>
            </w:r>
          </w:p>
        </w:tc>
      </w:tr>
      <w:tr>
        <w:tc>
          <w:tcPr>
            <w:tcW w:type="dxa" w:w="1568"/>
          </w:tcPr>
          <w:p>
            <w:pPr>
              <w:spacing w:after="40"/>
            </w:pPr>
            <w:r>
              <w:rPr>
                <w:rFonts w:ascii="Times New Roman" w:hAnsi="Times New Roman"/>
                <w:sz w:val="18"/>
              </w:rPr>
              <w:t>GLEBA-DETER-02</w:t>
            </w:r>
          </w:p>
        </w:tc>
        <w:tc>
          <w:tcPr>
            <w:tcW w:type="dxa" w:w="1568"/>
          </w:tcPr>
          <w:p>
            <w:pPr>
              <w:spacing w:after="40"/>
            </w:pPr>
            <w:r>
              <w:rPr>
                <w:rFonts w:ascii="Times New Roman" w:hAnsi="Times New Roman"/>
                <w:sz w:val="18"/>
              </w:rPr>
              <w:t>52663_hist</w:t>
            </w:r>
          </w:p>
        </w:tc>
        <w:tc>
          <w:tcPr>
            <w:tcW w:type="dxa" w:w="1568"/>
          </w:tcPr>
          <w:p>
            <w:pPr>
              <w:spacing w:after="40"/>
            </w:pPr>
            <w:r>
              <w:rPr>
                <w:rFonts w:ascii="Times New Roman" w:hAnsi="Times New Roman"/>
                <w:sz w:val="18"/>
              </w:rPr>
              <w:t>20/07/2019</w:t>
            </w:r>
          </w:p>
        </w:tc>
        <w:tc>
          <w:tcPr>
            <w:tcW w:type="dxa" w:w="1568"/>
          </w:tcPr>
          <w:p>
            <w:pPr>
              <w:spacing w:after="40"/>
            </w:pPr>
            <w:r>
              <w:rPr>
                <w:rFonts w:ascii="Times New Roman" w:hAnsi="Times New Roman"/>
                <w:sz w:val="18"/>
              </w:rPr>
              <w:t>10,48 ha</w:t>
            </w:r>
          </w:p>
        </w:tc>
        <w:tc>
          <w:tcPr>
            <w:tcW w:type="dxa" w:w="1568"/>
          </w:tcPr>
          <w:p>
            <w:pPr>
              <w:spacing w:after="40"/>
            </w:pPr>
            <w:r>
              <w:rPr>
                <w:rFonts w:ascii="Times New Roman" w:hAnsi="Times New Roman"/>
                <w:sz w:val="18"/>
              </w:rPr>
              <w:t>Baía de Vieira Grande (3,2 km)</w:t>
            </w:r>
          </w:p>
        </w:tc>
        <w:tc>
          <w:tcPr>
            <w:tcW w:type="dxa" w:w="1568"/>
          </w:tcPr>
          <w:p>
            <w:pPr>
              <w:spacing w:after="40"/>
            </w:pPr>
            <w:r>
              <w:rPr>
                <w:rFonts w:ascii="Times New Roman" w:hAnsi="Times New Roman"/>
                <w:sz w:val="18"/>
              </w:rPr>
              <w:t>Corte Raso / Regeneração Secundária</w:t>
            </w:r>
          </w:p>
        </w:tc>
      </w:tr>
      <w:tr>
        <w:tc>
          <w:tcPr>
            <w:tcW w:type="dxa" w:w="1568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8"/>
              </w:rPr>
              <w:t>TOTAL CONSOLIDADO</w:t>
            </w:r>
          </w:p>
        </w:tc>
        <w:tc>
          <w:tcPr>
            <w:tcW w:type="dxa" w:w="1568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8"/>
              </w:rPr>
              <w:t>—</w:t>
            </w:r>
          </w:p>
        </w:tc>
        <w:tc>
          <w:tcPr>
            <w:tcW w:type="dxa" w:w="1568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8"/>
              </w:rPr>
              <w:t>—</w:t>
            </w:r>
          </w:p>
        </w:tc>
        <w:tc>
          <w:tcPr>
            <w:tcW w:type="dxa" w:w="1568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8"/>
              </w:rPr>
              <w:t>183,76 ha</w:t>
            </w:r>
          </w:p>
        </w:tc>
        <w:tc>
          <w:tcPr>
            <w:tcW w:type="dxa" w:w="1568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8"/>
              </w:rPr>
              <w:t>Superávit: +53,76 ha</w:t>
            </w:r>
          </w:p>
        </w:tc>
        <w:tc>
          <w:tcPr>
            <w:tcW w:type="dxa" w:w="1568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8"/>
              </w:rPr>
              <w:t>141,35% da meta mínima de 130 ha</w:t>
            </w:r>
          </w:p>
        </w:tc>
      </w:tr>
    </w:tbl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2"/>
        </w:rPr>
      </w:r>
    </w:p>
    <w:p>
      <w:pPr>
        <w:spacing w:after="80" w:line="276" w:lineRule="auto"/>
        <w:jc w:val="left"/>
      </w:pPr>
      <w:r>
        <w:rPr>
          <w:rFonts w:ascii="Times New Roman" w:hAnsi="Times New Roman"/>
          <w:b/>
          <w:sz w:val="22"/>
        </w:rPr>
        <w:t>5.1 Enquadramento aos Critérios do PRVN-PA e Aptidão à Restauração</w:t>
      </w:r>
    </w:p>
    <w:p>
      <w:pPr>
        <w:spacing w:after="200" w:line="276" w:lineRule="auto"/>
        <w:jc w:val="left"/>
      </w:pPr>
      <w:r>
        <w:rPr>
          <w:rFonts w:ascii="Times New Roman" w:hAnsi="Times New Roman"/>
          <w:b w:val="0"/>
          <w:sz w:val="22"/>
        </w:rPr>
        <w:t>A análise do histórico temporal revela que, decorridos mais de 6 anos da supressão inicial (2019), a área encontra-se em franco processo de sucessão ecológica secundária de várzea, caracterizada pelo fechamento do dossel por espécies pioneiras (Cecropia spp., Inga spp. e palmáceas nativas). Trata-se de uma condição altamente vantajosa para a implantação de Unidades Demonstrativas de Restauração Florestal, pois reduz custos operacionais de implantação e viabiliza modelos de Regeneração Natural Assistida (RNA) e Enriquecimento Florestal.</w:t>
      </w:r>
    </w:p>
    <w:p>
      <w:pPr>
        <w:spacing w:after="80" w:line="276" w:lineRule="auto"/>
        <w:jc w:val="left"/>
      </w:pPr>
      <w:r>
        <w:rPr>
          <w:rFonts w:ascii="Times New Roman" w:hAnsi="Times New Roman"/>
          <w:b/>
          <w:sz w:val="22"/>
        </w:rPr>
        <w:t>6. Conclusão e Encaminhamento</w:t>
      </w:r>
    </w:p>
    <w:p>
      <w:pPr>
        <w:spacing w:after="280" w:line="276" w:lineRule="auto"/>
        <w:jc w:val="left"/>
      </w:pPr>
      <w:r>
        <w:rPr>
          <w:rFonts w:ascii="Times New Roman" w:hAnsi="Times New Roman"/>
          <w:b w:val="0"/>
          <w:sz w:val="22"/>
        </w:rPr>
        <w:t>Diante do exposto, considera-se a demanda do Memorando nº 04/ASSTEC e do Despacho DGMUC integralmente atendida no âmbito deste Núcleo de Geotecnologias. Juntam-se aos autos a prancha cartográfica oficial padronizada (anexo em formato digital de alta resolução) e disponibilizam-se os arquivos geoespaciais em formato GeoPackage e Shapefile para subsidiar a elaboração dos projetos executivos da DGMUC.</w:t>
      </w:r>
    </w:p>
    <w:p>
      <w:pPr>
        <w:spacing w:after="40" w:line="276" w:lineRule="auto"/>
        <w:jc w:val="center"/>
      </w:pPr>
      <w:r>
        <w:rPr>
          <w:rFonts w:ascii="Times New Roman" w:hAnsi="Times New Roman"/>
          <w:b/>
          <w:sz w:val="22"/>
        </w:rPr>
        <w:t>SAMUEL DA COSTA DOS SANTOS</w:t>
      </w:r>
    </w:p>
    <w:p>
      <w:pPr>
        <w:spacing w:after="40" w:line="276" w:lineRule="auto"/>
        <w:jc w:val="center"/>
      </w:pPr>
      <w:r>
        <w:rPr>
          <w:rFonts w:ascii="Times New Roman" w:hAnsi="Times New Roman"/>
          <w:b w:val="0"/>
          <w:sz w:val="20"/>
        </w:rPr>
        <w:t>Coordenador do Núcleo de Geotecnologias – NGEO</w:t>
      </w:r>
    </w:p>
    <w:p>
      <w:pPr>
        <w:spacing w:after="40" w:line="276" w:lineRule="auto"/>
        <w:jc w:val="center"/>
      </w:pPr>
      <w:r>
        <w:rPr>
          <w:rFonts w:ascii="Times New Roman" w:hAnsi="Times New Roman"/>
          <w:b w:val="0"/>
          <w:sz w:val="20"/>
        </w:rPr>
        <w:t>Instituto de Desenvolvimento Florestal e da Biodiversidade do Estado do Pará – IDEFLOR-Bio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