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FEAFC" w14:textId="77777777" w:rsidR="00124FAA" w:rsidRPr="00A91CE5" w:rsidRDefault="00000000" w:rsidP="00A91CE5">
      <w:pPr>
        <w:spacing w:line="276" w:lineRule="auto" w:after="80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8"/>
        </w:rPr>
        <w:t>RELATÓRIO TÉCNICO</w:t>
      </w:r>
    </w:p>
    <w:p w14:paraId="78DA65BD" w14:textId="77777777" w:rsidR="00A650B5" w:rsidRPr="00A91CE5" w:rsidRDefault="00000000" w:rsidP="00706DCB">
      <w:pPr>
        <w:spacing w:after="24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Relatório Técnico de Diagnóstico Geoespacial de Desmatamento e Delimitação de Áreas no Parque Estadual Charapucu</w:t>
      </w:r>
    </w:p>
    <w:p w14:paraId="6AB9EDE8" w14:textId="1DA25D1A" w:rsidR="00124FAA" w:rsidRPr="00A91CE5" w:rsidRDefault="00000000" w:rsidP="00A650B5">
      <w:pPr>
        <w:spacing w:before="240" w:after="8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1. Identificação do Documento</w:t>
      </w:r>
    </w:p>
    <w:p w14:paraId="79E8BA44" w14:textId="72EC1FE4" w:rsidR="00124FAA" w:rsidRPr="00A91CE5" w:rsidRDefault="00000000" w:rsidP="00A650B5">
      <w:pPr>
        <w:spacing w:after="6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Nº do Protocolo: Processo nº 2026/3611213 (Memorando nº 04/ASSTEC e Despacho DGMUC)</w:t>
      </w:r>
    </w:p>
    <w:p w14:paraId="703EAC80" w14:textId="6BA1EBF1" w:rsidR="00124FAA" w:rsidRPr="00A91CE5" w:rsidRDefault="00000000" w:rsidP="00A650B5">
      <w:pPr>
        <w:spacing w:after="6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Elaboração: Samuel da Costa dos Santos – Coordenador do Núcleo de Geotecnologias (NGEO/IDEFLOR-Bio)</w:t>
      </w:r>
    </w:p>
    <w:p w14:paraId="2F6C969F" w14:textId="0C2EBD5D" w:rsidR="00124FAA" w:rsidRPr="00A91CE5" w:rsidRDefault="00706DCB" w:rsidP="00A650B5">
      <w:pPr>
        <w:spacing w:after="6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Demandante: Diretoria de Gestão e Monitoramento de Unidades de Conservação (DGMUC) / ASSTEC</w:t>
      </w:r>
    </w:p>
    <w:p w14:paraId="73DB2FCB" w14:textId="5249FC90" w:rsidR="00124FAA" w:rsidRPr="00A91CE5" w:rsidRDefault="00000000" w:rsidP="00A650B5">
      <w:pPr>
        <w:spacing w:after="24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Data: 29 de Outubro de 2026</w:t>
      </w:r>
    </w:p>
    <w:p w14:paraId="4567A4D1" w14:textId="77777777" w:rsidR="00124FAA" w:rsidRPr="00A91CE5" w:rsidRDefault="00000000" w:rsidP="00A650B5">
      <w:pPr>
        <w:spacing w:before="240" w:after="12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2. Objetivos</w:t>
      </w:r>
    </w:p>
    <w:p w14:paraId="342AB0B5" w14:textId="77777777" w:rsidR="00124FAA" w:rsidRPr="00A91CE5" w:rsidRDefault="00000000" w:rsidP="00A650B5">
      <w:pPr>
        <w:spacing w:after="200" w:line="360" w:lineRule="auto"/>
        <w:ind w:firstLine="360"/>
        <w:jc w:val="both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O presente relatório técnico visa a subsidiar a Diretoria de Gestão e Monitoramento de Unidades de Conservação (DGMUC) com o levantamento geoespacial e a prancha cartográfica institucional padronizada referentes às áreas de desmatamento no interior do Parque Estadual Charapucu, em atendimento aos autos do Processo nº 2026/3611213. O trabalho delimita e quantifica os polígonos representativos de supressão antrópica mapeados pelos sistemas oficiais de monitoramento, fornecendo os subsídios territoriais e cartográficos necessários para apoiar as decisões de planejamento da DGMUC.</w:t>
      </w:r>
    </w:p>
    <w:p w14:paraId="2CEBADBE" w14:textId="1A52A96A" w:rsidR="00124FAA" w:rsidRPr="00A91CE5" w:rsidRDefault="00A650B5" w:rsidP="00A650B5">
      <w:pPr>
        <w:spacing w:before="240" w:after="12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3. Contextualização</w:t>
      </w:r>
    </w:p>
    <w:p w14:paraId="687521AC" w14:textId="77777777" w:rsidR="00124FAA" w:rsidRPr="00A91CE5" w:rsidRDefault="00000000" w:rsidP="00A650B5">
      <w:pPr>
        <w:spacing w:after="200" w:line="360" w:lineRule="auto"/>
        <w:ind w:firstLine="360"/>
        <w:jc w:val="both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A demanda foi encaminhada a este Núcleo de Geotecnologias por meio do Memorando nº 04/ASSTEC (Doc. Sequencial 01) e do Despacho autorizativo da DGMUC (Doc. Sequencial 02), solicitando a identificação de áreas que totalizassem no mínimo 130 hectares, priorizando a menor fragmentação possível em polígonos contíguos no Parque Estadual Charapucu. A referida Unidade de Conservação, criada pelo Decreto Estadual nº 2.592, de 09 de novembro de 2010, localiza-se no município de Afuá (Arquipélago do Marajó) e é caracterizada por florestas de várzea estuarina sob forte influência do regime de marés. Esse ambiente impõe a necessidade de rigor técnico na distinção entre variações hidrológicas sazonais e áreas com histórico consolidado de intervenção antrópica.</w:t>
      </w:r>
    </w:p>
    <w:p w14:paraId="50B0E543" w14:textId="77777777" w:rsidR="00124FAA" w:rsidRPr="00A91CE5" w:rsidRDefault="00000000" w:rsidP="00A650B5">
      <w:pPr>
        <w:spacing w:before="240" w:after="12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4. Procedimentos Realizados</w:t>
      </w:r>
    </w:p>
    <w:p w14:paraId="2D58236B" w14:textId="77777777" w:rsidR="00124FAA" w:rsidRPr="00A91CE5" w:rsidRDefault="00000000" w:rsidP="00A650B5">
      <w:pPr>
        <w:spacing w:after="200" w:line="360" w:lineRule="auto"/>
        <w:ind w:firstLine="360"/>
        <w:jc w:val="both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Os procedimentos foram conduzidos em ambiente de Sistema de Informações Geográficas (SIG), utilizando o Sistema Geodésico SIRGAS 2000 em projeção plana UTM Fuso 22N (EPSG:31988) para a precisão das medições de área e distâncias. Foram integrados o limite oficial homologado do Parque Estadual Charapucu e a base de dados do Sistema de Detecção do Desmatamento em Tempo Real (DETER), mantido pelo Instituto Nacional de Pesquisas Espaciais (INPE). Realizou-se a conferência visual e espacial da cobertura vegetal por meio de imagens orbitais do sensor Sentinel-2, assegurando a consistência das feições terrestres em relação à hidrografia e canais de maré, culminando na geração de prancha cartográfica institucional padronizada.</w:t>
      </w:r>
    </w:p>
    <w:p w14:paraId="0334BB39" w14:textId="77777777" w:rsidR="00124FAA" w:rsidRPr="00A91CE5" w:rsidRDefault="00000000" w:rsidP="00A650B5">
      <w:pPr>
        <w:spacing w:before="240" w:after="12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5. Resultados</w:t>
      </w:r>
    </w:p>
    <w:p w14:paraId="18FF1C07" w14:textId="77777777" w:rsidR="00124FAA" w:rsidRPr="00A91CE5" w:rsidRDefault="00000000" w:rsidP="00A650B5">
      <w:pPr>
        <w:spacing w:after="160" w:line="360" w:lineRule="auto"/>
        <w:jc w:val="both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A auditoria geoespacial confirmou a presença de duas ocorrências oficiais contíguas de corte raso (classe DESMATAMENTO_CR) registradas no interior da Unidade de Conservação em 20/07/2019, situadas no Setor Leste da ilha. As duas áreas somam 183,76 hectares, atendendo ao parâmetro de contiguidade e superando a demanda dimensional mínima de 130 hectares em 53,76 hectares.</w:t>
      </w:r>
    </w:p>
    <w:p w14:paraId="569F17D1" w14:textId="77777777" w:rsidR="00124FAA" w:rsidRPr="00A91CE5" w:rsidRDefault="00000000" w:rsidP="00A650B5">
      <w:pPr>
        <w:spacing w:before="240" w:after="12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5.1 Síntese Espacial das Glebas Mapeadas</w:t>
      </w:r>
    </w:p>
    <w:p w14:paraId="30618F62" w14:textId="77777777" w:rsidR="00124FAA" w:rsidRPr="00A91CE5" w:rsidRDefault="00000000" w:rsidP="00A650B5">
      <w:pPr>
        <w:spacing w:after="120" w:line="360" w:lineRule="auto"/>
        <w:jc w:val="both"/>
        <w:rPr>
          <w:rFonts w:ascii="Arial" w:hAnsi="Arial" w:cs="Arial"/>
        </w:rPr>
      </w:pPr>
      <w:r/>
      <w:r>
        <w:rPr>
          <w:rFonts w:ascii="Arial" w:hAnsi="Arial"/>
          <w:b w:val="0"/>
          <w:sz w:val="24"/>
        </w:rPr>
        <w:t>A distribuição espacial e a área calculada para cada polígono contíguo identificado no levantamento são sintetizadas na Tabela 1: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1"/>
        <w:gridCol w:w="3019"/>
        <w:gridCol w:w="3020"/>
      </w:tblGrid>
      <w:tr w:rsidR="00124FAA" w:rsidRPr="00A91CE5" w14:paraId="71ECF025" w14:textId="77777777">
        <w:tc>
          <w:tcPr>
            <w:tcW w:w="3023" w:type="dxa"/>
          </w:tcPr>
          <w:p w14:paraId="29C67001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20"/>
              </w:rPr>
              <w:t>Identificador NGEO</w:t>
            </w:r>
          </w:p>
        </w:tc>
        <w:tc>
          <w:tcPr>
            <w:tcW w:w="3023" w:type="dxa"/>
          </w:tcPr>
          <w:p w14:paraId="3CC3A231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20"/>
              </w:rPr>
              <w:t>Área Calculada (ha)</w:t>
            </w:r>
          </w:p>
        </w:tc>
        <w:tc>
          <w:tcPr>
            <w:tcW w:w="3023" w:type="dxa"/>
          </w:tcPr>
          <w:p w14:paraId="383204BF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20"/>
              </w:rPr>
              <w:t>Localização e Acesso Fluvial</w:t>
            </w:r>
          </w:p>
        </w:tc>
      </w:tr>
      <w:tr w:rsidR="00124FAA" w:rsidRPr="00A91CE5" w14:paraId="1B3B8A55" w14:textId="77777777">
        <w:tc>
          <w:tcPr>
            <w:tcW w:w="3023" w:type="dxa"/>
          </w:tcPr>
          <w:p w14:paraId="29C5B6B3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Gleba 01 (Alerta INPE 52664_hist)</w:t>
            </w:r>
          </w:p>
        </w:tc>
        <w:tc>
          <w:tcPr>
            <w:tcW w:w="3023" w:type="dxa"/>
          </w:tcPr>
          <w:p w14:paraId="20FEC33A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173,28 ha</w:t>
            </w:r>
          </w:p>
        </w:tc>
        <w:tc>
          <w:tcPr>
            <w:tcW w:w="3023" w:type="dxa"/>
          </w:tcPr>
          <w:p w14:paraId="68944582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Setor Leste (a 2.298 m da calha da Baía de Vieira Grande)</w:t>
            </w:r>
          </w:p>
        </w:tc>
      </w:tr>
      <w:tr w:rsidR="00124FAA" w:rsidRPr="00A91CE5" w14:paraId="2C9AA82C" w14:textId="77777777">
        <w:tc>
          <w:tcPr>
            <w:tcW w:w="3023" w:type="dxa"/>
          </w:tcPr>
          <w:p w14:paraId="5636AD41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Gleba 02 (Alerta INPE 52663_hist)</w:t>
            </w:r>
          </w:p>
        </w:tc>
        <w:tc>
          <w:tcPr>
            <w:tcW w:w="3023" w:type="dxa"/>
          </w:tcPr>
          <w:p w14:paraId="0AA1704E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10,48 ha</w:t>
            </w:r>
          </w:p>
        </w:tc>
        <w:tc>
          <w:tcPr>
            <w:tcW w:w="3023" w:type="dxa"/>
          </w:tcPr>
          <w:p w14:paraId="6E5E2412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Setor Leste (a 3.214 m da calha da Baía de Vieira Grande)</w:t>
            </w:r>
          </w:p>
        </w:tc>
      </w:tr>
    </w:tbl>
    <w:p w14:paraId="5DA0FA88" w14:textId="77777777" w:rsidR="00124FAA" w:rsidRPr="00A91CE5" w:rsidRDefault="00000000" w:rsidP="00A650B5">
      <w:pPr>
        <w:spacing w:before="240" w:after="12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5.2 Atributos Oficiais dos Alertas no Banco DETER / INPE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1"/>
        <w:gridCol w:w="4529"/>
      </w:tblGrid>
      <w:tr w:rsidR="00124FAA" w:rsidRPr="00A91CE5" w14:paraId="1074D4B1" w14:textId="77777777" w:rsidTr="00A650B5">
        <w:tc>
          <w:tcPr>
            <w:tcW w:w="4531" w:type="dxa"/>
          </w:tcPr>
          <w:p w14:paraId="4A5C1378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20"/>
              </w:rPr>
              <w:t>Atributo Oficial (DETER / TerraBrasilis)</w:t>
            </w:r>
          </w:p>
        </w:tc>
        <w:tc>
          <w:tcPr>
            <w:tcW w:w="4529" w:type="dxa"/>
          </w:tcPr>
          <w:p w14:paraId="4963B072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20"/>
              </w:rPr>
              <w:t>Especificação Técnica Homologada</w:t>
            </w:r>
          </w:p>
        </w:tc>
      </w:tr>
      <w:tr w:rsidR="00124FAA" w:rsidRPr="00A91CE5" w14:paraId="346B3348" w14:textId="77777777" w:rsidTr="00A650B5">
        <w:tc>
          <w:tcPr>
            <w:tcW w:w="4531" w:type="dxa"/>
          </w:tcPr>
          <w:p w14:paraId="6D104485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Identificadores Oficiais no Banco (GID)</w:t>
            </w:r>
          </w:p>
        </w:tc>
        <w:tc>
          <w:tcPr>
            <w:tcW w:w="4529" w:type="dxa"/>
          </w:tcPr>
          <w:p w14:paraId="24218154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52664_hist e 52663_hist</w:t>
            </w:r>
          </w:p>
        </w:tc>
      </w:tr>
      <w:tr w:rsidR="00124FAA" w:rsidRPr="00A91CE5" w14:paraId="3AF8CFD1" w14:textId="77777777" w:rsidTr="00A650B5">
        <w:tc>
          <w:tcPr>
            <w:tcW w:w="4531" w:type="dxa"/>
          </w:tcPr>
          <w:p w14:paraId="0F9B1ABD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Classe de Desflorestamento Oficial</w:t>
            </w:r>
          </w:p>
        </w:tc>
        <w:tc>
          <w:tcPr>
            <w:tcW w:w="4529" w:type="dxa"/>
          </w:tcPr>
          <w:p w14:paraId="4C5D865F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DESMATAMENTO_CR (Desmatamento por Corte Raso)</w:t>
            </w:r>
          </w:p>
        </w:tc>
      </w:tr>
      <w:tr w:rsidR="00124FAA" w:rsidRPr="00A91CE5" w14:paraId="5D395088" w14:textId="77777777" w:rsidTr="00A650B5">
        <w:tc>
          <w:tcPr>
            <w:tcW w:w="4531" w:type="dxa"/>
          </w:tcPr>
          <w:p w14:paraId="76494E94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Data Oficial de Detecção</w:t>
            </w:r>
          </w:p>
        </w:tc>
        <w:tc>
          <w:tcPr>
            <w:tcW w:w="4529" w:type="dxa"/>
          </w:tcPr>
          <w:p w14:paraId="755872CE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20/07/2019</w:t>
            </w:r>
          </w:p>
        </w:tc>
      </w:tr>
      <w:tr w:rsidR="00124FAA" w:rsidRPr="00A91CE5" w14:paraId="4CAF371D" w14:textId="77777777" w:rsidTr="00A650B5">
        <w:tc>
          <w:tcPr>
            <w:tcW w:w="4531" w:type="dxa"/>
          </w:tcPr>
          <w:p w14:paraId="7AD34972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Satélite / Sensor Empregado</w:t>
            </w:r>
          </w:p>
        </w:tc>
        <w:tc>
          <w:tcPr>
            <w:tcW w:w="4529" w:type="dxa"/>
          </w:tcPr>
          <w:p w14:paraId="16B584AA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CBERS-4 / AWFI (Resolução 64 metros)</w:t>
            </w:r>
          </w:p>
        </w:tc>
      </w:tr>
      <w:tr w:rsidR="00124FAA" w:rsidRPr="00A91CE5" w14:paraId="1F0F3D0F" w14:textId="77777777" w:rsidTr="00A650B5">
        <w:tc>
          <w:tcPr>
            <w:tcW w:w="4531" w:type="dxa"/>
          </w:tcPr>
          <w:p w14:paraId="78E226B4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Órbita / Ponto de Referência</w:t>
            </w:r>
          </w:p>
        </w:tc>
        <w:tc>
          <w:tcPr>
            <w:tcW w:w="4529" w:type="dxa"/>
          </w:tcPr>
          <w:p w14:paraId="16F3B90F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168 / 099</w:t>
            </w:r>
          </w:p>
        </w:tc>
      </w:tr>
      <w:tr w:rsidR="00124FAA" w:rsidRPr="00A91CE5" w14:paraId="6F118468" w14:textId="77777777" w:rsidTr="00A650B5">
        <w:tc>
          <w:tcPr>
            <w:tcW w:w="4531" w:type="dxa"/>
          </w:tcPr>
          <w:p w14:paraId="26A61C4D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Área Total Auditada em Projeção UTM</w:t>
            </w:r>
          </w:p>
        </w:tc>
        <w:tc>
          <w:tcPr>
            <w:tcW w:w="4529" w:type="dxa"/>
          </w:tcPr>
          <w:p w14:paraId="4D98841F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183,76 hectares (173,28 ha + 10,48 ha)</w:t>
            </w:r>
          </w:p>
        </w:tc>
      </w:tr>
      <w:tr w:rsidR="00124FAA" w:rsidRPr="00A91CE5" w14:paraId="33BE09D2" w14:textId="77777777" w:rsidTr="00A650B5">
        <w:tc>
          <w:tcPr>
            <w:tcW w:w="4531" w:type="dxa"/>
          </w:tcPr>
          <w:p w14:paraId="0E11803F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Coordenadas Centróide - Gleba 01</w:t>
            </w:r>
          </w:p>
        </w:tc>
        <w:tc>
          <w:tcPr>
            <w:tcW w:w="4529" w:type="dxa"/>
          </w:tcPr>
          <w:p w14:paraId="5071AB1B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Latitude: -0,39602° / Longitude: -50,39459°</w:t>
            </w:r>
          </w:p>
        </w:tc>
      </w:tr>
      <w:tr w:rsidR="00124FAA" w:rsidRPr="00A91CE5" w14:paraId="4CE8A0D5" w14:textId="77777777" w:rsidTr="00A650B5">
        <w:tc>
          <w:tcPr>
            <w:tcW w:w="4531" w:type="dxa"/>
          </w:tcPr>
          <w:p w14:paraId="1C8B7D0E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Coordenadas Centróide - Gleba 02</w:t>
            </w:r>
          </w:p>
        </w:tc>
        <w:tc>
          <w:tcPr>
            <w:tcW w:w="4529" w:type="dxa"/>
          </w:tcPr>
          <w:p w14:paraId="2E494BAB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Latitude: -0,38486° / Longitude: -50,40265°</w:t>
            </w:r>
          </w:p>
        </w:tc>
      </w:tr>
      <w:tr w:rsidR="00124FAA" w:rsidRPr="00A91CE5" w14:paraId="7BFE271C" w14:textId="77777777" w:rsidTr="00A650B5">
        <w:tc>
          <w:tcPr>
            <w:tcW w:w="4531" w:type="dxa"/>
          </w:tcPr>
          <w:p w14:paraId="136EF0AF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Sistema Geodésico de Medição</w:t>
            </w:r>
          </w:p>
        </w:tc>
        <w:tc>
          <w:tcPr>
            <w:tcW w:w="4529" w:type="dxa"/>
          </w:tcPr>
          <w:p w14:paraId="2214333B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SIRGAS 2000 / UTM zone 22N (EPSG:31988)</w:t>
            </w:r>
          </w:p>
        </w:tc>
      </w:tr>
      <w:tr w:rsidR="00124FAA" w:rsidRPr="00A91CE5" w14:paraId="148C2668" w14:textId="77777777" w:rsidTr="00A650B5">
        <w:tc>
          <w:tcPr>
            <w:tcW w:w="4531" w:type="dxa"/>
          </w:tcPr>
          <w:p w14:paraId="602F64B7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Município / Estado</w:t>
            </w:r>
          </w:p>
        </w:tc>
        <w:tc>
          <w:tcPr>
            <w:tcW w:w="4529" w:type="dxa"/>
          </w:tcPr>
          <w:p w14:paraId="1537B0F3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Afuá / Pará (Código IBGE: 1500305)</w:t>
            </w:r>
          </w:p>
        </w:tc>
      </w:tr>
      <w:tr w:rsidR="00124FAA" w:rsidRPr="00A91CE5" w14:paraId="46CE5B14" w14:textId="77777777" w:rsidTr="00A650B5">
        <w:tc>
          <w:tcPr>
            <w:tcW w:w="4531" w:type="dxa"/>
          </w:tcPr>
          <w:p w14:paraId="5FAA2C3C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/>
                <w:sz w:val="19"/>
              </w:rPr>
              <w:t>Unidade de Conservação Incidente</w:t>
            </w:r>
          </w:p>
        </w:tc>
        <w:tc>
          <w:tcPr>
            <w:tcW w:w="4529" w:type="dxa"/>
          </w:tcPr>
          <w:p w14:paraId="1E6FEC71" w14:textId="77777777" w:rsidR="00124FAA" w:rsidRPr="00A91CE5" w:rsidRDefault="00000000" w:rsidP="00A650B5">
            <w:pPr>
              <w:spacing w:line="276" w:lineRule="auto" w:after="40"/>
              <w:jc w:val="left"/>
              <w:rPr>
                <w:rFonts w:ascii="Arial" w:hAnsi="Arial" w:cs="Arial"/>
              </w:rPr>
            </w:pPr>
            <w:r/>
            <w:r>
              <w:rPr>
                <w:rFonts w:ascii="Arial" w:hAnsi="Arial"/>
                <w:b w:val="0"/>
                <w:sz w:val="19"/>
              </w:rPr>
              <w:t>Parque Estadual Charapucu (Decreto Estadual nº 2.592/2010)</w:t>
            </w:r>
          </w:p>
        </w:tc>
      </w:tr>
    </w:tbl>
    <w:p w14:paraId="6A7D002D" w14:textId="7B6B0D1B" w:rsidR="00124FAA" w:rsidRPr="00A91CE5" w:rsidRDefault="00124FAA" w:rsidP="00706DCB">
      <w:pPr>
        <w:spacing w:after="120" w:line="276" w:lineRule="auto"/>
        <w:jc w:val="left"/>
        <w:rPr>
          <w:rFonts w:ascii="Arial" w:hAnsi="Arial" w:cs="Arial"/>
        </w:rPr>
      </w:pPr>
      <w:r/>
      <w:r>
        <w:rPr>
          <w:rFonts w:ascii="Arial" w:hAnsi="Arial"/>
          <w:b/>
          <w:sz w:val="24"/>
        </w:rPr>
        <w:t>6. Conclusão e Encaminhamento</w:t>
      </w:r>
    </w:p>
    <w:p>
      <w:pPr>
        <w:spacing w:after="280" w:line="360" w:lineRule="auto"/>
        <w:jc w:val="both"/>
      </w:pPr>
      <w:r/>
      <w:r>
        <w:rPr>
          <w:rFonts w:ascii="Arial" w:hAnsi="Arial"/>
          <w:b w:val="0"/>
          <w:sz w:val="24"/>
        </w:rPr>
        <w:t>Com os resultados apresentados, este Núcleo de Geotecnologias considera atendida a solicitação de subsídios formulada pela DGMUC. Informa-se que a prancha cartográfica oficial padronizada segue anexa a este relatório em formato digital (PDF), enquanto os arquivos vetoriais geoespaciais correspondentes (Shapefile e GeoPackage) serão disponibilizados por meio de mensagem eletrônica institucional (e-mail), em conformidade com as características operacionais do sistema de tramitação de processos.</w:t>
      </w:r>
    </w:p>
    <w:p>
      <w:pPr>
        <w:spacing w:after="120" w:line="276" w:lineRule="auto"/>
        <w:jc w:val="left"/>
      </w:pPr>
      <w:r/>
      <w:r>
        <w:rPr>
          <w:rFonts w:ascii="Arial" w:hAnsi="Arial"/>
          <w:b/>
          <w:sz w:val="24"/>
        </w:rPr>
        <w:t>7. Referências</w:t>
      </w:r>
    </w:p>
    <w:p>
      <w:pPr>
        <w:spacing w:after="80" w:line="276" w:lineRule="auto"/>
        <w:jc w:val="both"/>
      </w:pPr>
      <w:r/>
      <w:r>
        <w:rPr>
          <w:rFonts w:ascii="Arial" w:hAnsi="Arial"/>
          <w:b w:val="0"/>
          <w:sz w:val="20"/>
        </w:rPr>
        <w:t>BRASIL. Instituto Nacional de Pesquisas Espaciais (INPE). Sistema de Detecção do Desmatamento em Tempo Real (DETER): Amazônia Legal. Plataforma TerraBrasilis, 2019-2026. Disponível em: &lt;http://terrabrasilis.dpi.inpe.br&gt;. Acesso em: 28 out. 2026.</w:t>
      </w:r>
    </w:p>
    <w:p>
      <w:pPr>
        <w:spacing w:after="80" w:line="276" w:lineRule="auto"/>
        <w:jc w:val="both"/>
      </w:pPr>
      <w:r/>
      <w:r>
        <w:rPr>
          <w:rFonts w:ascii="Arial" w:hAnsi="Arial"/>
          <w:b w:val="0"/>
          <w:sz w:val="20"/>
        </w:rPr>
        <w:t>EOX IT Services GmbH. Sentinel-2 cloudless layer. Viena: EOX, 2025. Disponível em: &lt;https://tiles.maps.eox.at&gt;. Acesso em: 28 out. 2026.</w:t>
      </w:r>
    </w:p>
    <w:p>
      <w:pPr>
        <w:spacing w:after="80" w:line="276" w:lineRule="auto"/>
        <w:jc w:val="both"/>
      </w:pPr>
      <w:r/>
      <w:r>
        <w:rPr>
          <w:rFonts w:ascii="Arial" w:hAnsi="Arial"/>
          <w:b w:val="0"/>
          <w:sz w:val="20"/>
        </w:rPr>
        <w:t>EUROPEAN SPACE AGENCY (ESA). Copernicus Sentinel-2 MSI data. Paris: ESA, 2025. Disponível em: &lt;https://sentinels.copernicus.eu&gt;. Acesso em: 28 out. 2026.</w:t>
      </w:r>
    </w:p>
    <w:p>
      <w:pPr>
        <w:spacing w:after="80" w:line="276" w:lineRule="auto"/>
        <w:jc w:val="both"/>
      </w:pPr>
      <w:r/>
      <w:r>
        <w:rPr>
          <w:rFonts w:ascii="Arial" w:hAnsi="Arial"/>
          <w:b w:val="0"/>
          <w:sz w:val="20"/>
        </w:rPr>
        <w:t>IBGE - Instituto Brasileiro de Geografia e Estatística. Sistema de Referência Geocêntrico para as Américas (SIRGAS 2000). Rio de Janeiro: IBGE, 2026.</w:t>
      </w:r>
    </w:p>
    <w:p>
      <w:pPr>
        <w:spacing w:after="80" w:line="276" w:lineRule="auto"/>
        <w:jc w:val="both"/>
      </w:pPr>
      <w:r/>
      <w:r>
        <w:rPr>
          <w:rFonts w:ascii="Arial" w:hAnsi="Arial"/>
          <w:b w:val="0"/>
          <w:sz w:val="20"/>
        </w:rPr>
        <w:t>PARÁ (Estado). Decreto Estadual nº 2.592, de 09 de novembro de 2010. Cria o Parque Estadual Charapucu, no município de Afuá, e dá outras providências. Diário Oficial do Estado do Pará, Belém, 10 nov. 2010.</w:t>
      </w:r>
    </w:p>
    <w:p>
      <w:pPr>
        <w:spacing w:after="200" w:line="360" w:lineRule="auto"/>
        <w:jc w:val="both"/>
      </w:pPr>
      <w:r/>
      <w:r>
        <w:rPr>
          <w:rFonts w:ascii="Arial" w:hAnsi="Arial"/>
          <w:b w:val="0"/>
          <w:sz w:val="24"/>
        </w:rPr>
      </w:r>
    </w:p>
    <w:p>
      <w:pPr>
        <w:spacing w:after="40" w:line="276" w:lineRule="auto"/>
        <w:jc w:val="center"/>
      </w:pPr>
      <w:r/>
      <w:r>
        <w:rPr>
          <w:rFonts w:ascii="Arial" w:hAnsi="Arial"/>
          <w:b/>
          <w:sz w:val="24"/>
        </w:rPr>
        <w:t>SAMUEL DA COSTA DOS SANTOS</w:t>
      </w:r>
    </w:p>
    <w:p>
      <w:pPr>
        <w:spacing w:after="40" w:line="276" w:lineRule="auto"/>
        <w:jc w:val="center"/>
      </w:pPr>
      <w:r/>
      <w:r>
        <w:rPr>
          <w:rFonts w:ascii="Arial" w:hAnsi="Arial"/>
          <w:b w:val="0"/>
          <w:sz w:val="22"/>
        </w:rPr>
        <w:t>Coordenador do Núcleo de Geotecnologias – NGEO</w:t>
      </w:r>
    </w:p>
    <w:p>
      <w:pPr>
        <w:spacing w:after="40" w:line="276" w:lineRule="auto"/>
        <w:jc w:val="center"/>
      </w:pPr>
      <w:r/>
      <w:r>
        <w:rPr>
          <w:rFonts w:ascii="Arial" w:hAnsi="Arial"/>
          <w:b w:val="0"/>
          <w:sz w:val="22"/>
        </w:rPr>
        <w:t>Instituto de Desenvolvimento Florestal e da Biodiversidade do Estado do Pará – IDEFLOR-Bio</w:t>
      </w:r>
    </w:p>
    <w:sectPr w:rsidR="00124FAA" w:rsidRPr="00A91CE5" w:rsidSect="00CC5469">
      <w:headerReference w:type="default" r:id="rId8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AF386" w14:textId="77777777" w:rsidR="00641348" w:rsidRDefault="00641348" w:rsidP="00DD51E9">
      <w:pPr>
        <w:spacing w:after="0" w:line="240" w:lineRule="auto"/>
      </w:pPr>
      <w:r>
        <w:separator/>
      </w:r>
    </w:p>
  </w:endnote>
  <w:endnote w:type="continuationSeparator" w:id="0">
    <w:p w14:paraId="3AB2A824" w14:textId="77777777" w:rsidR="00641348" w:rsidRDefault="00641348" w:rsidP="00DD5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E67E5" w14:textId="77777777" w:rsidR="00641348" w:rsidRDefault="00641348" w:rsidP="00DD51E9">
      <w:pPr>
        <w:spacing w:after="0" w:line="240" w:lineRule="auto"/>
      </w:pPr>
      <w:r>
        <w:separator/>
      </w:r>
    </w:p>
  </w:footnote>
  <w:footnote w:type="continuationSeparator" w:id="0">
    <w:p w14:paraId="0D7CA7F1" w14:textId="77777777" w:rsidR="00641348" w:rsidRDefault="00641348" w:rsidP="00DD51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31A9E" w14:textId="57370A3F" w:rsidR="00DD51E9" w:rsidRDefault="00DD51E9">
    <w:pPr>
      <w:pStyle w:val="Cabealh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C0F863E" wp14:editId="39865EB5">
          <wp:simplePos x="0" y="0"/>
          <wp:positionH relativeFrom="margin">
            <wp:align>center</wp:align>
          </wp:positionH>
          <wp:positionV relativeFrom="paragraph">
            <wp:posOffset>9525</wp:posOffset>
          </wp:positionV>
          <wp:extent cx="1791970" cy="431800"/>
          <wp:effectExtent l="0" t="0" r="0" b="6350"/>
          <wp:wrapNone/>
          <wp:docPr id="53534794" name="Imagem 1" descr="Tex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534794" name="Imagem 1" descr="Text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197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D51E9">
      <w:t xml:space="preserve"> </w:t>
    </w:r>
  </w:p>
  <w:p w14:paraId="5D911C74" w14:textId="77777777" w:rsidR="00DD51E9" w:rsidRDefault="00DD51E9">
    <w:pPr>
      <w:pStyle w:val="Cabealho"/>
    </w:pPr>
  </w:p>
  <w:p w14:paraId="22FD6E0D" w14:textId="77777777" w:rsidR="00DD51E9" w:rsidRDefault="00000000">
    <w:pPr>
      <w:pStyle w:val="Cabealho"/>
    </w:pPr>
    <w:r>
      <w:pict w14:anchorId="5ECB8D63">
        <v:rect id="_x0000_i1025" style="width:453.5pt;height:1.5pt" o:hralign="center" o:hrstd="t" o:hrnoshade="t" o:hr="t" fillcolor="#4ea72e [3209]" stroked="f"/>
      </w:pict>
    </w:r>
  </w:p>
  <w:p w14:paraId="6F73AF61" w14:textId="77777777" w:rsidR="00DD51E9" w:rsidRDefault="00DD51E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077D"/>
    <w:multiLevelType w:val="multilevel"/>
    <w:tmpl w:val="F678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80AA8"/>
    <w:multiLevelType w:val="multilevel"/>
    <w:tmpl w:val="DD2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46C02"/>
    <w:multiLevelType w:val="multilevel"/>
    <w:tmpl w:val="887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73D2"/>
    <w:multiLevelType w:val="multilevel"/>
    <w:tmpl w:val="316C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0044F"/>
    <w:multiLevelType w:val="hybridMultilevel"/>
    <w:tmpl w:val="28745F1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016868"/>
    <w:multiLevelType w:val="multilevel"/>
    <w:tmpl w:val="4F5E4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417107"/>
    <w:multiLevelType w:val="hybridMultilevel"/>
    <w:tmpl w:val="F68ABF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D06F9"/>
    <w:multiLevelType w:val="multilevel"/>
    <w:tmpl w:val="4DA2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5829DF"/>
    <w:multiLevelType w:val="multilevel"/>
    <w:tmpl w:val="283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A82C40"/>
    <w:multiLevelType w:val="multilevel"/>
    <w:tmpl w:val="8AE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632342"/>
    <w:multiLevelType w:val="multilevel"/>
    <w:tmpl w:val="ACA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59785B"/>
    <w:multiLevelType w:val="multilevel"/>
    <w:tmpl w:val="0364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33D5B"/>
    <w:multiLevelType w:val="multilevel"/>
    <w:tmpl w:val="17F2E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3" w15:restartNumberingAfterBreak="0">
    <w:nsid w:val="7398661A"/>
    <w:multiLevelType w:val="hybridMultilevel"/>
    <w:tmpl w:val="4C6AE9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4037F0"/>
    <w:multiLevelType w:val="multilevel"/>
    <w:tmpl w:val="871C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31978"/>
    <w:multiLevelType w:val="hybridMultilevel"/>
    <w:tmpl w:val="81F28BD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0328389">
    <w:abstractNumId w:val="8"/>
  </w:num>
  <w:num w:numId="2" w16cid:durableId="1311716663">
    <w:abstractNumId w:val="0"/>
  </w:num>
  <w:num w:numId="3" w16cid:durableId="2019647848">
    <w:abstractNumId w:val="7"/>
  </w:num>
  <w:num w:numId="4" w16cid:durableId="547570060">
    <w:abstractNumId w:val="1"/>
  </w:num>
  <w:num w:numId="5" w16cid:durableId="1076242943">
    <w:abstractNumId w:val="9"/>
  </w:num>
  <w:num w:numId="6" w16cid:durableId="1377510879">
    <w:abstractNumId w:val="10"/>
  </w:num>
  <w:num w:numId="7" w16cid:durableId="2088767181">
    <w:abstractNumId w:val="2"/>
  </w:num>
  <w:num w:numId="8" w16cid:durableId="1262642132">
    <w:abstractNumId w:val="12"/>
  </w:num>
  <w:num w:numId="9" w16cid:durableId="152795507">
    <w:abstractNumId w:val="13"/>
  </w:num>
  <w:num w:numId="10" w16cid:durableId="1572303659">
    <w:abstractNumId w:val="15"/>
  </w:num>
  <w:num w:numId="11" w16cid:durableId="2000378506">
    <w:abstractNumId w:val="4"/>
  </w:num>
  <w:num w:numId="12" w16cid:durableId="1951666407">
    <w:abstractNumId w:val="5"/>
  </w:num>
  <w:num w:numId="13" w16cid:durableId="1258173951">
    <w:abstractNumId w:val="6"/>
  </w:num>
  <w:num w:numId="14" w16cid:durableId="1192840463">
    <w:abstractNumId w:val="11"/>
  </w:num>
  <w:num w:numId="15" w16cid:durableId="529338206">
    <w:abstractNumId w:val="14"/>
  </w:num>
  <w:num w:numId="16" w16cid:durableId="1088191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80"/>
    <w:rsid w:val="0001257F"/>
    <w:rsid w:val="00025F48"/>
    <w:rsid w:val="001170DB"/>
    <w:rsid w:val="00124FAA"/>
    <w:rsid w:val="00140169"/>
    <w:rsid w:val="001B1680"/>
    <w:rsid w:val="00251D8C"/>
    <w:rsid w:val="003311C5"/>
    <w:rsid w:val="003C251A"/>
    <w:rsid w:val="003D32B6"/>
    <w:rsid w:val="003E6A0A"/>
    <w:rsid w:val="0041764F"/>
    <w:rsid w:val="00493EF2"/>
    <w:rsid w:val="00552BBF"/>
    <w:rsid w:val="00593B21"/>
    <w:rsid w:val="006135D2"/>
    <w:rsid w:val="006161FF"/>
    <w:rsid w:val="00630200"/>
    <w:rsid w:val="00641348"/>
    <w:rsid w:val="0064269A"/>
    <w:rsid w:val="00647C15"/>
    <w:rsid w:val="0068485F"/>
    <w:rsid w:val="006D59CA"/>
    <w:rsid w:val="007016DE"/>
    <w:rsid w:val="00706DCB"/>
    <w:rsid w:val="007C02B9"/>
    <w:rsid w:val="00805FE9"/>
    <w:rsid w:val="008624CE"/>
    <w:rsid w:val="008D2E2A"/>
    <w:rsid w:val="008D48ED"/>
    <w:rsid w:val="008D5621"/>
    <w:rsid w:val="0090704F"/>
    <w:rsid w:val="009555BE"/>
    <w:rsid w:val="00963B3A"/>
    <w:rsid w:val="00975891"/>
    <w:rsid w:val="009856BB"/>
    <w:rsid w:val="009B05F7"/>
    <w:rsid w:val="009D6458"/>
    <w:rsid w:val="009E0CD7"/>
    <w:rsid w:val="009F1AA0"/>
    <w:rsid w:val="00A17439"/>
    <w:rsid w:val="00A2191E"/>
    <w:rsid w:val="00A3230D"/>
    <w:rsid w:val="00A6063F"/>
    <w:rsid w:val="00A650B5"/>
    <w:rsid w:val="00A740E6"/>
    <w:rsid w:val="00A91CE5"/>
    <w:rsid w:val="00AC7575"/>
    <w:rsid w:val="00AD32D7"/>
    <w:rsid w:val="00AE0192"/>
    <w:rsid w:val="00BE0876"/>
    <w:rsid w:val="00CC5469"/>
    <w:rsid w:val="00DD51E9"/>
    <w:rsid w:val="00E244A7"/>
    <w:rsid w:val="00E4767D"/>
    <w:rsid w:val="00EC5D9C"/>
    <w:rsid w:val="00F174C7"/>
    <w:rsid w:val="00F22AD8"/>
    <w:rsid w:val="00F4631D"/>
    <w:rsid w:val="00F65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38B95"/>
  <w15:chartTrackingRefBased/>
  <w15:docId w15:val="{570399A7-B50C-4FAB-960D-6B3E7C49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B21"/>
  </w:style>
  <w:style w:type="paragraph" w:styleId="Ttulo1">
    <w:name w:val="heading 1"/>
    <w:basedOn w:val="Normal"/>
    <w:next w:val="Normal"/>
    <w:link w:val="Ttulo1Char"/>
    <w:uiPriority w:val="9"/>
    <w:qFormat/>
    <w:rsid w:val="001B1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1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16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1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16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1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1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1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1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16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16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16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16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16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1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16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1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1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1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1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1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1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1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16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16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16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16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16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1680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1170DB"/>
    <w:rPr>
      <w:color w:val="666666"/>
    </w:rPr>
  </w:style>
  <w:style w:type="table" w:styleId="Tabelacomgrade">
    <w:name w:val="Table Grid"/>
    <w:basedOn w:val="Tabelanormal"/>
    <w:uiPriority w:val="39"/>
    <w:rsid w:val="006D5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3-nfase6">
    <w:name w:val="List Table 3 Accent 6"/>
    <w:basedOn w:val="Tabelanormal"/>
    <w:uiPriority w:val="48"/>
    <w:rsid w:val="00CC546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D51E9"/>
  </w:style>
  <w:style w:type="paragraph" w:styleId="Rodap">
    <w:name w:val="footer"/>
    <w:basedOn w:val="Normal"/>
    <w:link w:val="Rodap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D51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9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25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4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69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022D0-985E-4B02-B1C1-8885AD439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425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Santos</dc:creator>
  <cp:keywords/>
  <dc:description/>
  <cp:lastModifiedBy>Samuel Santos</cp:lastModifiedBy>
  <cp:revision>4</cp:revision>
  <cp:lastPrinted>2025-04-11T18:21:00Z</cp:lastPrinted>
  <dcterms:created xsi:type="dcterms:W3CDTF">2026-10-29T04:26:00Z</dcterms:created>
  <dcterms:modified xsi:type="dcterms:W3CDTF">2026-10-29T04:49:00Z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2025-03-24T17:09:09Z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d52c1a72-e071-48a5-8a2a-1c429f31c142</vt:lpwstr>
  </property>
  <property fmtid="{D5CDD505-2E9C-101B-9397-08002B2CF9AE}" pid="7" name="MSIP_Label_defa4170-0d19-0005-0004-bc88714345d2_ActionId">
    <vt:lpwstr>a16b7776-6720-402f-92a8-fd8c875ef136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