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left"/>
      </w:pPr>
      <w:r>
        <w:rPr>
          <w:rFonts w:ascii="Times New Roman" w:hAnsi="Times New Roman"/>
          <w:b/>
          <w:sz w:val="28"/>
        </w:rPr>
        <w:t>RELATÓRIO TÉCNICO</w:t>
      </w:r>
    </w:p>
    <w:p>
      <w:pPr>
        <w:spacing w:after="240" w:line="276" w:lineRule="auto"/>
        <w:jc w:val="left"/>
      </w:pPr>
      <w:r>
        <w:rPr>
          <w:rFonts w:ascii="Times New Roman" w:hAnsi="Times New Roman"/>
          <w:b/>
          <w:sz w:val="22"/>
        </w:rPr>
        <w:t>Relatório Técnico de Diagnóstico Geoespacial de Desmatamento (DETER/INPE) e Banco de Áreas Elegíveis para Restauração no Parque Estadual Charapucu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2"/>
        </w:rPr>
        <w:t>1. Identificação do Documento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sz w:val="22"/>
        </w:rPr>
        <w:t>Nº do Levantamento: Relatório Técnico nº 019/2026-NGEO/IDEFLOR-Bio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sz w:val="22"/>
        </w:rPr>
        <w:t>Elaboração: Samuel da Costa dos Santos – Coordenador do Núcleo de Geotecnologias (NGEO)</w:t>
      </w:r>
    </w:p>
    <w:p>
      <w:pPr>
        <w:spacing w:after="40" w:line="276" w:lineRule="auto"/>
        <w:jc w:val="left"/>
      </w:pPr>
      <w:r>
        <w:rPr>
          <w:rFonts w:ascii="Times New Roman" w:hAnsi="Times New Roman"/>
          <w:b w:val="0"/>
          <w:sz w:val="22"/>
        </w:rPr>
        <w:t>Demandante: Diretoria de Gestão da Biodiversidade (DGBIO) / Gerência do PES Charapucu</w:t>
      </w:r>
    </w:p>
    <w:p>
      <w:pPr>
        <w:spacing w:after="200" w:line="276" w:lineRule="auto"/>
        <w:jc w:val="left"/>
      </w:pPr>
      <w:r>
        <w:rPr>
          <w:rFonts w:ascii="Times New Roman" w:hAnsi="Times New Roman"/>
          <w:b w:val="0"/>
          <w:sz w:val="22"/>
        </w:rPr>
        <w:t>Data: 29 de Outubro de 2026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2"/>
        </w:rPr>
        <w:t>2. Objetivos</w:t>
      </w:r>
    </w:p>
    <w:p>
      <w:pPr>
        <w:spacing w:after="200" w:line="276" w:lineRule="auto"/>
        <w:jc w:val="left"/>
      </w:pPr>
      <w:r>
        <w:rPr>
          <w:rFonts w:ascii="Times New Roman" w:hAnsi="Times New Roman"/>
          <w:b w:val="0"/>
          <w:sz w:val="22"/>
        </w:rPr>
        <w:t>O presente relatório técnico visa a apresentar a auditoria geoespacial de corte raso (DETER/INPE) no interior do Parque Estadual Charapucu, subsidiando tecnicamente a Gestão da UC e a DGBIO na estruturação de um banco qualificado de áreas para restauração ecológica e captação de recursos.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2"/>
        </w:rPr>
        <w:t>3. Contextualização</w:t>
      </w:r>
    </w:p>
    <w:p>
      <w:pPr>
        <w:spacing w:after="200" w:line="276" w:lineRule="auto"/>
        <w:jc w:val="left"/>
      </w:pPr>
      <w:r>
        <w:rPr>
          <w:rFonts w:ascii="Times New Roman" w:hAnsi="Times New Roman"/>
          <w:b w:val="0"/>
          <w:sz w:val="22"/>
        </w:rPr>
        <w:t>O Parque Estadual Charapucu foi criado pelo Decreto Estadual nº 2.592/2010 no município de Afuá (Marajó). Em razão da dinâmica peculiar da várzea estuarina, o sensoriamento remoto baseado no DETER/INPE identificou o evento histórico de 20/07/2019, atualmente em avançado processo de sucessão ecológica secundária.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2"/>
        </w:rPr>
        <w:t>4. Procedimentos Realizados</w:t>
      </w:r>
    </w:p>
    <w:p>
      <w:pPr>
        <w:spacing w:after="200" w:line="276" w:lineRule="auto"/>
        <w:jc w:val="left"/>
      </w:pPr>
      <w:r>
        <w:rPr>
          <w:rFonts w:ascii="Times New Roman" w:hAnsi="Times New Roman"/>
          <w:b w:val="0"/>
          <w:sz w:val="22"/>
        </w:rPr>
        <w:t>Os dados foram processados sob o Sistema Geodésico SIRGAS 2000 em UTM Fuso 22N (EPSG:31988), garantindo precisão métrica de cálculo de áreas e distâncias logísticas à Baía de Vieira Grande, eliminando falsos positivos de sedimentos e maré.</w:t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2"/>
        </w:rPr>
        <w:t>5. Resultados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 w:val="0"/>
          <w:sz w:val="22"/>
        </w:rPr>
        <w:t>Foram mapeados dois polígonos contíguos de corte raso oficial totalizando 183,76 hectares (superando a meta de 130 ha em 141,4%).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rFonts w:ascii="Times New Roman" w:hAnsi="Times New Roman"/>
                <w:b/>
                <w:sz w:val="19"/>
              </w:rPr>
              <w:t>Gleba NGEO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/>
                <w:sz w:val="19"/>
              </w:rPr>
              <w:t>ID DETER INPE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/>
                <w:sz w:val="19"/>
              </w:rPr>
              <w:t>Data Alerta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/>
                <w:sz w:val="19"/>
              </w:rPr>
              <w:t>Área (ha)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/>
                <w:sz w:val="19"/>
              </w:rPr>
              <w:t>Acesso Fluvial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b/>
                <w:sz w:val="19"/>
              </w:rPr>
              <w:t>Diagnóstico Atual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GLEBA-DETER-01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52664_hist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20/07/2019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173,28 ha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Baía de Vieira Grande (2,3 km)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Corte Raso / Regeneração Secundária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GLEBA-DETER-02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52663_hist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20/07/2019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10,48 ha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Baía de Vieira Grande (3,2 km)</w:t>
            </w:r>
          </w:p>
        </w:tc>
        <w:tc>
          <w:tcPr>
            <w:tcW w:type="dxa" w:w="1568"/>
          </w:tcPr>
          <w:p>
            <w:r>
              <w:rPr>
                <w:rFonts w:ascii="Times New Roman" w:hAnsi="Times New Roman"/>
                <w:sz w:val="18"/>
              </w:rPr>
              <w:t>Corte Raso / Regeneração Secundária</w:t>
            </w:r>
          </w:p>
        </w:tc>
      </w:tr>
    </w:tbl>
    <w:p>
      <w:pPr>
        <w:spacing w:after="160" w:line="276" w:lineRule="auto"/>
        <w:jc w:val="left"/>
      </w:pPr>
      <w:r>
        <w:rPr>
          <w:rFonts w:ascii="Times New Roman" w:hAnsi="Times New Roman"/>
          <w:b w:val="0"/>
          <w:sz w:val="22"/>
        </w:rPr>
      </w:r>
    </w:p>
    <w:p>
      <w:pPr>
        <w:spacing w:after="80" w:line="276" w:lineRule="auto"/>
        <w:jc w:val="left"/>
      </w:pPr>
      <w:r>
        <w:rPr>
          <w:rFonts w:ascii="Times New Roman" w:hAnsi="Times New Roman"/>
          <w:b/>
          <w:sz w:val="22"/>
        </w:rPr>
        <w:t>6. Conclusão e Encaminhamento</w:t>
      </w:r>
    </w:p>
    <w:p>
      <w:pPr>
        <w:spacing w:after="280" w:line="276" w:lineRule="auto"/>
        <w:jc w:val="left"/>
      </w:pPr>
      <w:r>
        <w:rPr>
          <w:rFonts w:ascii="Times New Roman" w:hAnsi="Times New Roman"/>
          <w:b w:val="0"/>
          <w:sz w:val="22"/>
        </w:rPr>
        <w:t>Recomenda-se a remessa deste documento e da prancha cartográfica oficial anexa à DGBIO e à Gerência do Parque Estadual Charapucu para planejamento de vistoria in situ e integração aos processos de captação de recursos.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/>
          <w:sz w:val="22"/>
        </w:rPr>
        <w:t>SAMUEL DA COSTA DOS SANTOS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 w:val="0"/>
          <w:sz w:val="20"/>
        </w:rPr>
        <w:t>Coordenador do Núcleo de Geotecnologias – NGEO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 w:val="0"/>
          <w:sz w:val="20"/>
        </w:rPr>
        <w:t>Instituto de Desenvolvimento Florestal e da Biodiversidade do Estado do Pará – IDEFLOR-Bio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