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ESPECIFICAÇÃO DO PORTAL DE TRANSPARÊNCIA E SERVIÇOS DE MAPAS OGC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Documento Oficial de Especificação Técnica e Regulamentação da Transparência Ativa e Geoserviços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Base Legal:</w:t>
      </w:r>
      <w:r>
        <w:rPr>
          <w:rFonts w:ascii="Times New Roman" w:hAnsi="Times New Roman"/>
          <w:b w:val="0"/>
          <w:i/>
          <w:sz w:val="20"/>
        </w:rPr>
        <w:t xml:space="preserve"> Art. 67, § 6º e Art. 111 da Lei Estadual nº 10.306/2023 | Arts. 13 e 14 do Decreto Regulamentador do SEINUC/PA | Lei Federal nº 12.527/2011 (LAI) | Padrões OGC (Open Geospatial Consortium)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Apresentação e Objetivos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Este documento especifica os requisitos funcionais, a arquitetura de transparência ativa, as diretrizes de dados abertos e a infraestrutura de geoserviços nos padrões da </w:t>
      </w:r>
      <w:r>
        <w:rPr>
          <w:rFonts w:ascii="Times New Roman" w:hAnsi="Times New Roman"/>
          <w:b w:val="0"/>
          <w:i/>
          <w:sz w:val="24"/>
        </w:rPr>
        <w:t>Open Geospatial Consortium (OGC)</w:t>
      </w:r>
      <w:r>
        <w:rPr>
          <w:rFonts w:ascii="Times New Roman" w:hAnsi="Times New Roman"/>
          <w:b w:val="0"/>
          <w:i w:val="0"/>
          <w:sz w:val="24"/>
        </w:rPr>
        <w:t xml:space="preserve"> do </w:t>
      </w:r>
      <w:r>
        <w:rPr>
          <w:rFonts w:ascii="Times New Roman" w:hAnsi="Times New Roman"/>
          <w:b/>
          <w:i w:val="0"/>
          <w:sz w:val="24"/>
        </w:rPr>
        <w:t>Sistema Estadual de Informações sobre Unidades de Conservação do Estado do Pará (SEINUC/PA)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objetivo precípuo consiste em garantir o controle social, a publicidade irrestrita das ações de conservação do patrimônio natural paraense e a obrigatoriedade de alimentação da </w:t>
      </w:r>
      <w:r>
        <w:rPr>
          <w:rFonts w:ascii="Times New Roman" w:hAnsi="Times New Roman"/>
          <w:b/>
          <w:i w:val="0"/>
          <w:sz w:val="24"/>
        </w:rPr>
        <w:t>Cartografia Oficial do Estado do Pará</w:t>
      </w:r>
      <w:r>
        <w:rPr>
          <w:rFonts w:ascii="Times New Roman" w:hAnsi="Times New Roman"/>
          <w:b w:val="0"/>
          <w:i w:val="0"/>
          <w:sz w:val="24"/>
        </w:rPr>
        <w:t xml:space="preserve"> (Art. 111 da Lei nº 10.306/2023).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Arquitetura do Portal Público de Transparência 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Portal Público do SEINUC/PA será estruturado em três módulos integrados de livre acesso ao cidadão, pesquisadores e órgãos de controle, isentos de necessidade de cadastro prévio:</w:t>
      </w:r>
    </w:p>
    <w:p>
      <w:pPr>
        <w:spacing w:before="240" w:after="80"/>
        <w:ind w:firstLine="0"/>
        <w:jc w:val="center"/>
      </w:pPr>
      <w:r>
        <w:rPr>
          <w:rFonts w:ascii="Times New Roman" w:hAnsi="Times New Roman"/>
          <w:b/>
          <w:sz w:val="20"/>
        </w:rPr>
        <w:t>Figura 1: Arquitetura do Portal Público de Transparência Ativa do SEINUC/PA</w:t>
      </w:r>
    </w:p>
    <w:p>
      <w:pPr>
        <w:spacing w:before="4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portal_transpar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/>
          <w:i/>
          <w:color w:val="646464"/>
          <w:sz w:val="19"/>
        </w:rPr>
        <w:t>Fonte: Elaboração própria / SEINUC/PA (2026).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2.1. Módulo A - Visualizador WebGIS Interativo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Interface cartográfica de alto desempenho para navegação espacial sobre as Unidades de Conservação estaduais, municipais e RPPNs.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Camadas de Informação Disponíveis: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Polígonos de Perímetros Oficiais de UCs (Proteção Integral e Uso Sustentável).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Zoneamento Ambiental Interno e Zonas de Amortecimento.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Mosaicos de Áreas Protegidas e terras comunitárias limítrofes.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Camada de Hidrografia e Bacias Hidrográficas.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Ferramentas do Usuário:</w:t>
      </w:r>
      <w:r>
        <w:rPr>
          <w:rFonts w:ascii="Times New Roman" w:hAnsi="Times New Roman"/>
          <w:b w:val="0"/>
          <w:i w:val="0"/>
          <w:sz w:val="24"/>
        </w:rPr>
        <w:t xml:space="preserve"> Consulta por atributos, medição de áreas/distâncias, alternância de mapas de fundo (satélite/topográfico) e exportação de mapas em PDF.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2.2. Módulo B - Repositório e Consulta Documental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Mecanismo de busca textual e download público de documentos oficiais vinculados às UCs.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Acervo Disponível: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Atos Legais de Criação (Leis e Decretos).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Planos de Gestão (equivalentes ao plano de manejo federal — art. 2º, XXII, da Lei nº 10.306/2023) em formato PDF pesquisável.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Portarias de instituição e Atas de Reuniões dos Conselhos Gestores.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Fichas de Caracterização Ambiental e Resumos Executivos.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2.3. Módulo C - Painel Transparente do ICMS Ecológico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Funcionalidade:</w:t>
      </w:r>
      <w:r>
        <w:rPr>
          <w:rFonts w:ascii="Times New Roman" w:hAnsi="Times New Roman"/>
          <w:b w:val="0"/>
          <w:i w:val="0"/>
          <w:sz w:val="24"/>
        </w:rPr>
        <w:t xml:space="preserve"> Painel de prestação de contas dos repasses ambientais aos municípios paraense.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Dados Publicizados: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Relação de municípios habilitados e indeferidos por exercício.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Extratos de Pontuação Provisória e Definitiva.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Fichas de Avaliação Técnica emitidas pela Comissão Técnica (CT-SEINUC).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Relatórios de Julgamento de Recursos Administrativos.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Rastreamento da destinação de ao menos 20% das verbas a UCs municipais (Art. 117 da Lei nº 10.306/2023).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Geoserviços OGC e Integração com a Cartografia Oficial do Estado (Art. 111 da Lei 10.306/23 e Art. 13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Em estrito cumprimento ao </w:t>
      </w:r>
      <w:r>
        <w:rPr>
          <w:rFonts w:ascii="Times New Roman" w:hAnsi="Times New Roman"/>
          <w:b/>
          <w:i w:val="0"/>
          <w:sz w:val="24"/>
        </w:rPr>
        <w:t>Art. 111 da Lei Estadual nº 10.306/2023</w:t>
      </w:r>
      <w:r>
        <w:rPr>
          <w:rFonts w:ascii="Times New Roman" w:hAnsi="Times New Roman"/>
          <w:b w:val="0"/>
          <w:i w:val="0"/>
          <w:sz w:val="24"/>
        </w:rPr>
        <w:t xml:space="preserve"> e ao </w:t>
      </w:r>
      <w:r>
        <w:rPr>
          <w:rFonts w:ascii="Times New Roman" w:hAnsi="Times New Roman"/>
          <w:b/>
          <w:i w:val="0"/>
          <w:sz w:val="24"/>
        </w:rPr>
        <w:t>Art. 13 do Decreto Regulamentador</w:t>
      </w:r>
      <w:r>
        <w:rPr>
          <w:rFonts w:ascii="Times New Roman" w:hAnsi="Times New Roman"/>
          <w:b w:val="0"/>
          <w:i w:val="0"/>
          <w:sz w:val="24"/>
        </w:rPr>
        <w:t xml:space="preserve">, as bases de dados geográficos do SEINUC/PA serão disponibilizadas por ciclo anual (com atualização contínua intra-ciclo) via geoserviços padronizados pela </w:t>
      </w:r>
      <w:r>
        <w:rPr>
          <w:rFonts w:ascii="Times New Roman" w:hAnsi="Times New Roman"/>
          <w:b w:val="0"/>
          <w:i/>
          <w:sz w:val="24"/>
        </w:rPr>
        <w:t>Open Geospatial Consortium (OGC)</w:t>
      </w:r>
      <w:r>
        <w:rPr>
          <w:rFonts w:ascii="Times New Roman" w:hAnsi="Times New Roman"/>
          <w:b w:val="0"/>
          <w:i w:val="0"/>
          <w:sz w:val="24"/>
        </w:rPr>
        <w:t xml:space="preserve"> para consumo obrigatório pelos geoportais oficiais do Estado do Pará (SIEPA, ITERPA, SEMAS e SEFA).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3.1. Especificação dos Geoserviços OGC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Serviço OGC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Versão Padrão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Endpoint de Acesso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Finalidade e Aplicação na Cartografia Oficial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WMS (Web Map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1.3.0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https://seinuc.ideflor.pa.gov.br/geoserver/wms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Renderização de mapas dinâmicos e camadas visuais das UCs na confecção das cartas e mapas oficiais do Governo do Estado do Pará.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WFS (Web Feature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2.0.0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https://seinuc.ideflor.pa.gov.br/geoserver/wfs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Download e consumo de vetores brutos em formatos abertos (</w:t>
            </w:r>
            <w:r>
              <w:rPr>
                <w:rFonts w:ascii="Consolas" w:hAnsi="Consolas"/>
                <w:color w:val="003366"/>
                <w:sz w:val="20"/>
              </w:rPr>
              <w:t>GeoJSON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Shapefile zip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KML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 por órgãos ambientais, pesquisadores e sistemas parceiros.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WCS (Web Coverage Service)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2.0.1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https://seinuc.ideflor.pa.gov.br/geoserver/wcs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Transmissão de dados raster e modelos digitais de elevação de UCs quando aplicável.</w:t>
            </w:r>
          </w:p>
        </w:tc>
      </w:tr>
      <w:tr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CSW (Catalog Service for the Web)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2.0.2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https://seinuc.ideflor.pa.gov.br/geoserver/csw</w:t>
            </w:r>
          </w:p>
        </w:tc>
        <w:tc>
          <w:tcPr>
            <w:tcW w:type="dxa" w:w="235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Descoberta e catálogo estandardizado de metadados geográficos junto à INDE.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3.2. Padrão de Metadados Geográficos (Perfil MGB / INDE)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Todos os conjuntos de dados geográficos do SEINUC/PA serão catalogados segundo o </w:t>
      </w:r>
      <w:r>
        <w:rPr>
          <w:rFonts w:ascii="Times New Roman" w:hAnsi="Times New Roman"/>
          <w:b/>
          <w:i w:val="0"/>
          <w:sz w:val="24"/>
        </w:rPr>
        <w:t>Perfil de Metadados Geográficos do Brasil (MGB)</w:t>
      </w:r>
      <w:r>
        <w:rPr>
          <w:rFonts w:ascii="Times New Roman" w:hAnsi="Times New Roman"/>
          <w:b w:val="0"/>
          <w:i w:val="0"/>
          <w:sz w:val="24"/>
        </w:rPr>
        <w:t xml:space="preserve"> da Infraestrutura Nacional de Dados Espaciais (INDE), contendo: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Linhagem e histórico do dado vetorial e UUID do conjunto de dados.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Sistema de Referência: SIRGAS 2000 (EPSG:4674).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Responsável técnico pelo mapeamento e periodicidade de atualização.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Diretrizes de Sigilo, Proteção da Biodiversidade, LGPD e SisGen (Art. 14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transparência pública no SEINUC/PA observará as ressalvas legais de proteção ao patrimônio biológico, à privacidade e ao patrimônio genético, nos termos do Art. 14 do Decreto Regulamentador, da Lei Geral de Proteção de Dados (Lei Federal nº 13.709/2018) e da Lei da Biodiversidade (Lei Federal nº 13.123/2015):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4.1. Resguardo da Biodiversidade (Proteção contra Biopirataria)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Regra de Mascaramento Espacial:</w:t>
      </w:r>
      <w:r>
        <w:rPr>
          <w:rFonts w:ascii="Times New Roman" w:hAnsi="Times New Roman"/>
          <w:b w:val="0"/>
          <w:i w:val="0"/>
          <w:sz w:val="24"/>
        </w:rPr>
        <w:t xml:space="preserve"> As coordenadas geográficas exatas de pontos de nidificação, avistamento ou ocorrência de espécies da fauna e flora criticamente ameaçadas de extinção (CR) suscetíveis à caça, ilícito ou biopirataria serão mascaradas no visualizador público e nos endpoints OGC.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Visualização Generalizada em Todos os Geoserviços:</w:t>
      </w:r>
      <w:r>
        <w:rPr>
          <w:rFonts w:ascii="Times New Roman" w:hAnsi="Times New Roman"/>
          <w:b w:val="0"/>
          <w:i w:val="0"/>
          <w:sz w:val="24"/>
        </w:rPr>
        <w:t xml:space="preserve"> Para o público geral, o dado de ocorrência sensível será exibido nos geoserviços públicos (WebGIS, WMS, WFS e WCS) por polígono de quadrícula regional generalizada (10 x 10 km), aplicando-se o mesmo filtro de generalização às requisições de consulta puntiforme (</w:t>
      </w:r>
      <w:r>
        <w:rPr>
          <w:rFonts w:ascii="Times New Roman" w:hAnsi="Times New Roman"/>
          <w:b w:val="0"/>
          <w:i/>
          <w:sz w:val="24"/>
        </w:rPr>
        <w:t>GetFeatureInfo</w:t>
      </w:r>
      <w:r>
        <w:rPr>
          <w:rFonts w:ascii="Times New Roman" w:hAnsi="Times New Roman"/>
          <w:b w:val="0"/>
          <w:i w:val="0"/>
          <w:sz w:val="24"/>
        </w:rPr>
        <w:t xml:space="preserve"> e </w:t>
      </w:r>
      <w:r>
        <w:rPr>
          <w:rFonts w:ascii="Times New Roman" w:hAnsi="Times New Roman"/>
          <w:b w:val="0"/>
          <w:i/>
          <w:sz w:val="24"/>
        </w:rPr>
        <w:t>GetFeature</w:t>
      </w:r>
      <w:r>
        <w:rPr>
          <w:rFonts w:ascii="Times New Roman" w:hAnsi="Times New Roman"/>
          <w:b w:val="0"/>
          <w:i w:val="0"/>
          <w:sz w:val="24"/>
        </w:rPr>
        <w:t>), mantendo a precisão exata restrita ao corpo técnico autorizado da SEMAS e IDEFLOR-Bio.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4.2. Conformidade com a LGPD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A Secretaria de Estado de Meio Ambiente e Sustentabilidade (SEMAS) atua na condição de </w:t>
      </w:r>
      <w:r>
        <w:rPr>
          <w:rFonts w:ascii="Times New Roman" w:hAnsi="Times New Roman"/>
          <w:b/>
          <w:i w:val="0"/>
          <w:sz w:val="24"/>
        </w:rPr>
        <w:t>Controladora</w:t>
      </w:r>
      <w:r>
        <w:rPr>
          <w:rFonts w:ascii="Times New Roman" w:hAnsi="Times New Roman"/>
          <w:b w:val="0"/>
          <w:i w:val="0"/>
          <w:sz w:val="24"/>
        </w:rPr>
        <w:t xml:space="preserve"> dos dados e o IDEFLOR-Bio como </w:t>
      </w:r>
      <w:r>
        <w:rPr>
          <w:rFonts w:ascii="Times New Roman" w:hAnsi="Times New Roman"/>
          <w:b/>
          <w:i w:val="0"/>
          <w:sz w:val="24"/>
        </w:rPr>
        <w:t>Operador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Os dados pessoais de conselheiros civis ou gestores (CPF, telefone pessoal, endereço residencial) serão tarjados e anonimizados nos documentos públicos colocados para download, preservando-se a identificação institucional e o nome completo.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4.3. Conformidade com a Lei do Patrimônio Genético (SisGen)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>• As informações relativas a acessos ao patrimônio genético e conhecimento tradicional associado em Unidades de Conservação observarão as salvaguardas da Lei Federal nº 13.123/2015 e os registros oficiais do Sistema Nacional de Gestão do Patrimônio Genético e do Conhecimento Tradicional Associado (SisGen).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Especificacao Portal Transparencia Ogc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