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180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MINUTA DO DECRETO Nº ____, DE ____ DE __________ DE 202X.</w:t>
      </w:r>
    </w:p>
    <w:p>
      <w:pPr>
        <w:pStyle w:val="Normal1"/>
        <w:spacing w:before="0" w:after="180"/>
        <w:jc w:val="both"/>
        <w:rPr>
          <w:rFonts w:ascii="Aptos" w:hAnsi="Aptos" w:eastAsia="Aptos" w:cs="Aptos"/>
          <w:b/>
          <w:bCs/>
          <w:sz w:val="21"/>
          <w:szCs w:val="21"/>
        </w:rPr>
      </w:pPr>
      <w:r>
        <w:rPr>
          <w:rFonts w:eastAsia="Aptos" w:cs="Aptos"/>
          <w:b/>
          <w:bCs/>
          <w:sz w:val="21"/>
          <w:szCs w:val="21"/>
        </w:rPr>
        <w:t>Regulamenta o Sistema Estadual de Informações sobre Unidades de Conservação do Estado do Pará (SEINUC/PA), instituído pela Lei nº 10.306, de 22 de dezembro de 2023, e dá outras providências.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sz w:val="21"/>
          <w:szCs w:val="21"/>
        </w:rPr>
        <w:t xml:space="preserve">O </w:t>
      </w:r>
      <w:r>
        <w:rPr>
          <w:rStyle w:val="Fontepargpadro"/>
          <w:rFonts w:eastAsia="Aptos" w:cs="Aptos"/>
          <w:b/>
          <w:bCs/>
          <w:sz w:val="21"/>
          <w:szCs w:val="21"/>
        </w:rPr>
        <w:t>GOVERNADOR DO ESTADO DO PARÁ</w:t>
      </w:r>
      <w:r>
        <w:rPr>
          <w:rStyle w:val="Fontepargpadro"/>
          <w:rFonts w:eastAsia="Aptos" w:cs="Aptos"/>
          <w:sz w:val="21"/>
          <w:szCs w:val="21"/>
        </w:rPr>
        <w:t>, no uso das atribuições que lhe são conferidas pelo art. 135, inciso V, da Constituição Estadual, e considerando o disposto na Lei Estadual nº 10.306, de 22 de dezembro de 2023, bem como as competências executivas conferidas ao IDEFLOR-Bio pela Lei Estadual nº 8.096, de 1º de janeiro de 2015, e em observância às normas gerais da Lei Federal nº 9.985, de 18 de julho de 2000:</w:t>
      </w:r>
    </w:p>
    <w:p>
      <w:pPr>
        <w:pStyle w:val="Normal1"/>
        <w:spacing w:before="0" w:after="180"/>
        <w:jc w:val="both"/>
        <w:rPr>
          <w:rFonts w:ascii="Aptos" w:hAnsi="Aptos" w:eastAsia="Aptos" w:cs="Aptos"/>
          <w:b/>
          <w:bCs/>
          <w:sz w:val="21"/>
          <w:szCs w:val="21"/>
        </w:rPr>
      </w:pPr>
      <w:r>
        <w:rPr>
          <w:rFonts w:eastAsia="Aptos" w:cs="Aptos"/>
          <w:b/>
          <w:bCs/>
          <w:sz w:val="21"/>
          <w:szCs w:val="21"/>
        </w:rPr>
        <w:t>DECRETA: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I - DAS DISPOSIÇÕES GERAIS E OBJETIVOS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1º</w:t>
      </w:r>
      <w:r>
        <w:rPr>
          <w:rStyle w:val="Fontepargpadro"/>
          <w:rFonts w:eastAsia="Aptos" w:cs="Aptos"/>
          <w:sz w:val="21"/>
          <w:szCs w:val="21"/>
        </w:rPr>
        <w:t xml:space="preserve"> Este Decreto regulamenta o Sistema Estadual de Informações sobre Unidades de Conservação do Estado do Pará (SEINUC/PA), como o sistema de banco de dados oficial com informações padronizadas das unidades de conservação (UCs) estaduais e municipais.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2º</w:t>
      </w:r>
      <w:r>
        <w:rPr>
          <w:rStyle w:val="Fontepargpadro"/>
          <w:rFonts w:eastAsia="Aptos" w:cs="Aptos"/>
          <w:sz w:val="21"/>
          <w:szCs w:val="21"/>
        </w:rPr>
        <w:t xml:space="preserve"> O SEINUC/PA tem por finalidades precípuas: I - Subsidiar a gestão do Sistema Estadual de Unidades de Conservação (SEUC) nas fases de criação, controle, fiscalização, monitoramento e pesquisa; II - Servir de base técnica e oficial para o monitoramento e cálculo dos repasses do</w:t>
      </w:r>
      <w:r>
        <w:rPr>
          <w:rStyle w:val="Fontepargpadro"/>
          <w:rFonts w:eastAsia="Aptos" w:cs="Aptos"/>
          <w:b/>
          <w:bCs/>
          <w:sz w:val="21"/>
          <w:szCs w:val="21"/>
        </w:rPr>
        <w:t xml:space="preserve"> ICMS Ecológico</w:t>
      </w:r>
      <w:r>
        <w:rPr>
          <w:rStyle w:val="Fontepargpadro"/>
          <w:rFonts w:eastAsia="Aptos" w:cs="Aptos"/>
          <w:sz w:val="21"/>
          <w:szCs w:val="21"/>
        </w:rPr>
        <w:t xml:space="preserve"> aos municípios, nos termos da Lei Estadual nº 7.638, de 12 de julho de 2012; III - Garantir o controle social por meio da transparência ativa das ações de proteção ao patrimônio biológico e cultural; IV - Promover a integração de dados com o Cadastro Nacional de Unidades de Conservação (CNUC).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II - DA ARQUITETURA DE DADOS E MÓDULOS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3º</w:t>
      </w:r>
      <w:r>
        <w:rPr>
          <w:rStyle w:val="Fontepargpadro"/>
          <w:rFonts w:eastAsia="Aptos" w:cs="Aptos"/>
          <w:sz w:val="21"/>
          <w:szCs w:val="21"/>
        </w:rPr>
        <w:t xml:space="preserve"> O SEINUC/PA será estruturado de forma modular e dinâmica, compreendendo, no mínimo, os seguintes eixos temáticos (Quadros): I - </w:t>
      </w:r>
      <w:r>
        <w:rPr>
          <w:rStyle w:val="Fontepargpadro"/>
          <w:rFonts w:eastAsia="Aptos" w:cs="Aptos"/>
          <w:b/>
          <w:bCs/>
          <w:sz w:val="21"/>
          <w:szCs w:val="21"/>
        </w:rPr>
        <w:t>Módulo de Biodiversidade:</w:t>
      </w:r>
      <w:r>
        <w:rPr>
          <w:rStyle w:val="Fontepargpadro"/>
          <w:rFonts w:eastAsia="Aptos" w:cs="Aptos"/>
          <w:sz w:val="21"/>
          <w:szCs w:val="21"/>
        </w:rPr>
        <w:t xml:space="preserve"> Inventário biótico (fauna, flora, espécies ameaçadas) e abiótico (recursos hídricos, solo, clima); II - </w:t>
      </w:r>
      <w:r>
        <w:rPr>
          <w:rStyle w:val="Fontepargpadro"/>
          <w:rFonts w:eastAsia="Aptos" w:cs="Aptos"/>
          <w:b/>
          <w:bCs/>
          <w:sz w:val="21"/>
          <w:szCs w:val="21"/>
        </w:rPr>
        <w:t>Módulo de Geotecnologias:</w:t>
      </w:r>
      <w:r>
        <w:rPr>
          <w:rStyle w:val="Fontepargpadro"/>
          <w:rFonts w:eastAsia="Aptos" w:cs="Aptos"/>
          <w:sz w:val="21"/>
          <w:szCs w:val="21"/>
        </w:rPr>
        <w:t xml:space="preserve"> Dados de georreferenciamento e zoneamento ambiental em formatos vetoriais; III - </w:t>
      </w:r>
      <w:r>
        <w:rPr>
          <w:rStyle w:val="Fontepargpadro"/>
          <w:rFonts w:eastAsia="Aptos" w:cs="Aptos"/>
          <w:b/>
          <w:bCs/>
          <w:sz w:val="21"/>
          <w:szCs w:val="21"/>
        </w:rPr>
        <w:t>Módulo de Gestão e Governança:</w:t>
      </w:r>
      <w:r>
        <w:rPr>
          <w:rStyle w:val="Fontepargpadro"/>
          <w:rFonts w:eastAsia="Aptos" w:cs="Aptos"/>
          <w:sz w:val="21"/>
          <w:szCs w:val="21"/>
        </w:rPr>
        <w:t xml:space="preserve"> Informações sobre Conselhos, Planos de Gestão (Manejo) e estratégias financeiras; IV - </w:t>
      </w:r>
      <w:r>
        <w:rPr>
          <w:rStyle w:val="Fontepargpadro"/>
          <w:rFonts w:eastAsia="Aptos" w:cs="Aptos"/>
          <w:b/>
          <w:bCs/>
          <w:sz w:val="21"/>
          <w:szCs w:val="21"/>
        </w:rPr>
        <w:t>Módulo de Caracterização Fundiária e Social:</w:t>
      </w:r>
      <w:r>
        <w:rPr>
          <w:rStyle w:val="Fontepargpadro"/>
          <w:rFonts w:eastAsia="Aptos" w:cs="Aptos"/>
          <w:sz w:val="21"/>
          <w:szCs w:val="21"/>
        </w:rPr>
        <w:t xml:space="preserve"> Situação das terras e aspectos socioculturais, antropológicos e turísticos.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III - DA OPERACIONALIZAÇÃO E FLUXOS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4º</w:t>
      </w:r>
      <w:r>
        <w:rPr>
          <w:rStyle w:val="Fontepargpadro"/>
          <w:rFonts w:eastAsia="Aptos" w:cs="Aptos"/>
          <w:sz w:val="21"/>
          <w:szCs w:val="21"/>
        </w:rPr>
        <w:t xml:space="preserve"> A alimentação e atualização do SEINUC/PA obedecerão a um ciclo anual previsível, garantindo a qualidade e integridade dos dados por meio de: I - </w:t>
      </w:r>
      <w:r>
        <w:rPr>
          <w:rStyle w:val="Fontepargpadro"/>
          <w:rFonts w:eastAsia="Aptos" w:cs="Aptos"/>
          <w:b/>
          <w:bCs/>
          <w:sz w:val="21"/>
          <w:szCs w:val="21"/>
        </w:rPr>
        <w:t>Ciclo Anual Previsível:</w:t>
      </w:r>
      <w:r>
        <w:rPr>
          <w:rStyle w:val="Fontepargpadro"/>
          <w:rFonts w:eastAsia="Aptos" w:cs="Aptos"/>
          <w:sz w:val="21"/>
          <w:szCs w:val="21"/>
        </w:rPr>
        <w:t xml:space="preserve"> Critérios objetivos para validação de documentos enviados pelos municípios e órgãos executores; II - </w:t>
      </w:r>
      <w:r>
        <w:rPr>
          <w:rStyle w:val="Fontepargpadro"/>
          <w:rFonts w:eastAsia="Aptos" w:cs="Aptos"/>
          <w:b/>
          <w:bCs/>
          <w:sz w:val="21"/>
          <w:szCs w:val="21"/>
        </w:rPr>
        <w:t>Protocolos Seguros:</w:t>
      </w:r>
      <w:r>
        <w:rPr>
          <w:rStyle w:val="Fontepargpadro"/>
          <w:rFonts w:eastAsia="Aptos" w:cs="Aptos"/>
          <w:sz w:val="21"/>
          <w:szCs w:val="21"/>
        </w:rPr>
        <w:t xml:space="preserve"> Envio de arquivos digitais via sistemas homologados e autenticados (FTP ou similar); III - </w:t>
      </w:r>
      <w:r>
        <w:rPr>
          <w:rStyle w:val="Fontepargpadro"/>
          <w:rFonts w:eastAsia="Aptos" w:cs="Aptos"/>
          <w:b/>
          <w:bCs/>
          <w:sz w:val="21"/>
          <w:szCs w:val="21"/>
        </w:rPr>
        <w:t>Declarações de Veracidade:</w:t>
      </w:r>
      <w:r>
        <w:rPr>
          <w:rStyle w:val="Fontepargpadro"/>
          <w:rFonts w:eastAsia="Aptos" w:cs="Aptos"/>
          <w:sz w:val="21"/>
          <w:szCs w:val="21"/>
        </w:rPr>
        <w:t xml:space="preserve"> Exigência de responsabilidade técnica pelas informações inseridas.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5º</w:t>
      </w:r>
      <w:r>
        <w:rPr>
          <w:rStyle w:val="Fontepargpadro"/>
          <w:rFonts w:eastAsia="Aptos" w:cs="Aptos"/>
          <w:sz w:val="21"/>
          <w:szCs w:val="21"/>
        </w:rPr>
        <w:t xml:space="preserve"> O Instituto de Desenvolvimento Florestal e da Biodiversidade do Estado do Pará (IDEFLOR-Bio), na qualidade de órgão executor do SEUC, coordenará o processo de coleta e integração de dados.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IV - DA INTEROPERABILIDADE E DIVULGAÇÃO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6º</w:t>
      </w:r>
      <w:r>
        <w:rPr>
          <w:rStyle w:val="Fontepargpadro"/>
          <w:rFonts w:eastAsia="Aptos" w:cs="Aptos"/>
          <w:sz w:val="21"/>
          <w:szCs w:val="21"/>
        </w:rPr>
        <w:t xml:space="preserve"> O SEINUC/PA manterá integração obrigatória e automatizada com o </w:t>
      </w:r>
      <w:r>
        <w:rPr>
          <w:rStyle w:val="Fontepargpadro"/>
          <w:rFonts w:eastAsia="Aptos" w:cs="Aptos"/>
          <w:b/>
          <w:bCs/>
          <w:sz w:val="21"/>
          <w:szCs w:val="21"/>
        </w:rPr>
        <w:t>Cadastro Nacional de Unidades de Conservação (CNUC)</w:t>
      </w:r>
      <w:r>
        <w:rPr>
          <w:rStyle w:val="Fontepargpadro"/>
          <w:rFonts w:eastAsia="Aptos" w:cs="Aptos"/>
          <w:sz w:val="21"/>
          <w:szCs w:val="21"/>
        </w:rPr>
        <w:t>, visando o alinhamento das estatísticas ambientais do Estado com a esfera federal.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7º</w:t>
      </w:r>
      <w:r>
        <w:rPr>
          <w:rStyle w:val="Fontepargpadro"/>
          <w:rFonts w:eastAsia="Aptos" w:cs="Aptos"/>
          <w:sz w:val="21"/>
          <w:szCs w:val="21"/>
        </w:rPr>
        <w:t xml:space="preserve"> Os</w:t>
      </w:r>
      <w:r>
        <w:rPr>
          <w:rStyle w:val="Fontepargpadro"/>
          <w:rFonts w:eastAsia="MS Mincho"/>
          <w:sz w:val="21"/>
          <w:szCs w:val="21"/>
        </w:rPr>
        <w:t xml:space="preserve"> dados constantes no sistema serão de amplo e livre acesso ao público, em observância à Lei Federal nº 12.527, de 18 de novembro de 2011 (Lei de Acesso à Informação), ressalvadas as informações cujo sigilo seja imprescindível à segurança da biodiversidade e do patrimônio público.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V - DAS COMPETÊNCIAS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8º</w:t>
      </w:r>
      <w:r>
        <w:rPr>
          <w:rStyle w:val="Fontepargpadro"/>
          <w:rFonts w:eastAsia="Aptos" w:cs="Aptos"/>
          <w:sz w:val="21"/>
          <w:szCs w:val="21"/>
        </w:rPr>
        <w:t xml:space="preserve"> Ao Instituto de Desenvolvimento Florestal e da Biodiversidade (IDEFLOR-Bio), na qualidade de órgão executor da política de gestão de áreas protegidas, conforme as competências estabelecidas na Lei Estadual nº 8.096/2015, compete organizar, coordenar, implementar e manter o SEINUC/PA, garantindo a acurácia dos dados geoespaciais e técnicos.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9º</w:t>
      </w:r>
      <w:r>
        <w:rPr>
          <w:rStyle w:val="Fontepargpadro"/>
          <w:rFonts w:eastAsia="Aptos" w:cs="Aptos"/>
          <w:sz w:val="21"/>
          <w:szCs w:val="21"/>
        </w:rPr>
        <w:t xml:space="preserve"> À Secretaria de Estado de Meio Ambiente e Sustentabilidade (SEMAS), na qualidade de órgão central do Sistema Estadual de Meio Ambiente (SISEMA), compete o apoio institucional e a utilização dos dados do SEINUC/PA para fins de licenciamento ambiental e planejamento macroestratégico do Estado.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 xml:space="preserve">Art. 10. </w:t>
      </w:r>
      <w:r>
        <w:rPr>
          <w:rStyle w:val="Fontepargpadro"/>
          <w:rFonts w:eastAsia="Aptos" w:cs="Aptos"/>
          <w:sz w:val="21"/>
          <w:szCs w:val="21"/>
        </w:rPr>
        <w:t>Aos órgãos municipais e demais entidades gestoras compete o fornecimento e a atualização periódica das informações referentes às suas respectivas Unidades de Conservação, sob pena de inconsistência para fins de cálculo de benefícios como o ICMS Ecológico.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 xml:space="preserve">Art. 11. </w:t>
      </w:r>
      <w:r>
        <w:rPr>
          <w:rStyle w:val="Fontepargpadro"/>
          <w:rFonts w:eastAsia="Aptos" w:cs="Aptos"/>
          <w:sz w:val="21"/>
          <w:szCs w:val="21"/>
        </w:rPr>
        <w:t>A inserção de dados falsos ou a omissão de informações obrigatórias no SEINUC/PA sujeitará o infrator às sanções previstas na Lei Federal nº 9.605, de 12 de fevereiro de 1998.</w:t>
      </w:r>
    </w:p>
    <w:p>
      <w:pPr>
        <w:pStyle w:val="Normal1"/>
        <w:spacing w:lineRule="auto" w:line="300" w:before="0" w:after="180"/>
        <w:jc w:val="both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CAPÍTULO VI - DISPOSIÇÕES FINAIS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12.</w:t>
      </w:r>
      <w:r>
        <w:rPr>
          <w:rStyle w:val="Fontepargpadro"/>
          <w:rFonts w:eastAsia="Aptos" w:cs="Aptos"/>
          <w:sz w:val="21"/>
          <w:szCs w:val="21"/>
        </w:rPr>
        <w:t xml:space="preserve"> O órgão central do SEUC expedirá normas complementares (Instruções Normativas e Portarias) para detalhar os requisitos técnicos de cada módulo e os prazos específicos para o ciclo de avaliação do ICMS Ecológico.</w:t>
      </w:r>
    </w:p>
    <w:p>
      <w:pPr>
        <w:pStyle w:val="Normal1"/>
        <w:spacing w:before="0" w:after="180"/>
        <w:jc w:val="both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Art. 13.</w:t>
      </w:r>
      <w:r>
        <w:rPr>
          <w:rStyle w:val="Fontepargpadro"/>
          <w:rFonts w:eastAsia="Aptos" w:cs="Aptos"/>
          <w:sz w:val="21"/>
          <w:szCs w:val="21"/>
        </w:rPr>
        <w:t xml:space="preserve"> Este Decreto entra em vigor na data de sua publicação.</w:t>
      </w:r>
    </w:p>
    <w:p>
      <w:pPr>
        <w:pStyle w:val="Normal1"/>
        <w:spacing w:before="0" w:after="180"/>
        <w:rPr>
          <w:rFonts w:ascii="Aptos" w:hAnsi="Aptos" w:eastAsia="Aptos" w:cs="Aptos"/>
          <w:sz w:val="21"/>
          <w:szCs w:val="21"/>
        </w:rPr>
      </w:pPr>
      <w:r>
        <w:rPr>
          <w:rFonts w:eastAsia="Aptos" w:cs="Aptos"/>
          <w:sz w:val="21"/>
          <w:szCs w:val="21"/>
        </w:rPr>
        <w:t>PALÁCIO DO GOVERNO, __ de __________ de 202X.</w:t>
      </w:r>
    </w:p>
    <w:p>
      <w:pPr>
        <w:pStyle w:val="Normal1"/>
        <w:spacing w:before="0" w:after="180"/>
        <w:rPr/>
      </w:pPr>
      <w:r>
        <w:rPr>
          <w:rStyle w:val="Fontepargpadro"/>
          <w:rFonts w:eastAsia="Aptos" w:cs="Aptos"/>
          <w:b/>
          <w:bCs/>
          <w:sz w:val="21"/>
          <w:szCs w:val="21"/>
        </w:rPr>
        <w:t>HELDER BARBALHO</w:t>
      </w:r>
      <w:r>
        <w:rPr>
          <w:rStyle w:val="Fontepargpadro"/>
          <w:rFonts w:eastAsia="Aptos" w:cs="Aptos"/>
          <w:sz w:val="21"/>
          <w:szCs w:val="21"/>
        </w:rPr>
        <w:t xml:space="preserve"> Governador do Estado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/>
        <w:sz w:val="24"/>
        <w:szCs w:val="24"/>
        <w:lang w:val="pt-BR" w:eastAsia="en-US" w:bidi="ar-SA"/>
      </w:rPr>
    </w:rPrDefault>
    <w:pPrDefault>
      <w:pPr>
        <w:widowControl/>
        <w:suppressAutoHyphens w:val="false"/>
        <w:spacing w:lineRule="auto" w:line="278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  <w:style w:type="character" w:styleId="Fontepargpadro">
    <w:name w:val="Fonte parág. padrão"/>
    <w:qFormat/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785</Words>
  <Characters>4245</Characters>
  <CharactersWithSpaces>5020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2026-02-04T16:33:00Z</dcterms:created>
  <dc:creator>Elberth Sales</dc:creator>
  <dc:description/>
  <dc:language>pt-BR</dc:language>
  <cp:lastModifiedBy>Elberth Sales</cp:lastModifiedBy>
  <dcterms:modified xsi:type="dcterms:W3CDTF">2026-02-04T16:33:00Z</dcterms:modified>
  <cp:revision>1</cp:revision>
  <dc:subject/>
  <dc:title/>
</cp:coreProperties>
</file>